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drawing>
          <wp:inline xmlns:a="http://schemas.openxmlformats.org/drawingml/2006/main" xmlns:pic="http://schemas.openxmlformats.org/drawingml/2006/picture">
            <wp:extent cx="5303520" cy="5411416"/>
            <wp:docPr id="1" name="Picture 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pPr>
        <w:pStyle w:val="Heading2"/>
      </w:pPr>
      <w:r>
        <w:t>Simulation Architecture Map</w:t>
      </w:r>
    </w:p>
    <w:p>
      <w:r>
        <w:t>The diagram below illustrates the complete simulation pipeline — from player decisions through the mathematical engine to terminal valuation outputs.</w:t>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Map — engine pipeline flowchart</w:t>
      </w:r>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 For each engine: the exact formula from the codebase, a worked sample calculation, and a non-mathematical teaching analogy for facilitators to use with students.</w:t>
      </w:r>
    </w:p>
    <w:p>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pPr>
        <w:jc w:val="center"/>
      </w:pPr>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s00_architecture.png"/>
                    <pic:cNvPicPr/>
                  </pic:nvPicPr>
                  <pic:blipFill>
                    <a:blip r:embed="rId11"/>
                    <a:stretch>
                      <a:fillRect/>
                    </a:stretch>
                  </pic:blipFill>
                  <pic:spPr>
                    <a:xfrm>
                      <a:off x="0" y="0"/>
                      <a:ext cx="5303520" cy="5303520"/>
                    </a:xfrm>
                    <a:prstGeom prst="rect"/>
                  </pic:spPr>
                </pic:pic>
              </a:graphicData>
            </a:graphic>
          </wp:inline>
        </w:drawing>
      </w:r>
    </w:p>
    <w:p>
      <w:pPr>
        <w:spacing w:after="240"/>
        <w:jc w:val="center"/>
      </w:pPr>
      <w:r>
        <w:rPr>
          <w:i/>
          <w:color w:val="6B7280"/>
          <w:sz w:val="17"/>
        </w:rPr>
        <w:t>Figure: Simulation Architecture flowchart showing process_tick() pipeline</w:t>
      </w:r>
    </w:p>
    <w:p>
      <w:pPr>
        <w:pStyle w:val="Heading2"/>
      </w:pPr>
      <w:r>
        <w:t>3.1 Corporate Strategic Fund (CSF)</w:t>
      </w:r>
    </w:p>
    <w:p>
      <w:pPr>
        <w:pStyle w:val="Heading3"/>
      </w:pPr>
      <w:r>
        <w:t>Formula</w:t>
      </w:r>
    </w:p>
    <w:p>
      <w:r>
        <w:rPr>
          <w:rFonts w:ascii="Consolas" w:hAnsi="Consolas"/>
          <w:b/>
          <w:sz w:val="20"/>
        </w:rPr>
        <w:t>CSF = Sum(Revenue_Base - OPEX_Base) - Dividends_Paid</w:t>
      </w:r>
    </w:p>
    <w:p>
      <w:r>
        <w:t>The CSF calculates net cash generated each round from all BU operations minus any board-mandated dividend payments. This is the primary source of corporate treasury growth.</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w:t>
            </w:r>
          </w:p>
        </w:tc>
        <w:tc>
          <w:tcPr>
            <w:tcW w:type="dxa" w:w="2351"/>
            <w:shd w:fill="0F172A"/>
          </w:tcPr>
          <w:p>
            <w:pPr>
              <w:jc w:val="center"/>
            </w:pPr>
            <w:r>
              <w:rPr>
                <w:b/>
                <w:color w:val="FFFFFF"/>
                <w:sz w:val="18"/>
              </w:rPr>
              <w:t>Revenue</w:t>
            </w:r>
          </w:p>
        </w:tc>
        <w:tc>
          <w:tcPr>
            <w:tcW w:type="dxa" w:w="2351"/>
            <w:shd w:fill="0F172A"/>
          </w:tcPr>
          <w:p>
            <w:pPr>
              <w:jc w:val="center"/>
            </w:pPr>
            <w:r>
              <w:rPr>
                <w:b/>
                <w:color w:val="FFFFFF"/>
                <w:sz w:val="18"/>
              </w:rPr>
              <w:t>OPEX</w:t>
            </w:r>
          </w:p>
        </w:tc>
        <w:tc>
          <w:tcPr>
            <w:tcW w:type="dxa" w:w="2351"/>
            <w:shd w:fill="0F172A"/>
          </w:tcPr>
          <w:p>
            <w:pPr>
              <w:jc w:val="center"/>
            </w:pPr>
            <w:r>
              <w:rPr>
                <w:b/>
                <w:color w:val="FFFFFF"/>
                <w:sz w:val="18"/>
              </w:rPr>
              <w:t>Gross Profit</w:t>
            </w:r>
          </w:p>
        </w:tc>
      </w:tr>
      <w:tr>
        <w:tc>
          <w:tcPr>
            <w:tcW w:type="dxa" w:w="2351"/>
          </w:tcPr>
          <w:p>
            <w:pPr>
              <w:spacing w:after="40"/>
            </w:pPr>
            <w:r>
              <w:rPr>
                <w:sz w:val="18"/>
              </w:rPr>
              <w:t>Pharma</w:t>
            </w:r>
          </w:p>
        </w:tc>
        <w:tc>
          <w:tcPr>
            <w:tcW w:type="dxa" w:w="2351"/>
          </w:tcPr>
          <w:p>
            <w:pPr>
              <w:spacing w:after="40"/>
            </w:pPr>
            <w:r>
              <w:rPr>
                <w:sz w:val="18"/>
              </w:rPr>
              <w:t>$18.0M</w:t>
            </w:r>
          </w:p>
        </w:tc>
        <w:tc>
          <w:tcPr>
            <w:tcW w:type="dxa" w:w="2351"/>
          </w:tcPr>
          <w:p>
            <w:pPr>
              <w:spacing w:after="40"/>
            </w:pPr>
            <w:r>
              <w:rPr>
                <w:sz w:val="18"/>
              </w:rPr>
              <w:t>$12.0M</w:t>
            </w:r>
          </w:p>
        </w:tc>
        <w:tc>
          <w:tcPr>
            <w:tcW w:type="dxa" w:w="2351"/>
          </w:tcPr>
          <w:p>
            <w:pPr>
              <w:spacing w:after="40"/>
            </w:pPr>
            <w:r>
              <w:rPr>
                <w:sz w:val="18"/>
              </w:rPr>
              <w:t>$6.0M</w:t>
            </w:r>
          </w:p>
        </w:tc>
      </w:tr>
      <w:tr>
        <w:tc>
          <w:tcPr>
            <w:tcW w:type="dxa" w:w="2351"/>
            <w:shd w:fill="F3F4F6"/>
          </w:tcPr>
          <w:p>
            <w:pPr>
              <w:spacing w:after="40"/>
            </w:pPr>
            <w:r>
              <w:rPr>
                <w:sz w:val="18"/>
              </w:rPr>
              <w:t>Electronics</w:t>
            </w:r>
          </w:p>
        </w:tc>
        <w:tc>
          <w:tcPr>
            <w:tcW w:type="dxa" w:w="2351"/>
            <w:shd w:fill="F3F4F6"/>
          </w:tcPr>
          <w:p>
            <w:pPr>
              <w:spacing w:after="40"/>
            </w:pPr>
            <w:r>
              <w:rPr>
                <w:sz w:val="18"/>
              </w:rPr>
              <w:t>$16.5M</w:t>
            </w:r>
          </w:p>
        </w:tc>
        <w:tc>
          <w:tcPr>
            <w:tcW w:type="dxa" w:w="2351"/>
            <w:shd w:fill="F3F4F6"/>
          </w:tcPr>
          <w:p>
            <w:pPr>
              <w:spacing w:after="40"/>
            </w:pPr>
            <w:r>
              <w:rPr>
                <w:sz w:val="18"/>
              </w:rPr>
              <w:t>$11.5M</w:t>
            </w:r>
          </w:p>
        </w:tc>
        <w:tc>
          <w:tcPr>
            <w:tcW w:type="dxa" w:w="2351"/>
            <w:shd w:fill="F3F4F6"/>
          </w:tcPr>
          <w:p>
            <w:pPr>
              <w:spacing w:after="40"/>
            </w:pPr>
            <w:r>
              <w:rPr>
                <w:sz w:val="18"/>
              </w:rPr>
              <w:t>$5.0M</w:t>
            </w:r>
          </w:p>
        </w:tc>
      </w:tr>
      <w:tr>
        <w:tc>
          <w:tcPr>
            <w:tcW w:type="dxa" w:w="2351"/>
          </w:tcPr>
          <w:p>
            <w:pPr>
              <w:spacing w:after="40"/>
            </w:pPr>
            <w:r>
              <w:rPr>
                <w:sz w:val="18"/>
              </w:rPr>
              <w:t>Consumer Goods</w:t>
            </w:r>
          </w:p>
        </w:tc>
        <w:tc>
          <w:tcPr>
            <w:tcW w:type="dxa" w:w="2351"/>
          </w:tcPr>
          <w:p>
            <w:pPr>
              <w:spacing w:after="40"/>
            </w:pPr>
            <w:r>
              <w:rPr>
                <w:sz w:val="18"/>
              </w:rPr>
              <w:t>$10.5M</w:t>
            </w:r>
          </w:p>
        </w:tc>
        <w:tc>
          <w:tcPr>
            <w:tcW w:type="dxa" w:w="2351"/>
          </w:tcPr>
          <w:p>
            <w:pPr>
              <w:spacing w:after="40"/>
            </w:pPr>
            <w:r>
              <w:rPr>
                <w:sz w:val="18"/>
              </w:rPr>
              <w:t>$7.5M</w:t>
            </w:r>
          </w:p>
        </w:tc>
        <w:tc>
          <w:tcPr>
            <w:tcW w:type="dxa" w:w="2351"/>
          </w:tcPr>
          <w:p>
            <w:pPr>
              <w:spacing w:after="40"/>
            </w:pPr>
            <w:r>
              <w:rPr>
                <w:sz w:val="18"/>
              </w:rPr>
              <w:t>$3.0M</w:t>
            </w:r>
          </w:p>
        </w:tc>
      </w:tr>
      <w:tr>
        <w:tc>
          <w:tcPr>
            <w:tcW w:type="dxa" w:w="2351"/>
            <w:shd w:fill="F3F4F6"/>
          </w:tcPr>
          <w:p>
            <w:pPr>
              <w:spacing w:after="40"/>
            </w:pPr>
            <w:r>
              <w:rPr>
                <w:sz w:val="18"/>
              </w:rPr>
              <w:t>Software</w:t>
            </w:r>
          </w:p>
        </w:tc>
        <w:tc>
          <w:tcPr>
            <w:tcW w:type="dxa" w:w="2351"/>
            <w:shd w:fill="F3F4F6"/>
          </w:tcPr>
          <w:p>
            <w:pPr>
              <w:spacing w:after="40"/>
            </w:pPr>
            <w:r>
              <w:rPr>
                <w:sz w:val="18"/>
              </w:rPr>
              <w:t>$8.5M</w:t>
            </w:r>
          </w:p>
        </w:tc>
        <w:tc>
          <w:tcPr>
            <w:tcW w:type="dxa" w:w="2351"/>
            <w:shd w:fill="F3F4F6"/>
          </w:tcPr>
          <w:p>
            <w:pPr>
              <w:spacing w:after="40"/>
            </w:pPr>
            <w:r>
              <w:rPr>
                <w:sz w:val="18"/>
              </w:rPr>
              <w:t>$5.5M</w:t>
            </w:r>
          </w:p>
        </w:tc>
        <w:tc>
          <w:tcPr>
            <w:tcW w:type="dxa" w:w="2351"/>
            <w:shd w:fill="F3F4F6"/>
          </w:tcPr>
          <w:p>
            <w:pPr>
              <w:spacing w:after="40"/>
            </w:pPr>
            <w:r>
              <w:rPr>
                <w:sz w:val="18"/>
              </w:rPr>
              <w:t>$3.0M</w:t>
            </w:r>
          </w:p>
        </w:tc>
      </w:tr>
      <w:tr>
        <w:tc>
          <w:tcPr>
            <w:tcW w:type="dxa" w:w="2351"/>
          </w:tcPr>
          <w:p>
            <w:pPr>
              <w:spacing w:after="40"/>
            </w:pPr>
            <w:r>
              <w:rPr>
                <w:sz w:val="18"/>
              </w:rPr>
              <w:t>TOTAL</w:t>
            </w:r>
          </w:p>
        </w:tc>
        <w:tc>
          <w:tcPr>
            <w:tcW w:type="dxa" w:w="2351"/>
          </w:tcPr>
          <w:p>
            <w:pPr>
              <w:spacing w:after="40"/>
            </w:pPr>
            <w:r>
              <w:rPr>
                <w:sz w:val="18"/>
              </w:rPr>
              <w:t>$53.5M</w:t>
            </w:r>
          </w:p>
        </w:tc>
        <w:tc>
          <w:tcPr>
            <w:tcW w:type="dxa" w:w="2351"/>
          </w:tcPr>
          <w:p>
            <w:pPr>
              <w:spacing w:after="40"/>
            </w:pPr>
            <w:r>
              <w:rPr>
                <w:sz w:val="18"/>
              </w:rPr>
              <w:t>$36.5M</w:t>
            </w:r>
          </w:p>
        </w:tc>
        <w:tc>
          <w:tcPr>
            <w:tcW w:type="dxa" w:w="2351"/>
          </w:tcPr>
          <w:p>
            <w:pPr>
              <w:spacing w:after="40"/>
            </w:pPr>
            <w:r>
              <w:rPr>
                <w:sz w:val="18"/>
              </w:rPr>
              <w:t>$17.0M</w:t>
            </w:r>
          </w:p>
        </w:tc>
      </w:tr>
    </w:tbl>
    <w:p/>
    <w:p>
      <w:r>
        <w:t>With $0 dividends: CSF = $17.0M added to treasury. With $2M dividends: CSF = $15.0M.</w:t>
      </w:r>
    </w:p>
    <w:p>
      <w:pPr>
        <w:pStyle w:val="Heading3"/>
      </w:pPr>
      <w:r>
        <w:t>Teaching Tip</w:t>
      </w:r>
    </w:p>
    <w:p>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pPr>
        <w:pStyle w:val="Heading2"/>
      </w:pPr>
      <w:r>
        <w:t>3.2 Contagion Engine (Sigmoid Model)</w:t>
      </w:r>
    </w:p>
    <w:p>
      <w:pPr>
        <w:pStyle w:val="Heading3"/>
      </w:pPr>
      <w:r>
        <w:t>Formula</w:t>
      </w:r>
    </w:p>
    <w:p>
      <w:r>
        <w:rPr>
          <w:rFonts w:ascii="Consolas" w:hAnsi="Consolas"/>
          <w:b/>
          <w:sz w:val="20"/>
        </w:rPr>
        <w:t>Group_Rep = Avg_BU_Rep - 50 x sigmoid((severity - 30) / 15)</w:t>
      </w:r>
    </w:p>
    <w:p>
      <w:r>
        <w:rPr>
          <w:rFonts w:ascii="Consolas" w:hAnsi="Consolas"/>
          <w:sz w:val="20"/>
        </w:rPr>
        <w:t>Where sigmoid(x) = 1 / (1 + e^(-x))</w:t>
      </w:r>
    </w:p>
    <w:p>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pPr>
        <w:pStyle w:val="Heading3"/>
      </w:pPr>
      <w:r>
        <w:t>Sample Calculation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R1 Choice</w:t>
            </w:r>
          </w:p>
        </w:tc>
        <w:tc>
          <w:tcPr>
            <w:tcW w:type="dxa" w:w="1344"/>
            <w:shd w:fill="0F172A"/>
          </w:tcPr>
          <w:p>
            <w:pPr>
              <w:jc w:val="center"/>
            </w:pPr>
            <w:r>
              <w:rPr>
                <w:b/>
                <w:color w:val="FFFFFF"/>
                <w:sz w:val="18"/>
              </w:rPr>
              <w:t>Severity</w:t>
            </w:r>
          </w:p>
        </w:tc>
        <w:tc>
          <w:tcPr>
            <w:tcW w:type="dxa" w:w="1344"/>
            <w:shd w:fill="0F172A"/>
          </w:tcPr>
          <w:p>
            <w:pPr>
              <w:jc w:val="center"/>
            </w:pPr>
            <w:r>
              <w:rPr>
                <w:b/>
                <w:color w:val="FFFFFF"/>
                <w:sz w:val="18"/>
              </w:rPr>
              <w:t>Sigmoid Input</w:t>
            </w:r>
          </w:p>
        </w:tc>
        <w:tc>
          <w:tcPr>
            <w:tcW w:type="dxa" w:w="1344"/>
            <w:shd w:fill="0F172A"/>
          </w:tcPr>
          <w:p>
            <w:pPr>
              <w:jc w:val="center"/>
            </w:pPr>
            <w:r>
              <w:rPr>
                <w:b/>
                <w:color w:val="FFFFFF"/>
                <w:sz w:val="18"/>
              </w:rPr>
              <w:t>Sigmoid Output</w:t>
            </w:r>
          </w:p>
        </w:tc>
        <w:tc>
          <w:tcPr>
            <w:tcW w:type="dxa" w:w="1344"/>
            <w:shd w:fill="0F172A"/>
          </w:tcPr>
          <w:p>
            <w:pPr>
              <w:jc w:val="center"/>
            </w:pPr>
            <w:r>
              <w:rPr>
                <w:b/>
                <w:color w:val="FFFFFF"/>
                <w:sz w:val="18"/>
              </w:rPr>
              <w:t>Rep Hit</w:t>
            </w:r>
          </w:p>
        </w:tc>
        <w:tc>
          <w:tcPr>
            <w:tcW w:type="dxa" w:w="1344"/>
            <w:shd w:fill="0F172A"/>
          </w:tcPr>
          <w:p>
            <w:pPr>
              <w:jc w:val="center"/>
            </w:pPr>
            <w:r>
              <w:rPr>
                <w:b/>
                <w:color w:val="FFFFFF"/>
                <w:sz w:val="18"/>
              </w:rPr>
              <w:t>Final Rep</w:t>
            </w:r>
          </w:p>
        </w:tc>
      </w:tr>
      <w:tr>
        <w:tc>
          <w:tcPr>
            <w:tcW w:type="dxa" w:w="1344"/>
          </w:tcPr>
          <w:p>
            <w:pPr>
              <w:spacing w:after="40"/>
            </w:pPr>
            <w:r>
              <w:rPr>
                <w:sz w:val="18"/>
              </w:rPr>
              <w:t>Deep Audit (no blindspot)</w:t>
            </w:r>
          </w:p>
        </w:tc>
        <w:tc>
          <w:tcPr>
            <w:tcW w:type="dxa" w:w="1344"/>
          </w:tcPr>
          <w:p>
            <w:pPr>
              <w:spacing w:after="40"/>
            </w:pPr>
            <w:r>
              <w:rPr>
                <w:sz w:val="18"/>
              </w:rPr>
              <w:t>B</w:t>
            </w:r>
          </w:p>
        </w:tc>
        <w:tc>
          <w:tcPr>
            <w:tcW w:type="dxa" w:w="1344"/>
          </w:tcPr>
          <w:p>
            <w:pPr>
              <w:spacing w:after="40"/>
            </w:pPr>
            <w:r>
              <w:rPr>
                <w:sz w:val="18"/>
              </w:rPr>
              <w:t>40</w:t>
            </w:r>
          </w:p>
        </w:tc>
        <w:tc>
          <w:tcPr>
            <w:tcW w:type="dxa" w:w="1344"/>
          </w:tcPr>
          <w:p>
            <w:pPr>
              <w:spacing w:after="40"/>
            </w:pPr>
            <w:r>
              <w:rPr>
                <w:sz w:val="18"/>
              </w:rPr>
              <w:t>(40-30)/15 = 0.67</w:t>
            </w:r>
          </w:p>
        </w:tc>
        <w:tc>
          <w:tcPr>
            <w:tcW w:type="dxa" w:w="1344"/>
          </w:tcPr>
          <w:p>
            <w:pPr>
              <w:spacing w:after="40"/>
            </w:pPr>
            <w:r>
              <w:rPr>
                <w:sz w:val="18"/>
              </w:rPr>
              <w:t>0.66</w:t>
            </w:r>
          </w:p>
        </w:tc>
        <w:tc>
          <w:tcPr>
            <w:tcW w:type="dxa" w:w="1344"/>
          </w:tcPr>
          <w:p>
            <w:pPr>
              <w:spacing w:after="40"/>
            </w:pPr>
            <w:r>
              <w:rPr>
                <w:sz w:val="18"/>
              </w:rPr>
              <w:t>-33.0</w:t>
            </w:r>
          </w:p>
        </w:tc>
        <w:tc>
          <w:tcPr>
            <w:tcW w:type="dxa" w:w="1344"/>
          </w:tcPr>
          <w:p>
            <w:pPr>
              <w:spacing w:after="40"/>
            </w:pPr>
            <w:r>
              <w:rPr>
                <w:sz w:val="18"/>
              </w:rPr>
              <w:t>22.0</w:t>
            </w:r>
          </w:p>
        </w:tc>
      </w:tr>
      <w:tr>
        <w:tc>
          <w:tcPr>
            <w:tcW w:type="dxa" w:w="1344"/>
            <w:shd w:fill="F3F4F6"/>
          </w:tcPr>
          <w:p>
            <w:pPr>
              <w:spacing w:after="40"/>
            </w:pPr>
            <w:r>
              <w:rPr>
                <w:sz w:val="18"/>
              </w:rPr>
              <w:t>Phased Audit (deferred)</w:t>
            </w:r>
          </w:p>
        </w:tc>
        <w:tc>
          <w:tcPr>
            <w:tcW w:type="dxa" w:w="1344"/>
            <w:shd w:fill="F3F4F6"/>
          </w:tcPr>
          <w:p>
            <w:pPr>
              <w:spacing w:after="40"/>
            </w:pPr>
            <w:r>
              <w:rPr>
                <w:sz w:val="18"/>
              </w:rPr>
              <w:t>C</w:t>
            </w:r>
          </w:p>
        </w:tc>
        <w:tc>
          <w:tcPr>
            <w:tcW w:type="dxa" w:w="1344"/>
            <w:shd w:fill="F3F4F6"/>
          </w:tcPr>
          <w:p>
            <w:pPr>
              <w:spacing w:after="40"/>
            </w:pPr>
            <w:r>
              <w:rPr>
                <w:sz w:val="18"/>
              </w:rPr>
              <w:t>60</w:t>
            </w:r>
          </w:p>
        </w:tc>
        <w:tc>
          <w:tcPr>
            <w:tcW w:type="dxa" w:w="1344"/>
            <w:shd w:fill="F3F4F6"/>
          </w:tcPr>
          <w:p>
            <w:pPr>
              <w:spacing w:after="40"/>
            </w:pPr>
            <w:r>
              <w:rPr>
                <w:sz w:val="18"/>
              </w:rPr>
              <w:t>(60-30)/15 = 2.0</w:t>
            </w:r>
          </w:p>
        </w:tc>
        <w:tc>
          <w:tcPr>
            <w:tcW w:type="dxa" w:w="1344"/>
            <w:shd w:fill="F3F4F6"/>
          </w:tcPr>
          <w:p>
            <w:pPr>
              <w:spacing w:after="40"/>
            </w:pPr>
            <w:r>
              <w:rPr>
                <w:sz w:val="18"/>
              </w:rPr>
              <w:t>0.88</w:t>
            </w:r>
          </w:p>
        </w:tc>
        <w:tc>
          <w:tcPr>
            <w:tcW w:type="dxa" w:w="1344"/>
            <w:shd w:fill="F3F4F6"/>
          </w:tcPr>
          <w:p>
            <w:pPr>
              <w:spacing w:after="40"/>
            </w:pPr>
            <w:r>
              <w:rPr>
                <w:sz w:val="18"/>
              </w:rPr>
              <w:t>-44.0</w:t>
            </w:r>
          </w:p>
        </w:tc>
        <w:tc>
          <w:tcPr>
            <w:tcW w:type="dxa" w:w="1344"/>
            <w:shd w:fill="F3F4F6"/>
          </w:tcPr>
          <w:p>
            <w:pPr>
              <w:spacing w:after="40"/>
            </w:pPr>
            <w:r>
              <w:rPr>
                <w:sz w:val="18"/>
              </w:rPr>
              <w:t>11.0</w:t>
            </w:r>
          </w:p>
        </w:tc>
      </w:tr>
      <w:tr>
        <w:tc>
          <w:tcPr>
            <w:tcW w:type="dxa" w:w="1344"/>
          </w:tcPr>
          <w:p>
            <w:pPr>
              <w:spacing w:after="40"/>
            </w:pPr>
            <w:r>
              <w:rPr>
                <w:sz w:val="18"/>
              </w:rPr>
              <w:t>Surface Scan (blindspot)</w:t>
            </w:r>
          </w:p>
        </w:tc>
        <w:tc>
          <w:tcPr>
            <w:tcW w:type="dxa" w:w="1344"/>
          </w:tcPr>
          <w:p>
            <w:pPr>
              <w:spacing w:after="40"/>
            </w:pPr>
            <w:r>
              <w:rPr>
                <w:sz w:val="18"/>
              </w:rPr>
              <w:t>A</w:t>
            </w:r>
          </w:p>
        </w:tc>
        <w:tc>
          <w:tcPr>
            <w:tcW w:type="dxa" w:w="1344"/>
          </w:tcPr>
          <w:p>
            <w:pPr>
              <w:spacing w:after="40"/>
            </w:pPr>
            <w:r>
              <w:rPr>
                <w:sz w:val="18"/>
              </w:rPr>
              <w:t>80</w:t>
            </w:r>
          </w:p>
        </w:tc>
        <w:tc>
          <w:tcPr>
            <w:tcW w:type="dxa" w:w="1344"/>
          </w:tcPr>
          <w:p>
            <w:pPr>
              <w:spacing w:after="40"/>
            </w:pPr>
            <w:r>
              <w:rPr>
                <w:sz w:val="18"/>
              </w:rPr>
              <w:t>(80-30)/15 = 3.33</w:t>
            </w:r>
          </w:p>
        </w:tc>
        <w:tc>
          <w:tcPr>
            <w:tcW w:type="dxa" w:w="1344"/>
          </w:tcPr>
          <w:p>
            <w:pPr>
              <w:spacing w:after="40"/>
            </w:pPr>
            <w:r>
              <w:rPr>
                <w:sz w:val="18"/>
              </w:rPr>
              <w:t>0.97</w:t>
            </w:r>
          </w:p>
        </w:tc>
        <w:tc>
          <w:tcPr>
            <w:tcW w:type="dxa" w:w="1344"/>
          </w:tcPr>
          <w:p>
            <w:pPr>
              <w:spacing w:after="40"/>
            </w:pPr>
            <w:r>
              <w:rPr>
                <w:sz w:val="18"/>
              </w:rPr>
              <w:t>-48.3</w:t>
            </w:r>
          </w:p>
        </w:tc>
        <w:tc>
          <w:tcPr>
            <w:tcW w:type="dxa" w:w="1344"/>
          </w:tcPr>
          <w:p>
            <w:pPr>
              <w:spacing w:after="40"/>
            </w:pPr>
            <w:r>
              <w:rPr>
                <w:sz w:val="18"/>
              </w:rPr>
              <w:t>6.7</w:t>
            </w:r>
          </w:p>
        </w:tc>
      </w:tr>
    </w:tbl>
    <w:p/>
    <w:p>
      <w:r>
        <w:t>Starting avg rep = 55. The blindspot team loses 48.3 points vs. 33.0 for the audited team — a 46% worse outcome from a single R1 decision. This is the simulation's most consequential hidden mechanic.</w:t>
      </w:r>
    </w:p>
    <w:p>
      <w:pPr>
        <w:pStyle w:val="Heading3"/>
      </w:pPr>
      <w:r>
        <w:t>Teaching Tip</w:t>
      </w:r>
    </w:p>
    <w:p>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pPr>
        <w:pStyle w:val="Heading2"/>
      </w:pPr>
      <w:r>
        <w:t>3.3 Synergy Engine (Square-Root Scaling)</w:t>
      </w:r>
    </w:p>
    <w:p>
      <w:pPr>
        <w:pStyle w:val="Heading3"/>
      </w:pPr>
      <w:r>
        <w:t>Formula</w:t>
      </w:r>
    </w:p>
    <w:p>
      <w:r>
        <w:rPr>
          <w:rFonts w:ascii="Consolas" w:hAnsi="Consolas"/>
          <w:b/>
          <w:sz w:val="20"/>
        </w:rPr>
        <w:t>effective_ratio = sqrt(investment_ratio) x 0.7</w:t>
      </w:r>
    </w:p>
    <w:p>
      <w:r>
        <w:rPr>
          <w:rFonts w:ascii="Consolas" w:hAnsi="Consolas"/>
          <w:b/>
          <w:sz w:val="20"/>
        </w:rPr>
        <w:t>New_OPEX = Old_OPEX x (1 - effective_ratio x synergy_multiplier)</w:t>
      </w:r>
    </w:p>
    <w:p>
      <w:r>
        <w:t>Square-root scaling means the first dollar invested yields the highest return, with each subsequent dollar yielding progressively less. At 25% investment ratio, you get 50% of max efficiency. At 100%, you get 70%. This prevents "solve by spending" strategies.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Investment Ratio</w:t>
            </w:r>
          </w:p>
        </w:tc>
        <w:tc>
          <w:tcPr>
            <w:tcW w:type="dxa" w:w="1881"/>
            <w:shd w:fill="0F172A"/>
          </w:tcPr>
          <w:p>
            <w:pPr>
              <w:jc w:val="center"/>
            </w:pPr>
            <w:r>
              <w:rPr>
                <w:b/>
                <w:color w:val="FFFFFF"/>
                <w:sz w:val="18"/>
              </w:rPr>
              <w:t>sqrt(ratio)</w:t>
            </w:r>
          </w:p>
        </w:tc>
        <w:tc>
          <w:tcPr>
            <w:tcW w:type="dxa" w:w="1881"/>
            <w:shd w:fill="0F172A"/>
          </w:tcPr>
          <w:p>
            <w:pPr>
              <w:jc w:val="center"/>
            </w:pPr>
            <w:r>
              <w:rPr>
                <w:b/>
                <w:color w:val="FFFFFF"/>
                <w:sz w:val="18"/>
              </w:rPr>
              <w:t>Effective Ratio</w:t>
            </w:r>
          </w:p>
        </w:tc>
        <w:tc>
          <w:tcPr>
            <w:tcW w:type="dxa" w:w="1881"/>
            <w:shd w:fill="0F172A"/>
          </w:tcPr>
          <w:p>
            <w:pPr>
              <w:jc w:val="center"/>
            </w:pPr>
            <w:r>
              <w:rPr>
                <w:b/>
                <w:color w:val="FFFFFF"/>
                <w:sz w:val="18"/>
              </w:rPr>
              <w:t>OPEX Reduction (syn=1.0)</w:t>
            </w:r>
          </w:p>
        </w:tc>
        <w:tc>
          <w:tcPr>
            <w:tcW w:type="dxa" w:w="1881"/>
            <w:shd w:fill="0F172A"/>
          </w:tcPr>
          <w:p>
            <w:pPr>
              <w:jc w:val="center"/>
            </w:pPr>
            <w:r>
              <w:rPr>
                <w:b/>
                <w:color w:val="FFFFFF"/>
                <w:sz w:val="18"/>
              </w:rPr>
              <w:t>Comment</w:t>
            </w:r>
          </w:p>
        </w:tc>
      </w:tr>
      <w:tr>
        <w:tc>
          <w:tcPr>
            <w:tcW w:type="dxa" w:w="1881"/>
          </w:tcPr>
          <w:p>
            <w:pPr>
              <w:spacing w:after="40"/>
            </w:pPr>
            <w:r>
              <w:rPr>
                <w:sz w:val="18"/>
              </w:rPr>
              <w:t>10%</w:t>
            </w:r>
          </w:p>
        </w:tc>
        <w:tc>
          <w:tcPr>
            <w:tcW w:type="dxa" w:w="1881"/>
          </w:tcPr>
          <w:p>
            <w:pPr>
              <w:spacing w:after="40"/>
            </w:pPr>
            <w:r>
              <w:rPr>
                <w:sz w:val="18"/>
              </w:rPr>
              <w:t>0.316</w:t>
            </w:r>
          </w:p>
        </w:tc>
        <w:tc>
          <w:tcPr>
            <w:tcW w:type="dxa" w:w="1881"/>
          </w:tcPr>
          <w:p>
            <w:pPr>
              <w:spacing w:after="40"/>
            </w:pPr>
            <w:r>
              <w:rPr>
                <w:sz w:val="18"/>
              </w:rPr>
              <w:t>0.221</w:t>
            </w:r>
          </w:p>
        </w:tc>
        <w:tc>
          <w:tcPr>
            <w:tcW w:type="dxa" w:w="1881"/>
          </w:tcPr>
          <w:p>
            <w:pPr>
              <w:spacing w:after="40"/>
            </w:pPr>
            <w:r>
              <w:rPr>
                <w:sz w:val="18"/>
              </w:rPr>
              <w:t>-22.1%</w:t>
            </w:r>
          </w:p>
        </w:tc>
        <w:tc>
          <w:tcPr>
            <w:tcW w:type="dxa" w:w="1881"/>
          </w:tcPr>
          <w:p>
            <w:pPr>
              <w:spacing w:after="40"/>
            </w:pPr>
            <w:r>
              <w:rPr>
                <w:sz w:val="18"/>
              </w:rPr>
              <w:t>Excellent ROI per dollar</w:t>
            </w:r>
          </w:p>
        </w:tc>
      </w:tr>
      <w:tr>
        <w:tc>
          <w:tcPr>
            <w:tcW w:type="dxa" w:w="1881"/>
            <w:shd w:fill="F3F4F6"/>
          </w:tcPr>
          <w:p>
            <w:pPr>
              <w:spacing w:after="40"/>
            </w:pPr>
            <w:r>
              <w:rPr>
                <w:sz w:val="18"/>
              </w:rPr>
              <w:t>25%</w:t>
            </w:r>
          </w:p>
        </w:tc>
        <w:tc>
          <w:tcPr>
            <w:tcW w:type="dxa" w:w="1881"/>
            <w:shd w:fill="F3F4F6"/>
          </w:tcPr>
          <w:p>
            <w:pPr>
              <w:spacing w:after="40"/>
            </w:pPr>
            <w:r>
              <w:rPr>
                <w:sz w:val="18"/>
              </w:rPr>
              <w:t>0.500</w:t>
            </w:r>
          </w:p>
        </w:tc>
        <w:tc>
          <w:tcPr>
            <w:tcW w:type="dxa" w:w="1881"/>
            <w:shd w:fill="F3F4F6"/>
          </w:tcPr>
          <w:p>
            <w:pPr>
              <w:spacing w:after="40"/>
            </w:pPr>
            <w:r>
              <w:rPr>
                <w:sz w:val="18"/>
              </w:rPr>
              <w:t>0.350</w:t>
            </w:r>
          </w:p>
        </w:tc>
        <w:tc>
          <w:tcPr>
            <w:tcW w:type="dxa" w:w="1881"/>
            <w:shd w:fill="F3F4F6"/>
          </w:tcPr>
          <w:p>
            <w:pPr>
              <w:spacing w:after="40"/>
            </w:pPr>
            <w:r>
              <w:rPr>
                <w:sz w:val="18"/>
              </w:rPr>
              <w:t>-35.0%</w:t>
            </w:r>
          </w:p>
        </w:tc>
        <w:tc>
          <w:tcPr>
            <w:tcW w:type="dxa" w:w="1881"/>
            <w:shd w:fill="F3F4F6"/>
          </w:tcPr>
          <w:p>
            <w:pPr>
              <w:spacing w:after="40"/>
            </w:pPr>
            <w:r>
              <w:rPr>
                <w:sz w:val="18"/>
              </w:rPr>
              <w:t>Good balance</w:t>
            </w:r>
          </w:p>
        </w:tc>
      </w:tr>
      <w:tr>
        <w:tc>
          <w:tcPr>
            <w:tcW w:type="dxa" w:w="1881"/>
          </w:tcPr>
          <w:p>
            <w:pPr>
              <w:spacing w:after="40"/>
            </w:pPr>
            <w:r>
              <w:rPr>
                <w:sz w:val="18"/>
              </w:rPr>
              <w:t>50%</w:t>
            </w:r>
          </w:p>
        </w:tc>
        <w:tc>
          <w:tcPr>
            <w:tcW w:type="dxa" w:w="1881"/>
          </w:tcPr>
          <w:p>
            <w:pPr>
              <w:spacing w:after="40"/>
            </w:pPr>
            <w:r>
              <w:rPr>
                <w:sz w:val="18"/>
              </w:rPr>
              <w:t>0.707</w:t>
            </w:r>
          </w:p>
        </w:tc>
        <w:tc>
          <w:tcPr>
            <w:tcW w:type="dxa" w:w="1881"/>
          </w:tcPr>
          <w:p>
            <w:pPr>
              <w:spacing w:after="40"/>
            </w:pPr>
            <w:r>
              <w:rPr>
                <w:sz w:val="18"/>
              </w:rPr>
              <w:t>0.495</w:t>
            </w:r>
          </w:p>
        </w:tc>
        <w:tc>
          <w:tcPr>
            <w:tcW w:type="dxa" w:w="1881"/>
          </w:tcPr>
          <w:p>
            <w:pPr>
              <w:spacing w:after="40"/>
            </w:pPr>
            <w:r>
              <w:rPr>
                <w:sz w:val="18"/>
              </w:rPr>
              <w:t>-49.5%</w:t>
            </w:r>
          </w:p>
        </w:tc>
        <w:tc>
          <w:tcPr>
            <w:tcW w:type="dxa" w:w="1881"/>
          </w:tcPr>
          <w:p>
            <w:pPr>
              <w:spacing w:after="40"/>
            </w:pPr>
            <w:r>
              <w:rPr>
                <w:sz w:val="18"/>
              </w:rPr>
              <w:t>Diminishing returns begin</w:t>
            </w:r>
          </w:p>
        </w:tc>
      </w:tr>
      <w:tr>
        <w:tc>
          <w:tcPr>
            <w:tcW w:type="dxa" w:w="1881"/>
            <w:shd w:fill="F3F4F6"/>
          </w:tcPr>
          <w:p>
            <w:pPr>
              <w:spacing w:after="40"/>
            </w:pPr>
            <w:r>
              <w:rPr>
                <w:sz w:val="18"/>
              </w:rPr>
              <w:t>100%</w:t>
            </w:r>
          </w:p>
        </w:tc>
        <w:tc>
          <w:tcPr>
            <w:tcW w:type="dxa" w:w="1881"/>
            <w:shd w:fill="F3F4F6"/>
          </w:tcPr>
          <w:p>
            <w:pPr>
              <w:spacing w:after="40"/>
            </w:pPr>
            <w:r>
              <w:rPr>
                <w:sz w:val="18"/>
              </w:rPr>
              <w:t>1.000</w:t>
            </w:r>
          </w:p>
        </w:tc>
        <w:tc>
          <w:tcPr>
            <w:tcW w:type="dxa" w:w="1881"/>
            <w:shd w:fill="F3F4F6"/>
          </w:tcPr>
          <w:p>
            <w:pPr>
              <w:spacing w:after="40"/>
            </w:pPr>
            <w:r>
              <w:rPr>
                <w:sz w:val="18"/>
              </w:rPr>
              <w:t>0.700</w:t>
            </w:r>
          </w:p>
        </w:tc>
        <w:tc>
          <w:tcPr>
            <w:tcW w:type="dxa" w:w="1881"/>
            <w:shd w:fill="F3F4F6"/>
          </w:tcPr>
          <w:p>
            <w:pPr>
              <w:spacing w:after="40"/>
            </w:pPr>
            <w:r>
              <w:rPr>
                <w:sz w:val="18"/>
              </w:rPr>
              <w:t>-70.0%</w:t>
            </w:r>
          </w:p>
        </w:tc>
        <w:tc>
          <w:tcPr>
            <w:tcW w:type="dxa" w:w="1881"/>
            <w:shd w:fill="F3F4F6"/>
          </w:tcPr>
          <w:p>
            <w:pPr>
              <w:spacing w:after="40"/>
            </w:pPr>
            <w:r>
              <w:rPr>
                <w:sz w:val="18"/>
              </w:rPr>
              <w:t>Maximum efficiency (capped at 70%)</w:t>
            </w:r>
          </w:p>
        </w:tc>
      </w:tr>
    </w:tbl>
    <w:p/>
    <w:p>
      <w:pPr>
        <w:pStyle w:val="Heading3"/>
      </w:pPr>
      <w:r>
        <w:t>Teaching Tip</w:t>
      </w:r>
    </w:p>
    <w:p>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pPr>
        <w:pStyle w:val="Heading2"/>
      </w:pPr>
      <w:r>
        <w:t>3.4 Natural Capital Debt (NCD) Compounding</w:t>
      </w:r>
    </w:p>
    <w:p>
      <w:pPr>
        <w:pStyle w:val="Heading3"/>
      </w:pPr>
      <w:r>
        <w:t>Formula</w:t>
      </w:r>
    </w:p>
    <w:p>
      <w:r>
        <w:rPr>
          <w:rFonts w:ascii="Consolas" w:hAnsi="Consolas"/>
          <w:b/>
          <w:sz w:val="20"/>
        </w:rPr>
        <w:t>Interest_Rate = Base_Rate + (NCD x 0.0001)</w:t>
      </w:r>
    </w:p>
    <w:p>
      <w:r>
        <w:rPr>
          <w:rFonts w:ascii="Consolas" w:hAnsi="Consolas"/>
          <w:b/>
          <w:sz w:val="20"/>
        </w:rPr>
        <w:t>NCD_new = NCD_current x (1 + Interest_Rate) + round_delta</w:t>
      </w:r>
    </w:p>
    <w:p>
      <w:r>
        <w:t>At NCD=100, interest rate is ~6%. At NCD=500, it climbs to ~10%. This creates a "debt trap" — the more ecological damage you accumulate, the faster it compounds. NCD is deducted from terminal value as an ecological liability.</w:t>
      </w:r>
    </w:p>
    <w:p>
      <w:pPr>
        <w:pStyle w:val="Heading3"/>
      </w:pPr>
      <w:r>
        <w:t>Sample Calculation</w:t>
      </w:r>
    </w:p>
    <w:p>
      <w:r>
        <w:t>Electronics BU starts with NCD = 200. Assume no investment (round_delta = 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Round</w:t>
            </w:r>
          </w:p>
        </w:tc>
        <w:tc>
          <w:tcPr>
            <w:tcW w:type="dxa" w:w="1881"/>
            <w:shd w:fill="0F172A"/>
          </w:tcPr>
          <w:p>
            <w:pPr>
              <w:jc w:val="center"/>
            </w:pPr>
            <w:r>
              <w:rPr>
                <w:b/>
                <w:color w:val="FFFFFF"/>
                <w:sz w:val="18"/>
              </w:rPr>
              <w:t>NCD Start</w:t>
            </w:r>
          </w:p>
        </w:tc>
        <w:tc>
          <w:tcPr>
            <w:tcW w:type="dxa" w:w="1881"/>
            <w:shd w:fill="0F172A"/>
          </w:tcPr>
          <w:p>
            <w:pPr>
              <w:jc w:val="center"/>
            </w:pPr>
            <w:r>
              <w:rPr>
                <w:b/>
                <w:color w:val="FFFFFF"/>
                <w:sz w:val="18"/>
              </w:rPr>
              <w:t>Rate</w:t>
            </w:r>
          </w:p>
        </w:tc>
        <w:tc>
          <w:tcPr>
            <w:tcW w:type="dxa" w:w="1881"/>
            <w:shd w:fill="0F172A"/>
          </w:tcPr>
          <w:p>
            <w:pPr>
              <w:jc w:val="center"/>
            </w:pPr>
            <w:r>
              <w:rPr>
                <w:b/>
                <w:color w:val="FFFFFF"/>
                <w:sz w:val="18"/>
              </w:rPr>
              <w:t>Interest</w:t>
            </w:r>
          </w:p>
        </w:tc>
        <w:tc>
          <w:tcPr>
            <w:tcW w:type="dxa" w:w="1881"/>
            <w:shd w:fill="0F172A"/>
          </w:tcPr>
          <w:p>
            <w:pPr>
              <w:jc w:val="center"/>
            </w:pPr>
            <w:r>
              <w:rPr>
                <w:b/>
                <w:color w:val="FFFFFF"/>
                <w:sz w:val="18"/>
              </w:rPr>
              <w:t>NCD End</w:t>
            </w:r>
          </w:p>
        </w:tc>
      </w:tr>
      <w:tr>
        <w:tc>
          <w:tcPr>
            <w:tcW w:type="dxa" w:w="1881"/>
          </w:tcPr>
          <w:p>
            <w:pPr>
              <w:spacing w:after="40"/>
            </w:pPr>
            <w:r>
              <w:rPr>
                <w:sz w:val="18"/>
              </w:rPr>
              <w:t>R1</w:t>
            </w:r>
          </w:p>
        </w:tc>
        <w:tc>
          <w:tcPr>
            <w:tcW w:type="dxa" w:w="1881"/>
          </w:tcPr>
          <w:p>
            <w:pPr>
              <w:spacing w:after="40"/>
            </w:pPr>
            <w:r>
              <w:rPr>
                <w:sz w:val="18"/>
              </w:rPr>
              <w:t>200.0</w:t>
            </w:r>
          </w:p>
        </w:tc>
        <w:tc>
          <w:tcPr>
            <w:tcW w:type="dxa" w:w="1881"/>
          </w:tcPr>
          <w:p>
            <w:pPr>
              <w:spacing w:after="40"/>
            </w:pPr>
            <w:r>
              <w:rPr>
                <w:sz w:val="18"/>
              </w:rPr>
              <w:t>6.02%</w:t>
            </w:r>
          </w:p>
        </w:tc>
        <w:tc>
          <w:tcPr>
            <w:tcW w:type="dxa" w:w="1881"/>
          </w:tcPr>
          <w:p>
            <w:pPr>
              <w:spacing w:after="40"/>
            </w:pPr>
            <w:r>
              <w:rPr>
                <w:sz w:val="18"/>
              </w:rPr>
              <w:t>+12.0</w:t>
            </w:r>
          </w:p>
        </w:tc>
        <w:tc>
          <w:tcPr>
            <w:tcW w:type="dxa" w:w="1881"/>
          </w:tcPr>
          <w:p>
            <w:pPr>
              <w:spacing w:after="40"/>
            </w:pPr>
            <w:r>
              <w:rPr>
                <w:sz w:val="18"/>
              </w:rPr>
              <w:t>212.0</w:t>
            </w:r>
          </w:p>
        </w:tc>
      </w:tr>
      <w:tr>
        <w:tc>
          <w:tcPr>
            <w:tcW w:type="dxa" w:w="1881"/>
            <w:shd w:fill="F3F4F6"/>
          </w:tcPr>
          <w:p>
            <w:pPr>
              <w:spacing w:after="40"/>
            </w:pPr>
            <w:r>
              <w:rPr>
                <w:sz w:val="18"/>
              </w:rPr>
              <w:t>R3</w:t>
            </w:r>
          </w:p>
        </w:tc>
        <w:tc>
          <w:tcPr>
            <w:tcW w:type="dxa" w:w="1881"/>
            <w:shd w:fill="F3F4F6"/>
          </w:tcPr>
          <w:p>
            <w:pPr>
              <w:spacing w:after="40"/>
            </w:pPr>
            <w:r>
              <w:rPr>
                <w:sz w:val="18"/>
              </w:rPr>
              <w:t>225.1</w:t>
            </w:r>
          </w:p>
        </w:tc>
        <w:tc>
          <w:tcPr>
            <w:tcW w:type="dxa" w:w="1881"/>
            <w:shd w:fill="F3F4F6"/>
          </w:tcPr>
          <w:p>
            <w:pPr>
              <w:spacing w:after="40"/>
            </w:pPr>
            <w:r>
              <w:rPr>
                <w:sz w:val="18"/>
              </w:rPr>
              <w:t>6.03%</w:t>
            </w:r>
          </w:p>
        </w:tc>
        <w:tc>
          <w:tcPr>
            <w:tcW w:type="dxa" w:w="1881"/>
            <w:shd w:fill="F3F4F6"/>
          </w:tcPr>
          <w:p>
            <w:pPr>
              <w:spacing w:after="40"/>
            </w:pPr>
            <w:r>
              <w:rPr>
                <w:sz w:val="18"/>
              </w:rPr>
              <w:t>+13.6</w:t>
            </w:r>
          </w:p>
        </w:tc>
        <w:tc>
          <w:tcPr>
            <w:tcW w:type="dxa" w:w="1881"/>
            <w:shd w:fill="F3F4F6"/>
          </w:tcPr>
          <w:p>
            <w:pPr>
              <w:spacing w:after="40"/>
            </w:pPr>
            <w:r>
              <w:rPr>
                <w:sz w:val="18"/>
              </w:rPr>
              <w:t>238.7</w:t>
            </w:r>
          </w:p>
        </w:tc>
      </w:tr>
      <w:tr>
        <w:tc>
          <w:tcPr>
            <w:tcW w:type="dxa" w:w="1881"/>
          </w:tcPr>
          <w:p>
            <w:pPr>
              <w:spacing w:after="40"/>
            </w:pPr>
            <w:r>
              <w:rPr>
                <w:sz w:val="18"/>
              </w:rPr>
              <w:t>R5</w:t>
            </w:r>
          </w:p>
        </w:tc>
        <w:tc>
          <w:tcPr>
            <w:tcW w:type="dxa" w:w="1881"/>
          </w:tcPr>
          <w:p>
            <w:pPr>
              <w:spacing w:after="40"/>
            </w:pPr>
            <w:r>
              <w:rPr>
                <w:sz w:val="18"/>
              </w:rPr>
              <w:t>252.6</w:t>
            </w:r>
          </w:p>
        </w:tc>
        <w:tc>
          <w:tcPr>
            <w:tcW w:type="dxa" w:w="1881"/>
          </w:tcPr>
          <w:p>
            <w:pPr>
              <w:spacing w:after="40"/>
            </w:pPr>
            <w:r>
              <w:rPr>
                <w:sz w:val="18"/>
              </w:rPr>
              <w:t>6.03%</w:t>
            </w:r>
          </w:p>
        </w:tc>
        <w:tc>
          <w:tcPr>
            <w:tcW w:type="dxa" w:w="1881"/>
          </w:tcPr>
          <w:p>
            <w:pPr>
              <w:spacing w:after="40"/>
            </w:pPr>
            <w:r>
              <w:rPr>
                <w:sz w:val="18"/>
              </w:rPr>
              <w:t>+15.2</w:t>
            </w:r>
          </w:p>
        </w:tc>
        <w:tc>
          <w:tcPr>
            <w:tcW w:type="dxa" w:w="1881"/>
          </w:tcPr>
          <w:p>
            <w:pPr>
              <w:spacing w:after="40"/>
            </w:pPr>
            <w:r>
              <w:rPr>
                <w:sz w:val="18"/>
              </w:rPr>
              <w:t>267.8</w:t>
            </w:r>
          </w:p>
        </w:tc>
      </w:tr>
      <w:tr>
        <w:tc>
          <w:tcPr>
            <w:tcW w:type="dxa" w:w="1881"/>
            <w:shd w:fill="F3F4F6"/>
          </w:tcPr>
          <w:p>
            <w:pPr>
              <w:spacing w:after="40"/>
            </w:pPr>
            <w:r>
              <w:rPr>
                <w:sz w:val="18"/>
              </w:rPr>
              <w:t>R7</w:t>
            </w:r>
          </w:p>
        </w:tc>
        <w:tc>
          <w:tcPr>
            <w:tcW w:type="dxa" w:w="1881"/>
            <w:shd w:fill="F3F4F6"/>
          </w:tcPr>
          <w:p>
            <w:pPr>
              <w:spacing w:after="40"/>
            </w:pPr>
            <w:r>
              <w:rPr>
                <w:sz w:val="18"/>
              </w:rPr>
              <w:t>283.4</w:t>
            </w:r>
          </w:p>
        </w:tc>
        <w:tc>
          <w:tcPr>
            <w:tcW w:type="dxa" w:w="1881"/>
            <w:shd w:fill="F3F4F6"/>
          </w:tcPr>
          <w:p>
            <w:pPr>
              <w:spacing w:after="40"/>
            </w:pPr>
            <w:r>
              <w:rPr>
                <w:sz w:val="18"/>
              </w:rPr>
              <w:t>6.03%</w:t>
            </w:r>
          </w:p>
        </w:tc>
        <w:tc>
          <w:tcPr>
            <w:tcW w:type="dxa" w:w="1881"/>
            <w:shd w:fill="F3F4F6"/>
          </w:tcPr>
          <w:p>
            <w:pPr>
              <w:spacing w:after="40"/>
            </w:pPr>
            <w:r>
              <w:rPr>
                <w:sz w:val="18"/>
              </w:rPr>
              <w:t>+17.1</w:t>
            </w:r>
          </w:p>
        </w:tc>
        <w:tc>
          <w:tcPr>
            <w:tcW w:type="dxa" w:w="1881"/>
            <w:shd w:fill="F3F4F6"/>
          </w:tcPr>
          <w:p>
            <w:pPr>
              <w:spacing w:after="40"/>
            </w:pPr>
            <w:r>
              <w:rPr>
                <w:sz w:val="18"/>
              </w:rPr>
              <w:t>300.5</w:t>
            </w:r>
          </w:p>
        </w:tc>
      </w:tr>
      <w:tr>
        <w:tc>
          <w:tcPr>
            <w:tcW w:type="dxa" w:w="1881"/>
          </w:tcPr>
          <w:p>
            <w:pPr>
              <w:spacing w:after="40"/>
            </w:pPr>
            <w:r>
              <w:rPr>
                <w:sz w:val="18"/>
              </w:rPr>
              <w:t>R10</w:t>
            </w:r>
          </w:p>
        </w:tc>
        <w:tc>
          <w:tcPr>
            <w:tcW w:type="dxa" w:w="1881"/>
          </w:tcPr>
          <w:p>
            <w:pPr>
              <w:spacing w:after="40"/>
            </w:pPr>
            <w:r>
              <w:rPr>
                <w:sz w:val="18"/>
              </w:rPr>
              <w:t>337.5</w:t>
            </w:r>
          </w:p>
        </w:tc>
        <w:tc>
          <w:tcPr>
            <w:tcW w:type="dxa" w:w="1881"/>
          </w:tcPr>
          <w:p>
            <w:pPr>
              <w:spacing w:after="40"/>
            </w:pPr>
            <w:r>
              <w:rPr>
                <w:sz w:val="18"/>
              </w:rPr>
              <w:t>6.03%</w:t>
            </w:r>
          </w:p>
        </w:tc>
        <w:tc>
          <w:tcPr>
            <w:tcW w:type="dxa" w:w="1881"/>
          </w:tcPr>
          <w:p>
            <w:pPr>
              <w:spacing w:after="40"/>
            </w:pPr>
            <w:r>
              <w:rPr>
                <w:sz w:val="18"/>
              </w:rPr>
              <w:t>+20.3</w:t>
            </w:r>
          </w:p>
        </w:tc>
        <w:tc>
          <w:tcPr>
            <w:tcW w:type="dxa" w:w="1881"/>
          </w:tcPr>
          <w:p>
            <w:pPr>
              <w:spacing w:after="40"/>
            </w:pPr>
            <w:r>
              <w:rPr>
                <w:sz w:val="18"/>
              </w:rPr>
              <w:t>357.8</w:t>
            </w:r>
          </w:p>
        </w:tc>
      </w:tr>
    </w:tbl>
    <w:p/>
    <w:p>
      <w:r>
        <w:t>Over 10 rounds of neglect, NCD grows 79% from compounding alone — a $15.8M terminal value penalty at $100K per NCD point.</w:t>
      </w:r>
    </w:p>
    <w:p>
      <w:pPr>
        <w:pStyle w:val="Heading3"/>
      </w:pPr>
      <w:r>
        <w:t>Teaching Tip</w:t>
      </w:r>
    </w:p>
    <w:p>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pPr>
        <w:pStyle w:val="Heading2"/>
      </w:pPr>
      <w:r>
        <w:t>3.5 VRIO Competitive Advantage Decay</w:t>
      </w:r>
    </w:p>
    <w:p>
      <w:pPr>
        <w:pStyle w:val="Heading3"/>
      </w:pPr>
      <w:r>
        <w:t>Formula</w:t>
      </w:r>
    </w:p>
    <w:p>
      <w:r>
        <w:rPr>
          <w:rFonts w:ascii="Consolas" w:hAnsi="Consolas"/>
          <w:b/>
          <w:sz w:val="20"/>
        </w:rPr>
        <w:t>VRIO_next = VRIO_current x (1 - decay_rate)</w:t>
      </w:r>
    </w:p>
    <w:p>
      <w:r>
        <w:t>Default decay_rate = 0.05 (5% per round). VRIO starts at 0.80 and decays towards 0.50 (industry average). Investing in a BU resets or slows decay. VRIO modifies BU revenue effectiveness.</w:t>
      </w:r>
    </w:p>
    <w:p>
      <w:pPr>
        <w:pStyle w:val="Heading3"/>
      </w:pPr>
      <w:r>
        <w:t>Sample Calculation</w:t>
      </w:r>
    </w:p>
    <w:p>
      <w:r>
        <w:t>Starting VRIO = 0.80 with no investment for 5 rounds:</w:t>
      </w:r>
    </w:p>
    <w:p>
      <w:r>
        <w:t>R1: 0.80 x 0.95 = 0.76 | R2: 0.72 | R3: 0.69 | R4: 0.65 | R5: 0.62</w:t>
      </w:r>
    </w:p>
    <w:p>
      <w:r>
        <w:t>After 5 rounds of neglect, competitive advantage drops from "strong" (0.80) to "average" (0.62). This represents competitor imitation eroding your unique capabilities.</w:t>
      </w:r>
    </w:p>
    <w:p>
      <w:pPr>
        <w:pStyle w:val="Heading3"/>
      </w:pPr>
      <w:r>
        <w:t>Teaching Tip</w:t>
      </w:r>
    </w:p>
    <w:p>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pPr>
        <w:pStyle w:val="Heading2"/>
      </w:pPr>
      <w:r>
        <w:t>3.6 Burnout Engine (Quadratic OPEX Penalty)</w:t>
      </w:r>
    </w:p>
    <w:p>
      <w:pPr>
        <w:pStyle w:val="Heading3"/>
      </w:pPr>
      <w:r>
        <w:t>Formula</w:t>
      </w:r>
    </w:p>
    <w:p>
      <w:r>
        <w:rPr>
          <w:rFonts w:ascii="Consolas" w:hAnsi="Consolas"/>
          <w:b/>
          <w:sz w:val="20"/>
        </w:rPr>
        <w:t>Penalty_Rate = ((burnout - 20)^2) x 0.000028125</w:t>
      </w:r>
    </w:p>
    <w:p>
      <w:r>
        <w:rPr>
          <w:rFonts w:ascii="Consolas" w:hAnsi="Consolas"/>
          <w:b/>
          <w:sz w:val="20"/>
        </w:rPr>
        <w:t>OPEX_new = OPEX x (1 + Penalty_Rate)</w:t>
      </w:r>
    </w:p>
    <w:p>
      <w:r>
        <w:t>Burnout follows a quadratic (squared) curve — costs accelerate as burnout increases. Below 20, there is no penalty. Above 20, costs grow exponentially. At 70+, burnout also increases R9 strike probability.</w:t>
      </w:r>
    </w:p>
    <w:p>
      <w:r>
        <w:t>Natural drift: +6 burnout per round if no HR investment. HR investment: -16 to -30 burnout.</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Penalty</w:t>
            </w:r>
          </w:p>
        </w:tc>
        <w:tc>
          <w:tcPr>
            <w:tcW w:type="dxa" w:w="1881"/>
            <w:shd w:fill="0F172A"/>
          </w:tcPr>
          <w:p>
            <w:pPr>
              <w:jc w:val="center"/>
            </w:pPr>
            <w:r>
              <w:rPr>
                <w:b/>
                <w:color w:val="FFFFFF"/>
                <w:sz w:val="18"/>
              </w:rPr>
              <w:t>On $12M OPEX</w:t>
            </w:r>
          </w:p>
        </w:tc>
        <w:tc>
          <w:tcPr>
            <w:tcW w:type="dxa" w:w="1881"/>
            <w:shd w:fill="0F172A"/>
          </w:tcPr>
          <w:p>
            <w:pPr>
              <w:jc w:val="center"/>
            </w:pPr>
            <w:r>
              <w:rPr>
                <w:b/>
                <w:color w:val="FFFFFF"/>
                <w:sz w:val="18"/>
              </w:rPr>
              <w:t>Risk Level</w:t>
            </w:r>
          </w:p>
        </w:tc>
      </w:tr>
      <w:tr>
        <w:tc>
          <w:tcPr>
            <w:tcW w:type="dxa" w:w="1881"/>
          </w:tcPr>
          <w:p>
            <w:pPr>
              <w:spacing w:after="40"/>
            </w:pPr>
            <w:r>
              <w:rPr>
                <w:sz w:val="18"/>
              </w:rPr>
              <w:t>20%</w:t>
            </w:r>
          </w:p>
        </w:tc>
        <w:tc>
          <w:tcPr>
            <w:tcW w:type="dxa" w:w="1881"/>
          </w:tcPr>
          <w:p>
            <w:pPr>
              <w:spacing w:after="40"/>
            </w:pPr>
            <w:r>
              <w:rPr>
                <w:sz w:val="18"/>
              </w:rPr>
              <w:t>(0)^2 x 0.000028 = 0%</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Safe</w:t>
            </w:r>
          </w:p>
        </w:tc>
      </w:tr>
      <w:tr>
        <w:tc>
          <w:tcPr>
            <w:tcW w:type="dxa" w:w="1881"/>
            <w:shd w:fill="F3F4F6"/>
          </w:tcPr>
          <w:p>
            <w:pPr>
              <w:spacing w:after="40"/>
            </w:pPr>
            <w:r>
              <w:rPr>
                <w:sz w:val="18"/>
              </w:rPr>
              <w:t>40%</w:t>
            </w:r>
          </w:p>
        </w:tc>
        <w:tc>
          <w:tcPr>
            <w:tcW w:type="dxa" w:w="1881"/>
            <w:shd w:fill="F3F4F6"/>
          </w:tcPr>
          <w:p>
            <w:pPr>
              <w:spacing w:after="40"/>
            </w:pPr>
            <w:r>
              <w:rPr>
                <w:sz w:val="18"/>
              </w:rPr>
              <w:t>(20)^2 x 0.000028 = 1.1%</w:t>
            </w:r>
          </w:p>
        </w:tc>
        <w:tc>
          <w:tcPr>
            <w:tcW w:type="dxa" w:w="1881"/>
            <w:shd w:fill="F3F4F6"/>
          </w:tcPr>
          <w:p>
            <w:pPr>
              <w:spacing w:after="40"/>
            </w:pPr>
            <w:r>
              <w:rPr>
                <w:sz w:val="18"/>
              </w:rPr>
              <w:t>+1.1%</w:t>
            </w:r>
          </w:p>
        </w:tc>
        <w:tc>
          <w:tcPr>
            <w:tcW w:type="dxa" w:w="1881"/>
            <w:shd w:fill="F3F4F6"/>
          </w:tcPr>
          <w:p>
            <w:pPr>
              <w:spacing w:after="40"/>
            </w:pPr>
            <w:r>
              <w:rPr>
                <w:sz w:val="18"/>
              </w:rPr>
              <w:t>+$135K</w:t>
            </w:r>
          </w:p>
        </w:tc>
        <w:tc>
          <w:tcPr>
            <w:tcW w:type="dxa" w:w="1881"/>
            <w:shd w:fill="F3F4F6"/>
          </w:tcPr>
          <w:p>
            <w:pPr>
              <w:spacing w:after="40"/>
            </w:pPr>
            <w:r>
              <w:rPr>
                <w:sz w:val="18"/>
              </w:rPr>
              <w:t>Watch</w:t>
            </w:r>
          </w:p>
        </w:tc>
      </w:tr>
      <w:tr>
        <w:tc>
          <w:tcPr>
            <w:tcW w:type="dxa" w:w="1881"/>
          </w:tcPr>
          <w:p>
            <w:pPr>
              <w:spacing w:after="40"/>
            </w:pPr>
            <w:r>
              <w:rPr>
                <w:sz w:val="18"/>
              </w:rPr>
              <w:t>60%</w:t>
            </w:r>
          </w:p>
        </w:tc>
        <w:tc>
          <w:tcPr>
            <w:tcW w:type="dxa" w:w="1881"/>
          </w:tcPr>
          <w:p>
            <w:pPr>
              <w:spacing w:after="40"/>
            </w:pPr>
            <w:r>
              <w:rPr>
                <w:sz w:val="18"/>
              </w:rPr>
              <w:t>(40)^2 x 0.000028 = 4.5%</w:t>
            </w:r>
          </w:p>
        </w:tc>
        <w:tc>
          <w:tcPr>
            <w:tcW w:type="dxa" w:w="1881"/>
          </w:tcPr>
          <w:p>
            <w:pPr>
              <w:spacing w:after="40"/>
            </w:pPr>
            <w:r>
              <w:rPr>
                <w:sz w:val="18"/>
              </w:rPr>
              <w:t>+4.5%</w:t>
            </w:r>
          </w:p>
        </w:tc>
        <w:tc>
          <w:tcPr>
            <w:tcW w:type="dxa" w:w="1881"/>
          </w:tcPr>
          <w:p>
            <w:pPr>
              <w:spacing w:after="40"/>
            </w:pPr>
            <w:r>
              <w:rPr>
                <w:sz w:val="18"/>
              </w:rPr>
              <w:t>+$540K</w:t>
            </w:r>
          </w:p>
        </w:tc>
        <w:tc>
          <w:tcPr>
            <w:tcW w:type="dxa" w:w="1881"/>
          </w:tcPr>
          <w:p>
            <w:pPr>
              <w:spacing w:after="40"/>
            </w:pPr>
            <w:r>
              <w:rPr>
                <w:sz w:val="18"/>
              </w:rPr>
              <w:t>Critical</w:t>
            </w:r>
          </w:p>
        </w:tc>
      </w:tr>
      <w:tr>
        <w:tc>
          <w:tcPr>
            <w:tcW w:type="dxa" w:w="1881"/>
            <w:shd w:fill="F3F4F6"/>
          </w:tcPr>
          <w:p>
            <w:pPr>
              <w:spacing w:after="40"/>
            </w:pPr>
            <w:r>
              <w:rPr>
                <w:sz w:val="18"/>
              </w:rPr>
              <w:t>80%</w:t>
            </w:r>
          </w:p>
        </w:tc>
        <w:tc>
          <w:tcPr>
            <w:tcW w:type="dxa" w:w="1881"/>
            <w:shd w:fill="F3F4F6"/>
          </w:tcPr>
          <w:p>
            <w:pPr>
              <w:spacing w:after="40"/>
            </w:pPr>
            <w:r>
              <w:rPr>
                <w:sz w:val="18"/>
              </w:rPr>
              <w:t>(60)^2 x 0.000028 = 10.1%</w:t>
            </w:r>
          </w:p>
        </w:tc>
        <w:tc>
          <w:tcPr>
            <w:tcW w:type="dxa" w:w="1881"/>
            <w:shd w:fill="F3F4F6"/>
          </w:tcPr>
          <w:p>
            <w:pPr>
              <w:spacing w:after="40"/>
            </w:pPr>
            <w:r>
              <w:rPr>
                <w:sz w:val="18"/>
              </w:rPr>
              <w:t>+10.1%</w:t>
            </w:r>
          </w:p>
        </w:tc>
        <w:tc>
          <w:tcPr>
            <w:tcW w:type="dxa" w:w="1881"/>
            <w:shd w:fill="F3F4F6"/>
          </w:tcPr>
          <w:p>
            <w:pPr>
              <w:spacing w:after="40"/>
            </w:pPr>
            <w:r>
              <w:rPr>
                <w:sz w:val="18"/>
              </w:rPr>
              <w:t>+$1.2M</w:t>
            </w:r>
          </w:p>
        </w:tc>
        <w:tc>
          <w:tcPr>
            <w:tcW w:type="dxa" w:w="1881"/>
            <w:shd w:fill="F3F4F6"/>
          </w:tcPr>
          <w:p>
            <w:pPr>
              <w:spacing w:after="40"/>
            </w:pPr>
            <w:r>
              <w:rPr>
                <w:sz w:val="18"/>
              </w:rPr>
              <w:t>Emergency</w:t>
            </w:r>
          </w:p>
        </w:tc>
      </w:tr>
      <w:tr>
        <w:tc>
          <w:tcPr>
            <w:tcW w:type="dxa" w:w="1881"/>
          </w:tcPr>
          <w:p>
            <w:pPr>
              <w:spacing w:after="40"/>
            </w:pPr>
            <w:r>
              <w:rPr>
                <w:sz w:val="18"/>
              </w:rPr>
              <w:t>100%</w:t>
            </w:r>
          </w:p>
        </w:tc>
        <w:tc>
          <w:tcPr>
            <w:tcW w:type="dxa" w:w="1881"/>
          </w:tcPr>
          <w:p>
            <w:pPr>
              <w:spacing w:after="40"/>
            </w:pPr>
            <w:r>
              <w:rPr>
                <w:sz w:val="18"/>
              </w:rPr>
              <w:t>(80)^2 x 0.000028 = 18.0%</w:t>
            </w:r>
          </w:p>
        </w:tc>
        <w:tc>
          <w:tcPr>
            <w:tcW w:type="dxa" w:w="1881"/>
          </w:tcPr>
          <w:p>
            <w:pPr>
              <w:spacing w:after="40"/>
            </w:pPr>
            <w:r>
              <w:rPr>
                <w:sz w:val="18"/>
              </w:rPr>
              <w:t>+18.0%</w:t>
            </w:r>
          </w:p>
        </w:tc>
        <w:tc>
          <w:tcPr>
            <w:tcW w:type="dxa" w:w="1881"/>
          </w:tcPr>
          <w:p>
            <w:pPr>
              <w:spacing w:after="40"/>
            </w:pPr>
            <w:r>
              <w:rPr>
                <w:sz w:val="18"/>
              </w:rPr>
              <w:t>+$2.2M</w:t>
            </w:r>
          </w:p>
        </w:tc>
        <w:tc>
          <w:tcPr>
            <w:tcW w:type="dxa" w:w="1881"/>
          </w:tcPr>
          <w:p>
            <w:pPr>
              <w:spacing w:after="40"/>
            </w:pPr>
            <w:r>
              <w:rPr>
                <w:sz w:val="18"/>
              </w:rPr>
              <w:t>Catastrophic</w:t>
            </w:r>
          </w:p>
        </w:tc>
      </w:tr>
    </w:tbl>
    <w:p/>
    <w:p>
      <w:r>
        <w:t>A team that ignores HR for 8 rounds (natural drift: 10 + 8x6 = 58%) loses $540K/round in OPEX penalties AND faces 60%+ strike probability at R9.</w:t>
      </w:r>
    </w:p>
    <w:p>
      <w:pPr>
        <w:pStyle w:val="Heading3"/>
      </w:pPr>
      <w:r>
        <w:t>Teaching Tip</w:t>
      </w:r>
    </w:p>
    <w:p>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pPr>
        <w:pStyle w:val="Heading2"/>
      </w:pPr>
      <w:r>
        <w:t>3.7 Brain-Drain Engine (Talent Penalty)</w:t>
      </w:r>
    </w:p>
    <w:p>
      <w:pPr>
        <w:pStyle w:val="Heading3"/>
      </w:pPr>
      <w:r>
        <w:t>Formula</w:t>
      </w:r>
    </w:p>
    <w:p>
      <w:r>
        <w:rPr>
          <w:rFonts w:ascii="Consolas" w:hAnsi="Consolas"/>
          <w:b/>
          <w:sz w:val="20"/>
        </w:rPr>
        <w:t>Talent_Penalty = 1 + max(0, (65 - Group_Rep) / 100) x 1.5</w:t>
      </w:r>
    </w:p>
    <w:p>
      <w:r>
        <w:rPr>
          <w:rFonts w:ascii="Consolas" w:hAnsi="Consolas"/>
          <w:b/>
          <w:sz w:val="20"/>
        </w:rPr>
        <w:t>If burnout &gt; 50: Penalty += ((burnout - 50) / 100) x 2.0</w:t>
      </w:r>
    </w:p>
    <w:p>
      <w:r>
        <w:t>Applies to Software (and Technology/Banking verticals). When reputation drops below 65, talent leaves for competitors, increasing OPEX as the company must hire expensive contractors/agencies.</w:t>
      </w:r>
    </w:p>
    <w:p>
      <w:pPr>
        <w:pStyle w:val="Heading3"/>
      </w:pPr>
      <w:r>
        <w:t>Sample Calculation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Reputation</w:t>
            </w:r>
          </w:p>
        </w:tc>
        <w:tc>
          <w:tcPr>
            <w:tcW w:type="dxa" w:w="1881"/>
            <w:shd w:fill="0F172A"/>
          </w:tcPr>
          <w:p>
            <w:pPr>
              <w:jc w:val="center"/>
            </w:pPr>
            <w:r>
              <w:rPr>
                <w:b/>
                <w:color w:val="FFFFFF"/>
                <w:sz w:val="18"/>
              </w:rPr>
              <w:t>Burnout</w:t>
            </w:r>
          </w:p>
        </w:tc>
        <w:tc>
          <w:tcPr>
            <w:tcW w:type="dxa" w:w="1881"/>
            <w:shd w:fill="0F172A"/>
          </w:tcPr>
          <w:p>
            <w:pPr>
              <w:jc w:val="center"/>
            </w:pPr>
            <w:r>
              <w:rPr>
                <w:b/>
                <w:color w:val="FFFFFF"/>
                <w:sz w:val="18"/>
              </w:rPr>
              <w:t>Penalty Calc</w:t>
            </w:r>
          </w:p>
        </w:tc>
        <w:tc>
          <w:tcPr>
            <w:tcW w:type="dxa" w:w="1881"/>
            <w:shd w:fill="0F172A"/>
          </w:tcPr>
          <w:p>
            <w:pPr>
              <w:jc w:val="center"/>
            </w:pPr>
            <w:r>
              <w:rPr>
                <w:b/>
                <w:color w:val="FFFFFF"/>
                <w:sz w:val="18"/>
              </w:rPr>
              <w:t>OPEX Multiplier</w:t>
            </w:r>
          </w:p>
        </w:tc>
        <w:tc>
          <w:tcPr>
            <w:tcW w:type="dxa" w:w="1881"/>
            <w:shd w:fill="0F172A"/>
          </w:tcPr>
          <w:p>
            <w:pPr>
              <w:jc w:val="center"/>
            </w:pPr>
            <w:r>
              <w:rPr>
                <w:b/>
                <w:color w:val="FFFFFF"/>
                <w:sz w:val="18"/>
              </w:rPr>
              <w:t>On $5.5M OPEX</w:t>
            </w:r>
          </w:p>
        </w:tc>
      </w:tr>
      <w:tr>
        <w:tc>
          <w:tcPr>
            <w:tcW w:type="dxa" w:w="1881"/>
          </w:tcPr>
          <w:p>
            <w:pPr>
              <w:spacing w:after="40"/>
            </w:pPr>
            <w:r>
              <w:rPr>
                <w:sz w:val="18"/>
              </w:rPr>
              <w:t>65+</w:t>
            </w:r>
          </w:p>
        </w:tc>
        <w:tc>
          <w:tcPr>
            <w:tcW w:type="dxa" w:w="1881"/>
          </w:tcPr>
          <w:p>
            <w:pPr>
              <w:spacing w:after="40"/>
            </w:pPr>
            <w:r>
              <w:rPr>
                <w:sz w:val="18"/>
              </w:rPr>
              <w:t>Any</w:t>
            </w:r>
          </w:p>
        </w:tc>
        <w:tc>
          <w:tcPr>
            <w:tcW w:type="dxa" w:w="1881"/>
          </w:tcPr>
          <w:p>
            <w:pPr>
              <w:spacing w:after="40"/>
            </w:pPr>
            <w:r>
              <w:rPr>
                <w:sz w:val="18"/>
              </w:rPr>
              <w:t>1 + 0 = 1.0</w:t>
            </w:r>
          </w:p>
        </w:tc>
        <w:tc>
          <w:tcPr>
            <w:tcW w:type="dxa" w:w="1881"/>
          </w:tcPr>
          <w:p>
            <w:pPr>
              <w:spacing w:after="40"/>
            </w:pPr>
            <w:r>
              <w:rPr>
                <w:sz w:val="18"/>
              </w:rPr>
              <w:t>1.00x</w:t>
            </w:r>
          </w:p>
        </w:tc>
        <w:tc>
          <w:tcPr>
            <w:tcW w:type="dxa" w:w="1881"/>
          </w:tcPr>
          <w:p>
            <w:pPr>
              <w:spacing w:after="40"/>
            </w:pPr>
            <w:r>
              <w:rPr>
                <w:sz w:val="18"/>
              </w:rPr>
              <w:t>$5.5M (no penalty)</w:t>
            </w:r>
          </w:p>
        </w:tc>
      </w:tr>
      <w:tr>
        <w:tc>
          <w:tcPr>
            <w:tcW w:type="dxa" w:w="1881"/>
            <w:shd w:fill="F3F4F6"/>
          </w:tcPr>
          <w:p>
            <w:pPr>
              <w:spacing w:after="40"/>
            </w:pPr>
            <w:r>
              <w:rPr>
                <w:sz w:val="18"/>
              </w:rPr>
              <w:t>50</w:t>
            </w:r>
          </w:p>
        </w:tc>
        <w:tc>
          <w:tcPr>
            <w:tcW w:type="dxa" w:w="1881"/>
            <w:shd w:fill="F3F4F6"/>
          </w:tcPr>
          <w:p>
            <w:pPr>
              <w:spacing w:after="40"/>
            </w:pPr>
            <w:r>
              <w:rPr>
                <w:sz w:val="18"/>
              </w:rPr>
              <w:t>30</w:t>
            </w:r>
          </w:p>
        </w:tc>
        <w:tc>
          <w:tcPr>
            <w:tcW w:type="dxa" w:w="1881"/>
            <w:shd w:fill="F3F4F6"/>
          </w:tcPr>
          <w:p>
            <w:pPr>
              <w:spacing w:after="40"/>
            </w:pPr>
            <w:r>
              <w:rPr>
                <w:sz w:val="18"/>
              </w:rPr>
              <w:t>1 + (15/100)x1.5 = 1.225</w:t>
            </w:r>
          </w:p>
        </w:tc>
        <w:tc>
          <w:tcPr>
            <w:tcW w:type="dxa" w:w="1881"/>
            <w:shd w:fill="F3F4F6"/>
          </w:tcPr>
          <w:p>
            <w:pPr>
              <w:spacing w:after="40"/>
            </w:pPr>
            <w:r>
              <w:rPr>
                <w:sz w:val="18"/>
              </w:rPr>
              <w:t>1.23x</w:t>
            </w:r>
          </w:p>
        </w:tc>
        <w:tc>
          <w:tcPr>
            <w:tcW w:type="dxa" w:w="1881"/>
            <w:shd w:fill="F3F4F6"/>
          </w:tcPr>
          <w:p>
            <w:pPr>
              <w:spacing w:after="40"/>
            </w:pPr>
            <w:r>
              <w:rPr>
                <w:sz w:val="18"/>
              </w:rPr>
              <w:t>$6.7M (+$1.2M)</w:t>
            </w:r>
          </w:p>
        </w:tc>
      </w:tr>
      <w:tr>
        <w:tc>
          <w:tcPr>
            <w:tcW w:type="dxa" w:w="1881"/>
          </w:tcPr>
          <w:p>
            <w:pPr>
              <w:spacing w:after="40"/>
            </w:pPr>
            <w:r>
              <w:rPr>
                <w:sz w:val="18"/>
              </w:rPr>
              <w:t>35</w:t>
            </w:r>
          </w:p>
        </w:tc>
        <w:tc>
          <w:tcPr>
            <w:tcW w:type="dxa" w:w="1881"/>
          </w:tcPr>
          <w:p>
            <w:pPr>
              <w:spacing w:after="40"/>
            </w:pPr>
            <w:r>
              <w:rPr>
                <w:sz w:val="18"/>
              </w:rPr>
              <w:t>60</w:t>
            </w:r>
          </w:p>
        </w:tc>
        <w:tc>
          <w:tcPr>
            <w:tcW w:type="dxa" w:w="1881"/>
          </w:tcPr>
          <w:p>
            <w:pPr>
              <w:spacing w:after="40"/>
            </w:pPr>
            <w:r>
              <w:rPr>
                <w:sz w:val="18"/>
              </w:rPr>
              <w:t>1 + (30/100)x1.5 + (10/100)x2 = 1.65</w:t>
            </w:r>
          </w:p>
        </w:tc>
        <w:tc>
          <w:tcPr>
            <w:tcW w:type="dxa" w:w="1881"/>
          </w:tcPr>
          <w:p>
            <w:pPr>
              <w:spacing w:after="40"/>
            </w:pPr>
            <w:r>
              <w:rPr>
                <w:sz w:val="18"/>
              </w:rPr>
              <w:t>1.65x</w:t>
            </w:r>
          </w:p>
        </w:tc>
        <w:tc>
          <w:tcPr>
            <w:tcW w:type="dxa" w:w="1881"/>
          </w:tcPr>
          <w:p>
            <w:pPr>
              <w:spacing w:after="40"/>
            </w:pPr>
            <w:r>
              <w:rPr>
                <w:sz w:val="18"/>
              </w:rPr>
              <w:t>$9.1M (+$3.6M)</w:t>
            </w:r>
          </w:p>
        </w:tc>
      </w:tr>
      <w:tr>
        <w:tc>
          <w:tcPr>
            <w:tcW w:type="dxa" w:w="1881"/>
            <w:shd w:fill="F3F4F6"/>
          </w:tcPr>
          <w:p>
            <w:pPr>
              <w:spacing w:after="40"/>
            </w:pPr>
            <w:r>
              <w:rPr>
                <w:sz w:val="18"/>
              </w:rPr>
              <w:t>20</w:t>
            </w:r>
          </w:p>
        </w:tc>
        <w:tc>
          <w:tcPr>
            <w:tcW w:type="dxa" w:w="1881"/>
            <w:shd w:fill="F3F4F6"/>
          </w:tcPr>
          <w:p>
            <w:pPr>
              <w:spacing w:after="40"/>
            </w:pPr>
            <w:r>
              <w:rPr>
                <w:sz w:val="18"/>
              </w:rPr>
              <w:t>80</w:t>
            </w:r>
          </w:p>
        </w:tc>
        <w:tc>
          <w:tcPr>
            <w:tcW w:type="dxa" w:w="1881"/>
            <w:shd w:fill="F3F4F6"/>
          </w:tcPr>
          <w:p>
            <w:pPr>
              <w:spacing w:after="40"/>
            </w:pPr>
            <w:r>
              <w:rPr>
                <w:sz w:val="18"/>
              </w:rPr>
              <w:t>1 + (45/100)x1.5 + (30/100)x2 = 2.28</w:t>
            </w:r>
          </w:p>
        </w:tc>
        <w:tc>
          <w:tcPr>
            <w:tcW w:type="dxa" w:w="1881"/>
            <w:shd w:fill="F3F4F6"/>
          </w:tcPr>
          <w:p>
            <w:pPr>
              <w:spacing w:after="40"/>
            </w:pPr>
            <w:r>
              <w:rPr>
                <w:sz w:val="18"/>
              </w:rPr>
              <w:t>2.28x</w:t>
            </w:r>
          </w:p>
        </w:tc>
        <w:tc>
          <w:tcPr>
            <w:tcW w:type="dxa" w:w="1881"/>
            <w:shd w:fill="F3F4F6"/>
          </w:tcPr>
          <w:p>
            <w:pPr>
              <w:spacing w:after="40"/>
            </w:pPr>
            <w:r>
              <w:rPr>
                <w:sz w:val="18"/>
              </w:rPr>
              <w:t>$12.5M (+$7.0M)</w:t>
            </w:r>
          </w:p>
        </w:tc>
      </w:tr>
    </w:tbl>
    <w:p/>
    <w:p>
      <w:pPr>
        <w:pStyle w:val="Heading3"/>
      </w:pPr>
      <w:r>
        <w:t>Teaching Tip</w:t>
      </w:r>
    </w:p>
    <w:p>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pPr>
        <w:pStyle w:val="Heading2"/>
      </w:pPr>
      <w:r>
        <w:t>3.8 Macroeconomic Inflation Engine</w:t>
      </w:r>
    </w:p>
    <w:p>
      <w:pPr>
        <w:pStyle w:val="Heading3"/>
      </w:pPr>
      <w:r>
        <w:t>Formula</w:t>
      </w:r>
    </w:p>
    <w:p>
      <w:r>
        <w:rPr>
          <w:rFonts w:ascii="Consolas" w:hAnsi="Consolas"/>
          <w:b/>
          <w:sz w:val="20"/>
        </w:rPr>
        <w:t>OPEX_new = OPEX x (1 + inflation_index)</w:t>
      </w:r>
    </w:p>
    <w:p>
      <w:r>
        <w:t>Default inflation_index = 0.05 (5% per 6-month round, ~10% annualised). Inflation silently erodes purchasing power every round. Players must invest just to maintain the status quo.</w:t>
      </w:r>
    </w:p>
    <w:p>
      <w:pPr>
        <w:pStyle w:val="Heading3"/>
      </w:pPr>
      <w:r>
        <w:t>Sample Calculation</w:t>
      </w:r>
    </w:p>
    <w:p>
      <w:r>
        <w:t>Pharma OPEX = $12M. After 10 rounds of 5% inflation: $12M x 1.05^10 = $19.5M — a 63% increase in operating costs that players often fail to anticipate.</w:t>
      </w:r>
    </w:p>
    <w:p>
      <w:pPr>
        <w:pStyle w:val="Heading3"/>
      </w:pPr>
      <w:r>
        <w:t>Teaching Tip</w:t>
      </w:r>
    </w:p>
    <w:p>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pPr>
        <w:pStyle w:val="Heading2"/>
      </w:pPr>
      <w:r>
        <w:t>3.9 Cash Conversion Drag</w:t>
      </w:r>
    </w:p>
    <w:p>
      <w:pPr>
        <w:pStyle w:val="Heading3"/>
      </w:pPr>
      <w:r>
        <w:t>Formula</w:t>
      </w:r>
    </w:p>
    <w:p>
      <w:r>
        <w:rPr>
          <w:rFonts w:ascii="Consolas" w:hAnsi="Consolas"/>
          <w:b/>
          <w:sz w:val="20"/>
        </w:rPr>
        <w:t>Cash_Efficiency = 1.0 - (governance_risk / 500)</w:t>
      </w:r>
    </w:p>
    <w:p>
      <w:r>
        <w:rPr>
          <w:rFonts w:ascii="Consolas" w:hAnsi="Consolas"/>
          <w:b/>
          <w:sz w:val="20"/>
        </w:rPr>
        <w:t>Realized_Revenue = Revenue x Cash_Efficiency  (clamped to [0.5, 1.0])</w:t>
      </w:r>
    </w:p>
    <w:p>
      <w:r>
        <w:t>BUs with high governance risk convert revenue to cash less efficiently — representing delayed payments, compliance costs, legal reserves, and investor distrust.</w:t>
      </w:r>
    </w:p>
    <w:p>
      <w:pPr>
        <w:pStyle w:val="Heading3"/>
      </w:pPr>
      <w:r>
        <w:t>Sample Calculation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Governance Risk</w:t>
            </w:r>
          </w:p>
        </w:tc>
        <w:tc>
          <w:tcPr>
            <w:tcW w:type="dxa" w:w="2351"/>
            <w:shd w:fill="0F172A"/>
          </w:tcPr>
          <w:p>
            <w:pPr>
              <w:jc w:val="center"/>
            </w:pPr>
            <w:r>
              <w:rPr>
                <w:b/>
                <w:color w:val="FFFFFF"/>
                <w:sz w:val="18"/>
              </w:rPr>
              <w:t>Cash Efficiency</w:t>
            </w:r>
          </w:p>
        </w:tc>
        <w:tc>
          <w:tcPr>
            <w:tcW w:type="dxa" w:w="2351"/>
            <w:shd w:fill="0F172A"/>
          </w:tcPr>
          <w:p>
            <w:pPr>
              <w:jc w:val="center"/>
            </w:pPr>
            <w:r>
              <w:rPr>
                <w:b/>
                <w:color w:val="FFFFFF"/>
                <w:sz w:val="18"/>
              </w:rPr>
              <w:t>On $16.5M Revenue</w:t>
            </w:r>
          </w:p>
        </w:tc>
        <w:tc>
          <w:tcPr>
            <w:tcW w:type="dxa" w:w="2351"/>
            <w:shd w:fill="0F172A"/>
          </w:tcPr>
          <w:p>
            <w:pPr>
              <w:jc w:val="center"/>
            </w:pPr>
            <w:r>
              <w:rPr>
                <w:b/>
                <w:color w:val="FFFFFF"/>
                <w:sz w:val="18"/>
              </w:rPr>
              <w:t>Revenue Lost</w:t>
            </w:r>
          </w:p>
        </w:tc>
      </w:tr>
      <w:tr>
        <w:tc>
          <w:tcPr>
            <w:tcW w:type="dxa" w:w="2351"/>
          </w:tcPr>
          <w:p>
            <w:pPr>
              <w:spacing w:after="40"/>
            </w:pPr>
            <w:r>
              <w:rPr>
                <w:sz w:val="18"/>
              </w:rPr>
              <w:t>10 (low)</w:t>
            </w:r>
          </w:p>
        </w:tc>
        <w:tc>
          <w:tcPr>
            <w:tcW w:type="dxa" w:w="2351"/>
          </w:tcPr>
          <w:p>
            <w:pPr>
              <w:spacing w:after="40"/>
            </w:pPr>
            <w:r>
              <w:rPr>
                <w:sz w:val="18"/>
              </w:rPr>
              <w:t>1.0 - 10/500 = 0.98</w:t>
            </w:r>
          </w:p>
        </w:tc>
        <w:tc>
          <w:tcPr>
            <w:tcW w:type="dxa" w:w="2351"/>
          </w:tcPr>
          <w:p>
            <w:pPr>
              <w:spacing w:after="40"/>
            </w:pPr>
            <w:r>
              <w:rPr>
                <w:sz w:val="18"/>
              </w:rPr>
              <w:t>$16.2M</w:t>
            </w:r>
          </w:p>
        </w:tc>
        <w:tc>
          <w:tcPr>
            <w:tcW w:type="dxa" w:w="2351"/>
          </w:tcPr>
          <w:p>
            <w:pPr>
              <w:spacing w:after="40"/>
            </w:pPr>
            <w:r>
              <w:rPr>
                <w:sz w:val="18"/>
              </w:rPr>
              <w:t>-$0.3M</w:t>
            </w:r>
          </w:p>
        </w:tc>
      </w:tr>
      <w:tr>
        <w:tc>
          <w:tcPr>
            <w:tcW w:type="dxa" w:w="2351"/>
            <w:shd w:fill="F3F4F6"/>
          </w:tcPr>
          <w:p>
            <w:pPr>
              <w:spacing w:after="40"/>
            </w:pPr>
            <w:r>
              <w:rPr>
                <w:sz w:val="18"/>
              </w:rPr>
              <w:t>30 (medium)</w:t>
            </w:r>
          </w:p>
        </w:tc>
        <w:tc>
          <w:tcPr>
            <w:tcW w:type="dxa" w:w="2351"/>
            <w:shd w:fill="F3F4F6"/>
          </w:tcPr>
          <w:p>
            <w:pPr>
              <w:spacing w:after="40"/>
            </w:pPr>
            <w:r>
              <w:rPr>
                <w:sz w:val="18"/>
              </w:rPr>
              <w:t>1.0 - 30/500 = 0.94</w:t>
            </w:r>
          </w:p>
        </w:tc>
        <w:tc>
          <w:tcPr>
            <w:tcW w:type="dxa" w:w="2351"/>
            <w:shd w:fill="F3F4F6"/>
          </w:tcPr>
          <w:p>
            <w:pPr>
              <w:spacing w:after="40"/>
            </w:pPr>
            <w:r>
              <w:rPr>
                <w:sz w:val="18"/>
              </w:rPr>
              <w:t>$15.5M</w:t>
            </w:r>
          </w:p>
        </w:tc>
        <w:tc>
          <w:tcPr>
            <w:tcW w:type="dxa" w:w="2351"/>
            <w:shd w:fill="F3F4F6"/>
          </w:tcPr>
          <w:p>
            <w:pPr>
              <w:spacing w:after="40"/>
            </w:pPr>
            <w:r>
              <w:rPr>
                <w:sz w:val="18"/>
              </w:rPr>
              <w:t>-$1.0M</w:t>
            </w:r>
          </w:p>
        </w:tc>
      </w:tr>
      <w:tr>
        <w:tc>
          <w:tcPr>
            <w:tcW w:type="dxa" w:w="2351"/>
          </w:tcPr>
          <w:p>
            <w:pPr>
              <w:spacing w:after="40"/>
            </w:pPr>
            <w:r>
              <w:rPr>
                <w:sz w:val="18"/>
              </w:rPr>
              <w:t>60 (high)</w:t>
            </w:r>
          </w:p>
        </w:tc>
        <w:tc>
          <w:tcPr>
            <w:tcW w:type="dxa" w:w="2351"/>
          </w:tcPr>
          <w:p>
            <w:pPr>
              <w:spacing w:after="40"/>
            </w:pPr>
            <w:r>
              <w:rPr>
                <w:sz w:val="18"/>
              </w:rPr>
              <w:t>1.0 - 60/500 = 0.88</w:t>
            </w:r>
          </w:p>
        </w:tc>
        <w:tc>
          <w:tcPr>
            <w:tcW w:type="dxa" w:w="2351"/>
          </w:tcPr>
          <w:p>
            <w:pPr>
              <w:spacing w:after="40"/>
            </w:pPr>
            <w:r>
              <w:rPr>
                <w:sz w:val="18"/>
              </w:rPr>
              <w:t>$14.5M</w:t>
            </w:r>
          </w:p>
        </w:tc>
        <w:tc>
          <w:tcPr>
            <w:tcW w:type="dxa" w:w="2351"/>
          </w:tcPr>
          <w:p>
            <w:pPr>
              <w:spacing w:after="40"/>
            </w:pPr>
            <w:r>
              <w:rPr>
                <w:sz w:val="18"/>
              </w:rPr>
              <w:t>-$2.0M</w:t>
            </w:r>
          </w:p>
        </w:tc>
      </w:tr>
      <w:tr>
        <w:tc>
          <w:tcPr>
            <w:tcW w:type="dxa" w:w="2351"/>
            <w:shd w:fill="F3F4F6"/>
          </w:tcPr>
          <w:p>
            <w:pPr>
              <w:spacing w:after="40"/>
            </w:pPr>
            <w:r>
              <w:rPr>
                <w:sz w:val="18"/>
              </w:rPr>
              <w:t>100 (critical)</w:t>
            </w:r>
          </w:p>
        </w:tc>
        <w:tc>
          <w:tcPr>
            <w:tcW w:type="dxa" w:w="2351"/>
            <w:shd w:fill="F3F4F6"/>
          </w:tcPr>
          <w:p>
            <w:pPr>
              <w:spacing w:after="40"/>
            </w:pPr>
            <w:r>
              <w:rPr>
                <w:sz w:val="18"/>
              </w:rPr>
              <w:t>1.0 - 100/500 = 0.80</w:t>
            </w:r>
          </w:p>
        </w:tc>
        <w:tc>
          <w:tcPr>
            <w:tcW w:type="dxa" w:w="2351"/>
            <w:shd w:fill="F3F4F6"/>
          </w:tcPr>
          <w:p>
            <w:pPr>
              <w:spacing w:after="40"/>
            </w:pPr>
            <w:r>
              <w:rPr>
                <w:sz w:val="18"/>
              </w:rPr>
              <w:t>$13.2M</w:t>
            </w:r>
          </w:p>
        </w:tc>
        <w:tc>
          <w:tcPr>
            <w:tcW w:type="dxa" w:w="2351"/>
            <w:shd w:fill="F3F4F6"/>
          </w:tcPr>
          <w:p>
            <w:pPr>
              <w:spacing w:after="40"/>
            </w:pPr>
            <w:r>
              <w:rPr>
                <w:sz w:val="18"/>
              </w:rPr>
              <w:t>-$3.3M</w:t>
            </w:r>
          </w:p>
        </w:tc>
      </w:tr>
    </w:tbl>
    <w:p/>
    <w:p>
      <w:pPr>
        <w:pStyle w:val="Heading3"/>
      </w:pPr>
      <w:r>
        <w:t>Teaching Tip</w:t>
      </w:r>
    </w:p>
    <w:p>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pPr>
        <w:pStyle w:val="Heading2"/>
      </w:pPr>
      <w:r>
        <w:t>3.10 Strike Probability Engine</w:t>
      </w:r>
    </w:p>
    <w:p>
      <w:pPr>
        <w:pStyle w:val="Heading3"/>
      </w:pPr>
      <w:r>
        <w:t>Formula</w:t>
      </w:r>
    </w:p>
    <w:p>
      <w:r>
        <w:rPr>
          <w:rFonts w:ascii="Consolas" w:hAnsi="Consolas"/>
          <w:b/>
          <w:sz w:val="20"/>
        </w:rPr>
        <w:t>P_Strike = Base_Risk + ((1 - SLO/100) x 0.4)</w:t>
      </w:r>
    </w:p>
    <w:p>
      <w:r>
        <w:rPr>
          <w:rFonts w:ascii="Consolas" w:hAnsi="Consolas"/>
          <w:b/>
          <w:sz w:val="20"/>
        </w:rPr>
        <w:t>If burnout &gt; 50: P_Strike += min(0.20, (burnout - 50)/100 x 0.40)</w:t>
      </w:r>
    </w:p>
    <w:p>
      <w:r>
        <w:t>Strike probability is the "time bomb" of the simulation. It combines social licence deficit with workforce burnout to determine the probability of a full revenue wipeout at R9.</w:t>
      </w:r>
    </w:p>
    <w:p>
      <w:pPr>
        <w:pStyle w:val="Heading3"/>
      </w:pPr>
      <w:r>
        <w:t>Sample Calculation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SLO</w:t>
            </w:r>
          </w:p>
        </w:tc>
        <w:tc>
          <w:tcPr>
            <w:tcW w:type="dxa" w:w="1568"/>
            <w:shd w:fill="0F172A"/>
          </w:tcPr>
          <w:p>
            <w:pPr>
              <w:jc w:val="center"/>
            </w:pPr>
            <w:r>
              <w:rPr>
                <w:b/>
                <w:color w:val="FFFFFF"/>
                <w:sz w:val="18"/>
              </w:rPr>
              <w:t>Burnout</w:t>
            </w:r>
          </w:p>
        </w:tc>
        <w:tc>
          <w:tcPr>
            <w:tcW w:type="dxa" w:w="1568"/>
            <w:shd w:fill="0F172A"/>
          </w:tcPr>
          <w:p>
            <w:pPr>
              <w:jc w:val="center"/>
            </w:pPr>
            <w:r>
              <w:rPr>
                <w:b/>
                <w:color w:val="FFFFFF"/>
                <w:sz w:val="18"/>
              </w:rPr>
              <w:t>Base Prob</w:t>
            </w:r>
          </w:p>
        </w:tc>
        <w:tc>
          <w:tcPr>
            <w:tcW w:type="dxa" w:w="1568"/>
            <w:shd w:fill="0F172A"/>
          </w:tcPr>
          <w:p>
            <w:pPr>
              <w:jc w:val="center"/>
            </w:pPr>
            <w:r>
              <w:rPr>
                <w:b/>
                <w:color w:val="FFFFFF"/>
                <w:sz w:val="18"/>
              </w:rPr>
              <w:t>+ SLO Factor</w:t>
            </w:r>
          </w:p>
        </w:tc>
        <w:tc>
          <w:tcPr>
            <w:tcW w:type="dxa" w:w="1568"/>
            <w:shd w:fill="0F172A"/>
          </w:tcPr>
          <w:p>
            <w:pPr>
              <w:jc w:val="center"/>
            </w:pPr>
            <w:r>
              <w:rPr>
                <w:b/>
                <w:color w:val="FFFFFF"/>
                <w:sz w:val="18"/>
              </w:rPr>
              <w:t>+ Burnout Boost</w:t>
            </w:r>
          </w:p>
        </w:tc>
        <w:tc>
          <w:tcPr>
            <w:tcW w:type="dxa" w:w="1568"/>
            <w:shd w:fill="0F172A"/>
          </w:tcPr>
          <w:p>
            <w:pPr>
              <w:jc w:val="center"/>
            </w:pPr>
            <w:r>
              <w:rPr>
                <w:b/>
                <w:color w:val="FFFFFF"/>
                <w:sz w:val="18"/>
              </w:rPr>
              <w:t>Final P(Strike)</w:t>
            </w:r>
          </w:p>
        </w:tc>
      </w:tr>
      <w:tr>
        <w:tc>
          <w:tcPr>
            <w:tcW w:type="dxa" w:w="1568"/>
          </w:tcPr>
          <w:p>
            <w:pPr>
              <w:spacing w:after="40"/>
            </w:pPr>
            <w:r>
              <w:rPr>
                <w:sz w:val="18"/>
              </w:rPr>
              <w:t>70</w:t>
            </w:r>
          </w:p>
        </w:tc>
        <w:tc>
          <w:tcPr>
            <w:tcW w:type="dxa" w:w="1568"/>
          </w:tcPr>
          <w:p>
            <w:pPr>
              <w:spacing w:after="40"/>
            </w:pPr>
            <w:r>
              <w:rPr>
                <w:sz w:val="18"/>
              </w:rPr>
              <w:t>20</w:t>
            </w:r>
          </w:p>
        </w:tc>
        <w:tc>
          <w:tcPr>
            <w:tcW w:type="dxa" w:w="1568"/>
          </w:tcPr>
          <w:p>
            <w:pPr>
              <w:spacing w:after="40"/>
            </w:pPr>
            <w:r>
              <w:rPr>
                <w:sz w:val="18"/>
              </w:rPr>
              <w:t>0.50</w:t>
            </w:r>
          </w:p>
        </w:tc>
        <w:tc>
          <w:tcPr>
            <w:tcW w:type="dxa" w:w="1568"/>
          </w:tcPr>
          <w:p>
            <w:pPr>
              <w:spacing w:after="40"/>
            </w:pPr>
            <w:r>
              <w:rPr>
                <w:sz w:val="18"/>
              </w:rPr>
              <w:t>+0.12</w:t>
            </w:r>
          </w:p>
        </w:tc>
        <w:tc>
          <w:tcPr>
            <w:tcW w:type="dxa" w:w="1568"/>
          </w:tcPr>
          <w:p>
            <w:pPr>
              <w:spacing w:after="40"/>
            </w:pPr>
            <w:r>
              <w:rPr>
                <w:sz w:val="18"/>
              </w:rPr>
              <w:t>+0.00</w:t>
            </w:r>
          </w:p>
        </w:tc>
        <w:tc>
          <w:tcPr>
            <w:tcW w:type="dxa" w:w="1568"/>
          </w:tcPr>
          <w:p>
            <w:pPr>
              <w:spacing w:after="40"/>
            </w:pPr>
            <w:r>
              <w:rPr>
                <w:sz w:val="18"/>
              </w:rPr>
              <w:t>62%</w:t>
            </w:r>
          </w:p>
        </w:tc>
      </w:tr>
      <w:tr>
        <w:tc>
          <w:tcPr>
            <w:tcW w:type="dxa" w:w="1568"/>
            <w:shd w:fill="F3F4F6"/>
          </w:tcPr>
          <w:p>
            <w:pPr>
              <w:spacing w:after="40"/>
            </w:pPr>
            <w:r>
              <w:rPr>
                <w:sz w:val="18"/>
              </w:rPr>
              <w:t>50</w:t>
            </w:r>
          </w:p>
        </w:tc>
        <w:tc>
          <w:tcPr>
            <w:tcW w:type="dxa" w:w="1568"/>
            <w:shd w:fill="F3F4F6"/>
          </w:tcPr>
          <w:p>
            <w:pPr>
              <w:spacing w:after="40"/>
            </w:pPr>
            <w:r>
              <w:rPr>
                <w:sz w:val="18"/>
              </w:rPr>
              <w:t>40</w:t>
            </w:r>
          </w:p>
        </w:tc>
        <w:tc>
          <w:tcPr>
            <w:tcW w:type="dxa" w:w="1568"/>
            <w:shd w:fill="F3F4F6"/>
          </w:tcPr>
          <w:p>
            <w:pPr>
              <w:spacing w:after="40"/>
            </w:pPr>
            <w:r>
              <w:rPr>
                <w:sz w:val="18"/>
              </w:rPr>
              <w:t>0.50</w:t>
            </w:r>
          </w:p>
        </w:tc>
        <w:tc>
          <w:tcPr>
            <w:tcW w:type="dxa" w:w="1568"/>
            <w:shd w:fill="F3F4F6"/>
          </w:tcPr>
          <w:p>
            <w:pPr>
              <w:spacing w:after="40"/>
            </w:pPr>
            <w:r>
              <w:rPr>
                <w:sz w:val="18"/>
              </w:rPr>
              <w:t>+0.20</w:t>
            </w:r>
          </w:p>
        </w:tc>
        <w:tc>
          <w:tcPr>
            <w:tcW w:type="dxa" w:w="1568"/>
            <w:shd w:fill="F3F4F6"/>
          </w:tcPr>
          <w:p>
            <w:pPr>
              <w:spacing w:after="40"/>
            </w:pPr>
            <w:r>
              <w:rPr>
                <w:sz w:val="18"/>
              </w:rPr>
              <w:t>+0.00</w:t>
            </w:r>
          </w:p>
        </w:tc>
        <w:tc>
          <w:tcPr>
            <w:tcW w:type="dxa" w:w="1568"/>
            <w:shd w:fill="F3F4F6"/>
          </w:tcPr>
          <w:p>
            <w:pPr>
              <w:spacing w:after="40"/>
            </w:pPr>
            <w:r>
              <w:rPr>
                <w:sz w:val="18"/>
              </w:rPr>
              <w:t>70%</w:t>
            </w:r>
          </w:p>
        </w:tc>
      </w:tr>
      <w:tr>
        <w:tc>
          <w:tcPr>
            <w:tcW w:type="dxa" w:w="1568"/>
          </w:tcPr>
          <w:p>
            <w:pPr>
              <w:spacing w:after="40"/>
            </w:pPr>
            <w:r>
              <w:rPr>
                <w:sz w:val="18"/>
              </w:rPr>
              <w:t>30</w:t>
            </w:r>
          </w:p>
        </w:tc>
        <w:tc>
          <w:tcPr>
            <w:tcW w:type="dxa" w:w="1568"/>
          </w:tcPr>
          <w:p>
            <w:pPr>
              <w:spacing w:after="40"/>
            </w:pPr>
            <w:r>
              <w:rPr>
                <w:sz w:val="18"/>
              </w:rPr>
              <w:t>60</w:t>
            </w:r>
          </w:p>
        </w:tc>
        <w:tc>
          <w:tcPr>
            <w:tcW w:type="dxa" w:w="1568"/>
          </w:tcPr>
          <w:p>
            <w:pPr>
              <w:spacing w:after="40"/>
            </w:pPr>
            <w:r>
              <w:rPr>
                <w:sz w:val="18"/>
              </w:rPr>
              <w:t>0.50</w:t>
            </w:r>
          </w:p>
        </w:tc>
        <w:tc>
          <w:tcPr>
            <w:tcW w:type="dxa" w:w="1568"/>
          </w:tcPr>
          <w:p>
            <w:pPr>
              <w:spacing w:after="40"/>
            </w:pPr>
            <w:r>
              <w:rPr>
                <w:sz w:val="18"/>
              </w:rPr>
              <w:t>+0.28</w:t>
            </w:r>
          </w:p>
        </w:tc>
        <w:tc>
          <w:tcPr>
            <w:tcW w:type="dxa" w:w="1568"/>
          </w:tcPr>
          <w:p>
            <w:pPr>
              <w:spacing w:after="40"/>
            </w:pPr>
            <w:r>
              <w:rPr>
                <w:sz w:val="18"/>
              </w:rPr>
              <w:t>+0.04</w:t>
            </w:r>
          </w:p>
        </w:tc>
        <w:tc>
          <w:tcPr>
            <w:tcW w:type="dxa" w:w="1568"/>
          </w:tcPr>
          <w:p>
            <w:pPr>
              <w:spacing w:after="40"/>
            </w:pPr>
            <w:r>
              <w:rPr>
                <w:sz w:val="18"/>
              </w:rPr>
              <w:t>82%</w:t>
            </w:r>
          </w:p>
        </w:tc>
      </w:tr>
      <w:tr>
        <w:tc>
          <w:tcPr>
            <w:tcW w:type="dxa" w:w="1568"/>
            <w:shd w:fill="F3F4F6"/>
          </w:tcPr>
          <w:p>
            <w:pPr>
              <w:spacing w:after="40"/>
            </w:pPr>
            <w:r>
              <w:rPr>
                <w:sz w:val="18"/>
              </w:rPr>
              <w:t>20</w:t>
            </w:r>
          </w:p>
        </w:tc>
        <w:tc>
          <w:tcPr>
            <w:tcW w:type="dxa" w:w="1568"/>
            <w:shd w:fill="F3F4F6"/>
          </w:tcPr>
          <w:p>
            <w:pPr>
              <w:spacing w:after="40"/>
            </w:pPr>
            <w:r>
              <w:rPr>
                <w:sz w:val="18"/>
              </w:rPr>
              <w:t>80</w:t>
            </w:r>
          </w:p>
        </w:tc>
        <w:tc>
          <w:tcPr>
            <w:tcW w:type="dxa" w:w="1568"/>
            <w:shd w:fill="F3F4F6"/>
          </w:tcPr>
          <w:p>
            <w:pPr>
              <w:spacing w:after="40"/>
            </w:pPr>
            <w:r>
              <w:rPr>
                <w:sz w:val="18"/>
              </w:rPr>
              <w:t>0.50</w:t>
            </w:r>
          </w:p>
        </w:tc>
        <w:tc>
          <w:tcPr>
            <w:tcW w:type="dxa" w:w="1568"/>
            <w:shd w:fill="F3F4F6"/>
          </w:tcPr>
          <w:p>
            <w:pPr>
              <w:spacing w:after="40"/>
            </w:pPr>
            <w:r>
              <w:rPr>
                <w:sz w:val="18"/>
              </w:rPr>
              <w:t>+0.32</w:t>
            </w:r>
          </w:p>
        </w:tc>
        <w:tc>
          <w:tcPr>
            <w:tcW w:type="dxa" w:w="1568"/>
            <w:shd w:fill="F3F4F6"/>
          </w:tcPr>
          <w:p>
            <w:pPr>
              <w:spacing w:after="40"/>
            </w:pPr>
            <w:r>
              <w:rPr>
                <w:sz w:val="18"/>
              </w:rPr>
              <w:t>+0.12</w:t>
            </w:r>
          </w:p>
        </w:tc>
        <w:tc>
          <w:tcPr>
            <w:tcW w:type="dxa" w:w="1568"/>
            <w:shd w:fill="F3F4F6"/>
          </w:tcPr>
          <w:p>
            <w:pPr>
              <w:spacing w:after="40"/>
            </w:pPr>
            <w:r>
              <w:rPr>
                <w:sz w:val="18"/>
              </w:rPr>
              <w:t>94%</w:t>
            </w:r>
          </w:p>
        </w:tc>
      </w:tr>
    </w:tbl>
    <w:p/>
    <w:p>
      <w:r>
        <w:t>If a strike triggers, ALL BU revenue for the round is lost. At total revenue of $53.5M, this is catastrophic.</w:t>
      </w:r>
    </w:p>
    <w:p>
      <w:pPr>
        <w:pStyle w:val="Heading3"/>
      </w:pPr>
      <w:r>
        <w:t>Teaching Tip</w:t>
      </w:r>
    </w:p>
    <w:p>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pPr>
        <w:pStyle w:val="Heading2"/>
      </w:pPr>
      <w:r>
        <w:t>3.11 Terminal Valuation Formula</w:t>
      </w:r>
    </w:p>
    <w:p>
      <w:pPr>
        <w:pStyle w:val="Heading3"/>
      </w:pPr>
      <w:r>
        <w:t>Formula</w:t>
      </w:r>
    </w:p>
    <w:p>
      <w:r>
        <w:rPr>
          <w:rFonts w:ascii="Consolas" w:hAnsi="Consolas"/>
          <w:b/>
          <w:sz w:val="20"/>
        </w:rPr>
        <w:t>TV = (EBITDA - Carbon_Tax x CO2_Tonnage) x Exit_Multiple x M_R</w:t>
      </w:r>
    </w:p>
    <w:p>
      <w:r>
        <w:t>Where: EBITDA = Sum(Revenue - OPEX), Carbon Tax = $250/ton (adjustable), Exit Multiple = 12.0x, M_R = Regenerative Multiple (1.0 to ~2.1).</w:t>
      </w:r>
    </w:p>
    <w:p>
      <w:pPr>
        <w:pStyle w:val="Heading3"/>
      </w:pPr>
      <w:r>
        <w:t>Sample Calculation</w:t>
      </w:r>
    </w:p>
    <w:p>
      <w:r>
        <w:t>Regenerative Titan scenario:</w:t>
      </w:r>
    </w:p>
    <w:p>
      <w:pPr>
        <w:pStyle w:val="ListBullet"/>
      </w:pPr>
      <w:r>
        <w:rPr>
          <w:sz w:val="20"/>
        </w:rPr>
        <w:t>EBITDA: $53.5M revenue - $36.5M OPEX = $17.0M</w:t>
      </w:r>
    </w:p>
    <w:p>
      <w:pPr>
        <w:pStyle w:val="ListBullet"/>
      </w:pPr>
      <w:r>
        <w:rPr>
          <w:sz w:val="20"/>
        </w:rPr>
        <w:t>Carbon Cost: $250 x 25,000 tons = $6.25M</w:t>
      </w:r>
    </w:p>
    <w:p>
      <w:pPr>
        <w:pStyle w:val="ListBullet"/>
      </w:pPr>
      <w:r>
        <w:rPr>
          <w:sz w:val="20"/>
        </w:rPr>
        <w:t>Net: $17.0M - $6.25M = $10.75M</w:t>
      </w:r>
    </w:p>
    <w:p>
      <w:pPr>
        <w:pStyle w:val="ListBullet"/>
      </w:pPr>
      <w:r>
        <w:rPr>
          <w:sz w:val="20"/>
        </w:rPr>
        <w:t>Exit Multiple: 12.0x</w:t>
      </w:r>
    </w:p>
    <w:p>
      <w:pPr>
        <w:pStyle w:val="ListBullet"/>
      </w:pPr>
      <w:r>
        <w:rPr>
          <w:sz w:val="20"/>
        </w:rPr>
        <w:t>M_R: 1.85 (earned most bonuses)</w:t>
      </w:r>
    </w:p>
    <w:p>
      <w:pPr>
        <w:pStyle w:val="ListBullet"/>
      </w:pPr>
      <w:r>
        <w:rPr>
          <w:sz w:val="20"/>
        </w:rPr>
        <w:t>TV = $10.75M x 12.0 x 1.85 = $238.7M</w:t>
      </w:r>
    </w:p>
    <w:p>
      <w:pPr>
        <w:pStyle w:val="Heading3"/>
      </w:pPr>
      <w:r>
        <w:t>Teaching Tip</w:t>
      </w:r>
    </w:p>
    <w:p>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pPr>
        <w:pStyle w:val="Heading2"/>
      </w:pPr>
      <w:r>
        <w:t>3.12 Stakeholder Fatigue Engine</w:t>
      </w:r>
    </w:p>
    <w:p>
      <w:pPr>
        <w:pStyle w:val="Heading3"/>
      </w:pPr>
      <w:r>
        <w:t>Formula</w:t>
      </w:r>
    </w:p>
    <w:p>
      <w:r>
        <w:rPr>
          <w:rFonts w:ascii="Consolas" w:hAnsi="Consolas"/>
          <w:b/>
          <w:sz w:val="20"/>
        </w:rPr>
        <w:t>Recovery_Efficiency = 1.0 / (1 + 0.3 x crisis_count)</w:t>
      </w:r>
    </w:p>
    <w:p>
      <w:r>
        <w:t>After each crisis, stakeholder trust recovery becomes harder. A company facing its 3rd crisis recovers trust at only 53% efficiency. This prevents "crisis → apologise → repeat" strategies.</w:t>
      </w:r>
    </w:p>
    <w:p>
      <w:pPr>
        <w:pStyle w:val="Heading3"/>
      </w:pPr>
      <w:r>
        <w:t>Teaching Tip</w:t>
      </w:r>
    </w:p>
    <w:p>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pPr>
        <w:pStyle w:val="Heading2"/>
      </w:pPr>
      <w:r>
        <w:t>3.13 Supply Chain Contagion Engine</w:t>
      </w:r>
    </w:p>
    <w:p>
      <w:pPr>
        <w:pStyle w:val="Heading3"/>
      </w:pPr>
      <w:r>
        <w:t>Formula</w:t>
      </w:r>
    </w:p>
    <w:p>
      <w:r>
        <w:rPr>
          <w:rFonts w:ascii="Consolas" w:hAnsi="Consolas"/>
          <w:b/>
          <w:sz w:val="20"/>
        </w:rPr>
        <w:t>OPEX_Surcharge = BU_OPEX x Sum(other_BU_gov_risk x 0.002)</w:t>
      </w:r>
    </w:p>
    <w:p>
      <w:r>
        <w:t>BUs with high governance risk contaminate other BUs through shared supplier networks. This models the systemic risk of poor governance spreading through supply chain interdependencies.</w:t>
      </w:r>
    </w:p>
    <w:p>
      <w:pPr>
        <w:pStyle w:val="Heading3"/>
      </w:pPr>
      <w:r>
        <w:t>Teaching Tip</w:t>
      </w:r>
    </w:p>
    <w:p>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drawing>
          <wp:inline xmlns:a="http://schemas.openxmlformats.org/drawingml/2006/main" xmlns:pic="http://schemas.openxmlformats.org/drawingml/2006/picture">
            <wp:extent cx="5303520" cy="5411416"/>
            <wp:docPr id="4" name="Picture 4"/>
            <wp:cNvGraphicFramePr>
              <a:graphicFrameLocks noChangeAspect="1"/>
            </wp:cNvGraphicFramePr>
            <a:graphic>
              <a:graphicData uri="http://schemas.openxmlformats.org/drawingml/2006/picture">
                <pic:pic>
                  <pic:nvPicPr>
                    <pic:cNvPr id="0" name="s04_stakeholder_map.png"/>
                    <pic:cNvPicPr/>
                  </pic:nvPicPr>
                  <pic:blipFill>
                    <a:blip r:embed="rId12"/>
                    <a:stretch>
                      <a:fillRect/>
                    </a:stretch>
                  </pic:blipFill>
                  <pic:spPr>
                    <a:xfrm>
                      <a:off x="0" y="0"/>
                      <a:ext cx="5303520" cy="5411416"/>
                    </a:xfrm>
                    <a:prstGeom prst="rect"/>
                  </pic:spPr>
                </pic:pic>
              </a:graphicData>
            </a:graphic>
          </wp:inline>
        </w:drawing>
      </w:r>
    </w:p>
    <w:p>
      <w:pPr>
        <w:spacing w:after="240"/>
        <w:jc w:val="center"/>
      </w:pPr>
      <w:r>
        <w:rPr>
          <w:i/>
          <w:color w:val="6B7280"/>
          <w:sz w:val="17"/>
        </w:rPr>
        <w:t>Figure: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drawing>
          <wp:inline xmlns:a="http://schemas.openxmlformats.org/drawingml/2006/main" xmlns:pic="http://schemas.openxmlformats.org/drawingml/2006/picture">
            <wp:extent cx="5303520" cy="5411416"/>
            <wp:docPr id="5" name="Picture 5"/>
            <wp:cNvGraphicFramePr>
              <a:graphicFrameLocks noChangeAspect="1"/>
            </wp:cNvGraphicFramePr>
            <a:graphic>
              <a:graphicData uri="http://schemas.openxmlformats.org/drawingml/2006/picture">
                <pic:pic>
                  <pic:nvPicPr>
                    <pic:cNvPr id="0" name="s03_stakeholder_gate.png"/>
                    <pic:cNvPicPr/>
                  </pic:nvPicPr>
                  <pic:blipFill>
                    <a:blip r:embed="rId13"/>
                    <a:stretch>
                      <a:fillRect/>
                    </a:stretch>
                  </pic:blipFill>
                  <pic:spPr>
                    <a:xfrm>
                      <a:off x="0" y="0"/>
                      <a:ext cx="5303520" cy="5411416"/>
                    </a:xfrm>
                    <a:prstGeom prst="rect"/>
                  </pic:spPr>
                </pic:pic>
              </a:graphicData>
            </a:graphic>
          </wp:inline>
        </w:drawing>
      </w:r>
    </w:p>
    <w:p>
      <w:pPr>
        <w:spacing w:after="240"/>
        <w:jc w:val="center"/>
      </w:pPr>
      <w:r>
        <w:rPr>
          <w:i/>
          <w:color w:val="6B7280"/>
          <w:sz w:val="17"/>
        </w:rPr>
        <w:t>Figure: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drawing>
          <wp:inline xmlns:a="http://schemas.openxmlformats.org/drawingml/2006/main" xmlns:pic="http://schemas.openxmlformats.org/drawingml/2006/picture">
            <wp:extent cx="5303520" cy="5411416"/>
            <wp:docPr id="6" name="Picture 6"/>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drawing>
          <wp:inline xmlns:a="http://schemas.openxmlformats.org/drawingml/2006/main" xmlns:pic="http://schemas.openxmlformats.org/drawingml/2006/picture">
            <wp:extent cx="5303520" cy="5411416"/>
            <wp:docPr id="7" name="Picture 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drawing>
          <wp:inline xmlns:a="http://schemas.openxmlformats.org/drawingml/2006/main" xmlns:pic="http://schemas.openxmlformats.org/drawingml/2006/picture">
            <wp:extent cx="5303520" cy="5411416"/>
            <wp:docPr id="8" name="Picture 8"/>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drawing>
          <wp:inline xmlns:a="http://schemas.openxmlformats.org/drawingml/2006/main" xmlns:pic="http://schemas.openxmlformats.org/drawingml/2006/picture">
            <wp:extent cx="5303520" cy="5411416"/>
            <wp:docPr id="9" name="Picture 9"/>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drawing>
          <wp:inline xmlns:a="http://schemas.openxmlformats.org/drawingml/2006/main" xmlns:pic="http://schemas.openxmlformats.org/drawingml/2006/picture">
            <wp:extent cx="5303520" cy="5411416"/>
            <wp:docPr id="10" name="Picture 10"/>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drawing>
          <wp:inline xmlns:a="http://schemas.openxmlformats.org/drawingml/2006/main" xmlns:pic="http://schemas.openxmlformats.org/drawingml/2006/picture">
            <wp:extent cx="5303520" cy="5411416"/>
            <wp:docPr id="11" name="Picture 11"/>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drawing>
          <wp:inline xmlns:a="http://schemas.openxmlformats.org/drawingml/2006/main" xmlns:pic="http://schemas.openxmlformats.org/drawingml/2006/picture">
            <wp:extent cx="5303520" cy="5411416"/>
            <wp:docPr id="12" name="Picture 12"/>
            <wp:cNvGraphicFramePr>
              <a:graphicFrameLocks noChangeAspect="1"/>
            </wp:cNvGraphicFramePr>
            <a:graphic>
              <a:graphicData uri="http://schemas.openxmlformats.org/drawingml/2006/picture">
                <pic:pic>
                  <pic:nvPicPr>
                    <pic:cNvPr id="0" name="s05_executive_cockpit.png"/>
                    <pic:cNvPicPr/>
                  </pic:nvPicPr>
                  <pic:blipFill>
                    <a:blip r:embed="rId10"/>
                    <a:stretch>
                      <a:fillRect/>
                    </a:stretch>
                  </pic:blipFill>
                  <pic:spPr>
                    <a:xfrm>
                      <a:off x="0" y="0"/>
                      <a:ext cx="5303520" cy="5411416"/>
                    </a:xfrm>
                    <a:prstGeom prst="rect"/>
                  </pic:spPr>
                </pic:pic>
              </a:graphicData>
            </a:graphic>
          </wp:inline>
        </w:drawing>
      </w:r>
    </w:p>
    <w:p>
      <w:pPr>
        <w:spacing w:after="240"/>
        <w:jc w:val="center"/>
      </w:pPr>
      <w:r>
        <w:rPr>
          <w:i/>
          <w:color w:val="6B7280"/>
          <w:sz w:val="17"/>
        </w:rPr>
        <w:t>Figure: Final Report with terminal valuation breakdown and archetype badge</w:t>
      </w:r>
    </w:p>
    <w:p>
      <w:pPr>
        <w:jc w:val="center"/>
      </w:pPr>
      <w:r>
        <w:drawing>
          <wp:inline xmlns:a="http://schemas.openxmlformats.org/drawingml/2006/main" xmlns:pic="http://schemas.openxmlformats.org/drawingml/2006/picture">
            <wp:extent cx="5303520" cy="5411416"/>
            <wp:docPr id="13" name="Picture 13"/>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drawing>
          <wp:inline xmlns:a="http://schemas.openxmlformats.org/drawingml/2006/main" xmlns:pic="http://schemas.openxmlformats.org/drawingml/2006/picture">
            <wp:extent cx="5303520" cy="5411416"/>
            <wp:docPr id="14" name="Picture 14"/>
            <wp:cNvGraphicFramePr>
              <a:graphicFrameLocks noChangeAspect="1"/>
            </wp:cNvGraphicFramePr>
            <a:graphic>
              <a:graphicData uri="http://schemas.openxmlformats.org/drawingml/2006/picture">
                <pic:pic>
                  <pic:nvPicPr>
                    <pic:cNvPr id="0" name="s07_dashboard_home.png"/>
                    <pic:cNvPicPr/>
                  </pic:nvPicPr>
                  <pic:blipFill>
                    <a:blip r:embed="rId16"/>
                    <a:stretch>
                      <a:fillRect/>
                    </a:stretch>
                  </pic:blipFill>
                  <pic:spPr>
                    <a:xfrm>
                      <a:off x="0" y="0"/>
                      <a:ext cx="5303520" cy="5411416"/>
                    </a:xfrm>
                    <a:prstGeom prst="rect"/>
                  </pic:spPr>
                </pic:pic>
              </a:graphicData>
            </a:graphic>
          </wp:inline>
        </w:drawing>
      </w:r>
    </w:p>
    <w:p>
      <w:pPr>
        <w:spacing w:after="240"/>
        <w:jc w:val="center"/>
      </w:pPr>
      <w:r>
        <w:rPr>
          <w:i/>
          <w:color w:val="6B7280"/>
          <w:sz w:val="17"/>
        </w:rPr>
        <w:t>Figure: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drawing>
          <wp:inline xmlns:a="http://schemas.openxmlformats.org/drawingml/2006/main" xmlns:pic="http://schemas.openxmlformats.org/drawingml/2006/picture">
            <wp:extent cx="5303520" cy="5411416"/>
            <wp:docPr id="15" name="Picture 15"/>
            <wp:cNvGraphicFramePr>
              <a:graphicFrameLocks noChangeAspect="1"/>
            </wp:cNvGraphicFramePr>
            <a:graphic>
              <a:graphicData uri="http://schemas.openxmlformats.org/drawingml/2006/picture">
                <pic:pic>
                  <pic:nvPicPr>
                    <pic:cNvPr id="0" name="s06_advanced_metrics.png"/>
                    <pic:cNvPicPr/>
                  </pic:nvPicPr>
                  <pic:blipFill>
                    <a:blip r:embed="rId14"/>
                    <a:stretch>
                      <a:fillRect/>
                    </a:stretch>
                  </pic:blipFill>
                  <pic:spPr>
                    <a:xfrm>
                      <a:off x="0" y="0"/>
                      <a:ext cx="5303520" cy="5411416"/>
                    </a:xfrm>
                    <a:prstGeom prst="rect"/>
                  </pic:spPr>
                </pic:pic>
              </a:graphicData>
            </a:graphic>
          </wp:inline>
        </w:drawing>
      </w:r>
    </w:p>
    <w:p>
      <w:pPr>
        <w:spacing w:after="240"/>
        <w:jc w:val="center"/>
      </w:pPr>
      <w:r>
        <w:rPr>
          <w:i/>
          <w:color w:val="6B7280"/>
          <w:sz w:val="17"/>
        </w:rPr>
        <w:t>Figure: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drawing>
          <wp:inline xmlns:a="http://schemas.openxmlformats.org/drawingml/2006/main" xmlns:pic="http://schemas.openxmlformats.org/drawingml/2006/picture">
            <wp:extent cx="5303520" cy="5411416"/>
            <wp:docPr id="16" name="Picture 16"/>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drawing>
          <wp:inline xmlns:a="http://schemas.openxmlformats.org/drawingml/2006/main" xmlns:pic="http://schemas.openxmlformats.org/drawingml/2006/picture">
            <wp:extent cx="5303520" cy="5411416"/>
            <wp:docPr id="17" name="Picture 17"/>
            <wp:cNvGraphicFramePr>
              <a:graphicFrameLocks noChangeAspect="1"/>
            </wp:cNvGraphicFramePr>
            <a:graphic>
              <a:graphicData uri="http://schemas.openxmlformats.org/drawingml/2006/picture">
                <pic:pic>
                  <pic:nvPicPr>
                    <pic:cNvPr id="0" name="s02_round_briefing.png"/>
                    <pic:cNvPicPr/>
                  </pic:nvPicPr>
                  <pic:blipFill>
                    <a:blip r:embed="rId15"/>
                    <a:stretch>
                      <a:fillRect/>
                    </a:stretch>
                  </pic:blipFill>
                  <pic:spPr>
                    <a:xfrm>
                      <a:off x="0" y="0"/>
                      <a:ext cx="5303520" cy="5411416"/>
                    </a:xfrm>
                    <a:prstGeom prst="rect"/>
                  </pic:spPr>
                </pic:pic>
              </a:graphicData>
            </a:graphic>
          </wp:inline>
        </w:drawing>
      </w:r>
    </w:p>
    <w:p>
      <w:pPr>
        <w:spacing w:after="240"/>
        <w:jc w:val="center"/>
      </w:pPr>
      <w:r>
        <w:rPr>
          <w:i/>
          <w:color w:val="6B7280"/>
          <w:sz w:val="17"/>
        </w:rPr>
        <w:t>Figure: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drawing>
          <wp:inline xmlns:a="http://schemas.openxmlformats.org/drawingml/2006/main" xmlns:pic="http://schemas.openxmlformats.org/drawingml/2006/picture">
            <wp:extent cx="5303520" cy="2957571"/>
            <wp:docPr id="18" name="Picture 18"/>
            <wp:cNvGraphicFramePr>
              <a:graphicFrameLocks noChangeAspect="1"/>
            </wp:cNvGraphicFramePr>
            <a:graphic>
              <a:graphicData uri="http://schemas.openxmlformats.org/drawingml/2006/picture">
                <pic:pic>
                  <pic:nvPicPr>
                    <pic:cNvPr id="0" name="s11_teleprompter.png"/>
                    <pic:cNvPicPr/>
                  </pic:nvPicPr>
                  <pic:blipFill>
                    <a:blip r:embed="rId18"/>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Teleprompter in full-screen presenter mode</w:t>
      </w:r>
    </w:p>
    <w:p>
      <w:pPr>
        <w:jc w:val="center"/>
      </w:pPr>
      <w:r>
        <w:drawing>
          <wp:inline xmlns:a="http://schemas.openxmlformats.org/drawingml/2006/main" xmlns:pic="http://schemas.openxmlformats.org/drawingml/2006/picture">
            <wp:extent cx="5303520" cy="2957571"/>
            <wp:docPr id="19" name="Picture 19"/>
            <wp:cNvGraphicFramePr>
              <a:graphicFrameLocks noChangeAspect="1"/>
            </wp:cNvGraphicFramePr>
            <a:graphic>
              <a:graphicData uri="http://schemas.openxmlformats.org/drawingml/2006/picture">
                <pic:pic>
                  <pic:nvPicPr>
                    <pic:cNvPr id="0" name="s12_leaderboard.png"/>
                    <pic:cNvPicPr/>
                  </pic:nvPicPr>
                  <pic:blipFill>
                    <a:blip r:embed="rId19"/>
                    <a:stretch>
                      <a:fillRect/>
                    </a:stretch>
                  </pic:blipFill>
                  <pic:spPr>
                    <a:xfrm>
                      <a:off x="0" y="0"/>
                      <a:ext cx="5303520" cy="2957571"/>
                    </a:xfrm>
                    <a:prstGeom prst="rect"/>
                  </pic:spPr>
                </pic:pic>
              </a:graphicData>
            </a:graphic>
          </wp:inline>
        </w:drawing>
      </w:r>
    </w:p>
    <w:p>
      <w:pPr>
        <w:spacing w:after="240"/>
        <w:jc w:val="center"/>
      </w:pPr>
      <w:r>
        <w:rPr>
          <w:i/>
          <w:color w:val="6B7280"/>
          <w:sz w:val="17"/>
        </w:rPr>
        <w:t>Figure: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drawing>
          <wp:inline xmlns:a="http://schemas.openxmlformats.org/drawingml/2006/main" xmlns:pic="http://schemas.openxmlformats.org/drawingml/2006/picture">
            <wp:extent cx="5303520" cy="2957571"/>
            <wp:docPr id="20" name="Picture 20"/>
            <wp:cNvGraphicFramePr>
              <a:graphicFrameLocks noChangeAspect="1"/>
            </wp:cNvGraphicFramePr>
            <a:graphic>
              <a:graphicData uri="http://schemas.openxmlformats.org/drawingml/2006/picture">
                <pic:pic>
                  <pic:nvPicPr>
                    <pic:cNvPr id="0" name="s13_player_registry.png"/>
                    <pic:cNvPicPr/>
                  </pic:nvPicPr>
                  <pic:blipFill>
                    <a:blip r:embed="rId20"/>
                    <a:stretch>
                      <a:fillRect/>
                    </a:stretch>
                  </pic:blipFill>
                  <pic:spPr>
                    <a:xfrm>
                      <a:off x="0" y="0"/>
                      <a:ext cx="5303520" cy="2957571"/>
                    </a:xfrm>
                    <a:prstGeom prst="rect"/>
                  </pic:spPr>
                </pic:pic>
              </a:graphicData>
            </a:graphic>
          </wp:inline>
        </w:drawing>
      </w:r>
    </w:p>
    <w:p>
      <w:pPr>
        <w:spacing w:after="240"/>
        <w:jc w:val="center"/>
      </w:pPr>
      <w:r>
        <w:rPr>
          <w:i/>
          <w:color w:val="6B7280"/>
          <w:sz w:val="17"/>
        </w:rPr>
        <w:t>Figure: Player Registry with connection status indicators</w:t>
      </w:r>
    </w:p>
    <w:p>
      <w:pPr>
        <w:jc w:val="center"/>
      </w:pPr>
      <w:r>
        <w:drawing>
          <wp:inline xmlns:a="http://schemas.openxmlformats.org/drawingml/2006/main" xmlns:pic="http://schemas.openxmlformats.org/drawingml/2006/picture">
            <wp:extent cx="5303520" cy="2957571"/>
            <wp:docPr id="21" name="Picture 21"/>
            <wp:cNvGraphicFramePr>
              <a:graphicFrameLocks noChangeAspect="1"/>
            </wp:cNvGraphicFramePr>
            <a:graphic>
              <a:graphicData uri="http://schemas.openxmlformats.org/drawingml/2006/picture">
                <pic:pic>
                  <pic:nvPicPr>
                    <pic:cNvPr id="0" name="s14_impersonation.png"/>
                    <pic:cNvPicPr/>
                  </pic:nvPicPr>
                  <pic:blipFill>
                    <a:blip r:embed="rId21"/>
                    <a:stretch>
                      <a:fillRect/>
                    </a:stretch>
                  </pic:blipFill>
                  <pic:spPr>
                    <a:xfrm>
                      <a:off x="0" y="0"/>
                      <a:ext cx="5303520" cy="2957571"/>
                    </a:xfrm>
                    <a:prstGeom prst="rect"/>
                  </pic:spPr>
                </pic:pic>
              </a:graphicData>
            </a:graphic>
          </wp:inline>
        </w:drawing>
      </w:r>
    </w:p>
    <w:p>
      <w:pPr>
        <w:spacing w:after="240"/>
        <w:jc w:val="center"/>
      </w:pPr>
      <w:r>
        <w:rPr>
          <w:i/>
          <w:color w:val="6B7280"/>
          <w:sz w:val="17"/>
        </w:rPr>
        <w:t>Figure: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drawing>
          <wp:inline xmlns:a="http://schemas.openxmlformats.org/drawingml/2006/main" xmlns:pic="http://schemas.openxmlformats.org/drawingml/2006/picture">
            <wp:extent cx="5303520" cy="2957571"/>
            <wp:docPr id="22" name="Picture 22"/>
            <wp:cNvGraphicFramePr>
              <a:graphicFrameLocks noChangeAspect="1"/>
            </wp:cNvGraphicFramePr>
            <a:graphic>
              <a:graphicData uri="http://schemas.openxmlformats.org/drawingml/2006/picture">
                <pic:pic>
                  <pic:nvPicPr>
                    <pic:cNvPr id="0" name="s15_cohort_analytics.png"/>
                    <pic:cNvPicPr/>
                  </pic:nvPicPr>
                  <pic:blipFill>
                    <a:blip r:embed="rId22"/>
                    <a:stretch>
                      <a:fillRect/>
                    </a:stretch>
                  </pic:blipFill>
                  <pic:spPr>
                    <a:xfrm>
                      <a:off x="0" y="0"/>
                      <a:ext cx="5303520" cy="2957571"/>
                    </a:xfrm>
                    <a:prstGeom prst="rect"/>
                  </pic:spPr>
                </pic:pic>
              </a:graphicData>
            </a:graphic>
          </wp:inline>
        </w:drawing>
      </w:r>
    </w:p>
    <w:p>
      <w:pPr>
        <w:spacing w:after="240"/>
        <w:jc w:val="center"/>
      </w:pPr>
      <w:r>
        <w:rPr>
          <w:i/>
          <w:color w:val="6B7280"/>
          <w:sz w:val="17"/>
        </w:rPr>
        <w:t>Figure: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drawing>
          <wp:inline xmlns:a="http://schemas.openxmlformats.org/drawingml/2006/main" xmlns:pic="http://schemas.openxmlformats.org/drawingml/2006/picture">
            <wp:extent cx="5303520" cy="5411416"/>
            <wp:docPr id="23" name="Picture 23"/>
            <wp:cNvGraphicFramePr>
              <a:graphicFrameLocks noChangeAspect="1"/>
            </wp:cNvGraphicFramePr>
            <a:graphic>
              <a:graphicData uri="http://schemas.openxmlformats.org/drawingml/2006/picture">
                <pic:pic>
                  <pic:nvPicPr>
                    <pic:cNvPr id="0" name="s08_sidebar_analytics.png"/>
                    <pic:cNvPicPr/>
                  </pic:nvPicPr>
                  <pic:blipFill>
                    <a:blip r:embed="rId17"/>
                    <a:stretch>
                      <a:fillRect/>
                    </a:stretch>
                  </pic:blipFill>
                  <pic:spPr>
                    <a:xfrm>
                      <a:off x="0" y="0"/>
                      <a:ext cx="5303520" cy="5411416"/>
                    </a:xfrm>
                    <a:prstGeom prst="rect"/>
                  </pic:spPr>
                </pic:pic>
              </a:graphicData>
            </a:graphic>
          </wp:inline>
        </w:drawing>
      </w:r>
    </w:p>
    <w:p>
      <w:pPr>
        <w:spacing w:after="240"/>
        <w:jc w:val="center"/>
      </w:pPr>
      <w:r>
        <w:rPr>
          <w:i/>
          <w:color w:val="6B7280"/>
          <w:sz w:val="17"/>
        </w:rPr>
        <w:t>Figure: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p>
      <w:r>
        <w:br w:type="page"/>
      </w:r>
    </w:p>
    <w:p>
      <w:pPr>
        <w:pStyle w:val="Heading1"/>
      </w:pPr>
      <w:r>
        <w:t>Module Supplement: SEBI BRSR NGRBC Implementation</w:t>
      </w:r>
    </w:p>
    <w:p>
      <w:r>
        <w:t>The BRSR NGRBC side track has been integrated into the central Muressons pedagogical engine. It acts as a stringent, 5-round gauntlet focusing on Indian and global sustainability reporting standards.</w:t>
      </w:r>
    </w:p>
    <w:p>
      <w:pPr>
        <w:pStyle w:val="Heading2"/>
      </w:pPr>
      <w:r>
        <w:t>Pedagogical Goals</w:t>
      </w:r>
    </w:p>
    <w:p>
      <w:pPr>
        <w:pStyle w:val="ListBullet"/>
      </w:pPr>
      <w:r>
        <w:t>By triggering this track, facilitators can evaluate students on:</w:t>
      </w:r>
    </w:p>
    <w:p>
      <w:pPr>
        <w:pStyle w:val="ListBullet"/>
      </w:pPr>
      <w:r>
        <w:t>Distinguishing between SEBI's 'Essential' vs. 'Leadership' indicators.</w:t>
      </w:r>
    </w:p>
    <w:p>
      <w:pPr>
        <w:pStyle w:val="ListBullet"/>
      </w:pPr>
      <w:r>
        <w:t>Navigating the severe consequences of 'Greenwashing' in value chain assurance.</w:t>
      </w:r>
    </w:p>
    <w:p>
      <w:pPr>
        <w:pStyle w:val="ListBullet"/>
      </w:pPr>
      <w:r>
        <w:t>Understanding the long-term financial Alpha generated by proactive BRSR Core assurance.</w:t>
      </w:r>
    </w:p>
    <w:p>
      <w:pPr>
        <w:pStyle w:val="Heading2"/>
      </w:pPr>
      <w:r>
        <w:t>Facilitator Controls &amp; Live Interventions</w:t>
      </w:r>
    </w:p>
    <w:p>
      <w:r>
        <w:t>The track feeds dynamic crises directly into the main Engine Loop. For example, if a team accumulates a 'Governance Fragility' flag in Round 1, the engine will autonomously trigger a 'Whistleblower Crisis' in Round 5, bleeding their corporate treasury. Use this as a powerful debriefing tool to illustrate the 'long-tail' risk of poor ESG governance.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0B981"/>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