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p>
      <w:r>
        <w:br w:type="page"/>
      </w:r>
    </w:p>
    <w:p>
      <w:pPr>
        <w:pStyle w:val="Heading1"/>
      </w:pPr>
      <w:r>
        <w:t>Appendix: The ESG Impact Constellation</w:t>
      </w:r>
    </w:p>
    <w:p>
      <w:r>
        <w:t>The ESG Impact Constellation is a live 3D visualizer embedded in your Executive Cockpit. It maps every strategic decision you make across all ten simulation rounds into an interactive star-chart, showing how your choices ripple forward — and sometimes loop back — across different ESG dimensions.</w:t>
      </w:r>
    </w:p>
    <w:p>
      <w:r>
        <w:t>Think of it as your decision DNA made visible. After completing the simulation, the Constellation lets you examine which rounds had the biggest financial shocks, where you gained or lost reputation, and which early decisions set the conditions for your final outcome.</w:t>
      </w:r>
    </w:p>
    <w:p>
      <w:pPr>
        <w:pStyle w:val="Heading2"/>
      </w:pPr>
      <w:r>
        <w:t>What Each Node Represents</w:t>
      </w:r>
    </w:p>
    <w:p>
      <w:r>
        <w:t>Every glowing sphere in the Constellation represents one completed round. The sphere's colour, size, and glow intensity all carry meaning:</w:t>
      </w:r>
    </w:p>
    <w:tbl>
      <w:tblPr>
        <w:tblStyle w:val="TableGrid"/>
        <w:tblW w:type="auto" w:w="0"/>
        <w:tblLook w:firstColumn="1" w:firstRow="1" w:lastColumn="0" w:lastRow="0" w:noHBand="0" w:noVBand="1" w:val="04A0"/>
      </w:tblPr>
      <w:tblGrid>
        <w:gridCol w:w="3024"/>
        <w:gridCol w:w="3024"/>
        <w:gridCol w:w="3024"/>
      </w:tblGrid>
      <w:tr>
        <w:tc>
          <w:tcPr>
            <w:tcW w:type="dxa" w:w="3024"/>
          </w:tcPr>
          <w:p>
            <w:r>
              <w:t>Round</w:t>
            </w:r>
          </w:p>
        </w:tc>
        <w:tc>
          <w:tcPr>
            <w:tcW w:type="dxa" w:w="3024"/>
          </w:tcPr>
          <w:p>
            <w:r>
              <w:t>Topic</w:t>
            </w:r>
          </w:p>
        </w:tc>
        <w:tc>
          <w:tcPr>
            <w:tcW w:type="dxa" w:w="3024"/>
          </w:tcPr>
          <w:p>
            <w:r>
              <w:t>ESG Dimension (Colour)</w:t>
            </w:r>
          </w:p>
        </w:tc>
      </w:tr>
      <w:tr>
        <w:tc>
          <w:tcPr>
            <w:tcW w:type="dxa" w:w="3024"/>
          </w:tcPr>
          <w:p>
            <w:r>
              <w:t>R1</w:t>
            </w:r>
          </w:p>
        </w:tc>
        <w:tc>
          <w:tcPr>
            <w:tcW w:type="dxa" w:w="3024"/>
          </w:tcPr>
          <w:p>
            <w:r>
              <w:t>ESG Materiality</w:t>
            </w:r>
          </w:p>
        </w:tc>
        <w:tc>
          <w:tcPr>
            <w:tcW w:type="dxa" w:w="3024"/>
          </w:tcPr>
          <w:p>
            <w:r>
              <w:t>Environmental 🟢</w:t>
            </w:r>
          </w:p>
        </w:tc>
      </w:tr>
      <w:tr>
        <w:tc>
          <w:tcPr>
            <w:tcW w:type="dxa" w:w="3024"/>
          </w:tcPr>
          <w:p>
            <w:r>
              <w:t>R2</w:t>
            </w:r>
          </w:p>
        </w:tc>
        <w:tc>
          <w:tcPr>
            <w:tcW w:type="dxa" w:w="3024"/>
          </w:tcPr>
          <w:p>
            <w:r>
              <w:t>Double Materiality</w:t>
            </w:r>
          </w:p>
        </w:tc>
        <w:tc>
          <w:tcPr>
            <w:tcW w:type="dxa" w:w="3024"/>
          </w:tcPr>
          <w:p>
            <w:r>
              <w:t>Governance 🟣</w:t>
            </w:r>
          </w:p>
        </w:tc>
      </w:tr>
      <w:tr>
        <w:tc>
          <w:tcPr>
            <w:tcW w:type="dxa" w:w="3024"/>
          </w:tcPr>
          <w:p>
            <w:r>
              <w:t>R3</w:t>
            </w:r>
          </w:p>
        </w:tc>
        <w:tc>
          <w:tcPr>
            <w:tcW w:type="dxa" w:w="3024"/>
          </w:tcPr>
          <w:p>
            <w:r>
              <w:t>Scope 3 Supply Chain</w:t>
            </w:r>
          </w:p>
        </w:tc>
        <w:tc>
          <w:tcPr>
            <w:tcW w:type="dxa" w:w="3024"/>
          </w:tcPr>
          <w:p>
            <w:r>
              <w:t>Environmental 🟢</w:t>
            </w:r>
          </w:p>
        </w:tc>
      </w:tr>
      <w:tr>
        <w:tc>
          <w:tcPr>
            <w:tcW w:type="dxa" w:w="3024"/>
          </w:tcPr>
          <w:p>
            <w:r>
              <w:t>R4</w:t>
            </w:r>
          </w:p>
        </w:tc>
        <w:tc>
          <w:tcPr>
            <w:tcW w:type="dxa" w:w="3024"/>
          </w:tcPr>
          <w:p>
            <w:r>
              <w:t>ESG Contagion</w:t>
            </w:r>
          </w:p>
        </w:tc>
        <w:tc>
          <w:tcPr>
            <w:tcW w:type="dxa" w:w="3024"/>
          </w:tcPr>
          <w:p>
            <w:r>
              <w:t>Social 🔵</w:t>
            </w:r>
          </w:p>
        </w:tc>
      </w:tr>
      <w:tr>
        <w:tc>
          <w:tcPr>
            <w:tcW w:type="dxa" w:w="3024"/>
          </w:tcPr>
          <w:p>
            <w:r>
              <w:t>R5</w:t>
            </w:r>
          </w:p>
        </w:tc>
        <w:tc>
          <w:tcPr>
            <w:tcW w:type="dxa" w:w="3024"/>
          </w:tcPr>
          <w:p>
            <w:r>
              <w:t>Climate Risk</w:t>
            </w:r>
          </w:p>
        </w:tc>
        <w:tc>
          <w:tcPr>
            <w:tcW w:type="dxa" w:w="3024"/>
          </w:tcPr>
          <w:p>
            <w:r>
              <w:t>Environmental 🟢</w:t>
            </w:r>
          </w:p>
        </w:tc>
      </w:tr>
      <w:tr>
        <w:tc>
          <w:tcPr>
            <w:tcW w:type="dxa" w:w="3024"/>
          </w:tcPr>
          <w:p>
            <w:r>
              <w:t>R6</w:t>
            </w:r>
          </w:p>
        </w:tc>
        <w:tc>
          <w:tcPr>
            <w:tcW w:type="dxa" w:w="3024"/>
          </w:tcPr>
          <w:p>
            <w:r>
              <w:t>AI Ethics</w:t>
            </w:r>
          </w:p>
        </w:tc>
        <w:tc>
          <w:tcPr>
            <w:tcW w:type="dxa" w:w="3024"/>
          </w:tcPr>
          <w:p>
            <w:r>
              <w:t>Governance 🟣</w:t>
            </w:r>
          </w:p>
        </w:tc>
      </w:tr>
      <w:tr>
        <w:tc>
          <w:tcPr>
            <w:tcW w:type="dxa" w:w="3024"/>
          </w:tcPr>
          <w:p>
            <w:r>
              <w:t>R7</w:t>
            </w:r>
          </w:p>
        </w:tc>
        <w:tc>
          <w:tcPr>
            <w:tcW w:type="dxa" w:w="3024"/>
          </w:tcPr>
          <w:p>
            <w:r>
              <w:t>Circular Economy</w:t>
            </w:r>
          </w:p>
        </w:tc>
        <w:tc>
          <w:tcPr>
            <w:tcW w:type="dxa" w:w="3024"/>
          </w:tcPr>
          <w:p>
            <w:r>
              <w:t>Environmental 🟢</w:t>
            </w:r>
          </w:p>
        </w:tc>
      </w:tr>
      <w:tr>
        <w:tc>
          <w:tcPr>
            <w:tcW w:type="dxa" w:w="3024"/>
          </w:tcPr>
          <w:p>
            <w:r>
              <w:t>R8</w:t>
            </w:r>
          </w:p>
        </w:tc>
        <w:tc>
          <w:tcPr>
            <w:tcW w:type="dxa" w:w="3024"/>
          </w:tcPr>
          <w:p>
            <w:r>
              <w:t>Water Stress</w:t>
            </w:r>
          </w:p>
        </w:tc>
        <w:tc>
          <w:tcPr>
            <w:tcW w:type="dxa" w:w="3024"/>
          </w:tcPr>
          <w:p>
            <w:r>
              <w:t>Environmental 🟢</w:t>
            </w:r>
          </w:p>
        </w:tc>
      </w:tr>
      <w:tr>
        <w:tc>
          <w:tcPr>
            <w:tcW w:type="dxa" w:w="3024"/>
          </w:tcPr>
          <w:p>
            <w:r>
              <w:t>R9</w:t>
            </w:r>
          </w:p>
        </w:tc>
        <w:tc>
          <w:tcPr>
            <w:tcW w:type="dxa" w:w="3024"/>
          </w:tcPr>
          <w:p>
            <w:r>
              <w:t>Just Transition</w:t>
            </w:r>
          </w:p>
        </w:tc>
        <w:tc>
          <w:tcPr>
            <w:tcW w:type="dxa" w:w="3024"/>
          </w:tcPr>
          <w:p>
            <w:r>
              <w:t>Social 🔵</w:t>
            </w:r>
          </w:p>
        </w:tc>
      </w:tr>
      <w:tr>
        <w:tc>
          <w:tcPr>
            <w:tcW w:type="dxa" w:w="3024"/>
          </w:tcPr>
          <w:p>
            <w:r>
              <w:t>R10</w:t>
            </w:r>
          </w:p>
        </w:tc>
        <w:tc>
          <w:tcPr>
            <w:tcW w:type="dxa" w:w="3024"/>
          </w:tcPr>
          <w:p>
            <w:r>
              <w:t>Activist Ultimatum</w:t>
            </w:r>
          </w:p>
        </w:tc>
        <w:tc>
          <w:tcPr>
            <w:tcW w:type="dxa" w:w="3024"/>
          </w:tcPr>
          <w:p>
            <w:r>
              <w:t>Mixed 🩵</w:t>
            </w:r>
          </w:p>
        </w:tc>
      </w:tr>
    </w:tbl>
    <w:p/>
    <w:p>
      <w:pPr>
        <w:pStyle w:val="Heading2"/>
      </w:pPr>
      <w:r>
        <w:t>Node Size = Financial Impact</w:t>
      </w:r>
    </w:p>
    <w:p>
      <w:r>
        <w:t>The larger the sphere, the bigger the treasury shock your decision caused in that round. The size is calculated as:</w:t>
      </w:r>
    </w:p>
    <w:p>
      <w:pPr>
        <w:ind w:left="567"/>
      </w:pPr>
      <w:r>
        <w:rPr>
          <w:rFonts w:ascii="Courier New" w:hAnsi="Courier New"/>
          <w:sz w:val="18"/>
        </w:rPr>
        <w:t>Node Size  =  |Treasury Change|  ÷  $5,000,000   (clamped between 0.15× and 0.5×)</w:t>
      </w:r>
    </w:p>
    <w:p>
      <w:r>
        <w:t>A round where you committed to a costly green infrastructure investment, for example, will produce a noticeably larger sphere than a round where you only made a policy statement.</w:t>
      </w:r>
    </w:p>
    <w:p>
      <w:pPr>
        <w:pStyle w:val="Heading2"/>
      </w:pPr>
      <w:r>
        <w:t>Understanding the Connection Lines</w:t>
      </w:r>
    </w:p>
    <w:p>
      <w:r>
        <w:t>Two types of curved lines connect the nodes:</w:t>
      </w:r>
    </w:p>
    <w:p>
      <w:pPr>
        <w:pStyle w:val="ListBullet"/>
      </w:pPr>
      <w:r>
        <w:t>Solid teal curves — Sequential links. Every round automatically connects to the next. The thickness of the line reflects how dramatically your reputation changed between rounds. A reputation swing of ±20 points produces a thick, vivid line; a stable reputation produces a thin, quiet connection.</w:t>
      </w:r>
    </w:p>
    <w:p>
      <w:pPr>
        <w:pStyle w:val="ListBullet"/>
      </w:pPr>
      <w:r>
        <w:t>Dashed amber lines — Cross-causal links. These are the system's hardcoded memory. They appear between non-adjacent rounds that share a proven causal relationship:</w:t>
      </w:r>
    </w:p>
    <w:tbl>
      <w:tblPr>
        <w:tblStyle w:val="TableGrid"/>
        <w:tblW w:type="auto" w:w="0"/>
        <w:tblLook w:firstColumn="1" w:firstRow="1" w:lastColumn="0" w:lastRow="0" w:noHBand="0" w:noVBand="1" w:val="04A0"/>
      </w:tblPr>
      <w:tblGrid>
        <w:gridCol w:w="4536"/>
        <w:gridCol w:w="4536"/>
      </w:tblGrid>
      <w:tr>
        <w:tc>
          <w:tcPr>
            <w:tcW w:type="dxa" w:w="4536"/>
          </w:tcPr>
          <w:p>
            <w:r>
              <w:t>Causal Link</w:t>
            </w:r>
          </w:p>
        </w:tc>
        <w:tc>
          <w:tcPr>
            <w:tcW w:type="dxa" w:w="4536"/>
          </w:tcPr>
          <w:p>
            <w:r>
              <w:t>What It Means</w:t>
            </w:r>
          </w:p>
        </w:tc>
      </w:tr>
      <w:tr>
        <w:tc>
          <w:tcPr>
            <w:tcW w:type="dxa" w:w="4536"/>
          </w:tcPr>
          <w:p>
            <w:r>
              <w:t>R3 → R5  (strength 0.6)</w:t>
            </w:r>
          </w:p>
        </w:tc>
        <w:tc>
          <w:tcPr>
            <w:tcW w:type="dxa" w:w="4536"/>
          </w:tcPr>
          <w:p>
            <w:r>
              <w:t>Your Scope 3 Supply Chain decisions in R3 created the conditions for your Climate Risk exposure in R5. Cutting supplier emissions early reduces your R5 penalty.</w:t>
            </w:r>
          </w:p>
        </w:tc>
      </w:tr>
      <w:tr>
        <w:tc>
          <w:tcPr>
            <w:tcW w:type="dxa" w:w="4536"/>
          </w:tcPr>
          <w:p>
            <w:r>
              <w:t>R4 → R7  (strength 0.4)</w:t>
            </w:r>
          </w:p>
        </w:tc>
        <w:tc>
          <w:tcPr>
            <w:tcW w:type="dxa" w:w="4536"/>
          </w:tcPr>
          <w:p>
            <w:r>
              <w:t>ESG Contagion choices in R4 feed into Circular Economy incentives in R7. Social license earned in R4 unlocks higher-return circular options.</w:t>
            </w:r>
          </w:p>
        </w:tc>
      </w:tr>
      <w:tr>
        <w:tc>
          <w:tcPr>
            <w:tcW w:type="dxa" w:w="4536"/>
          </w:tcPr>
          <w:p>
            <w:r>
              <w:t>R1 → R10 (strength 0.8)</w:t>
            </w:r>
          </w:p>
        </w:tc>
        <w:tc>
          <w:tcPr>
            <w:tcW w:type="dxa" w:w="4536"/>
          </w:tcPr>
          <w:p>
            <w:r>
              <w:t>Your very first ESG Materiality framing echoes all the way to the Activist Ultimatum in R10. Groups that under-weighted material risks in R1 are far more vulnerable at the finale.</w:t>
            </w:r>
          </w:p>
        </w:tc>
      </w:tr>
    </w:tbl>
    <w:p/>
    <w:p>
      <w:pPr>
        <w:pStyle w:val="Heading2"/>
      </w:pPr>
      <w:r>
        <w:t>The Background Nebula = Your Reputation Health</w:t>
      </w:r>
    </w:p>
    <w:p>
      <w:r>
        <w:t>The faint cloud that fills the entire scene is not decorative — it reflects your current reputation score at the end of the visible timeline:</w:t>
      </w:r>
    </w:p>
    <w:p>
      <w:pPr>
        <w:pStyle w:val="ListBullet"/>
      </w:pPr>
      <w:r>
        <w:t>Green nebula  →  Reputation ≥ 65  (Thriving — stakeholders trust you)</w:t>
      </w:r>
    </w:p>
    <w:p>
      <w:pPr>
        <w:pStyle w:val="ListBullet"/>
      </w:pPr>
      <w:r>
        <w:t>Amber nebula  →  Reputation 40–64  (Cautious — goodwill is fragile)</w:t>
      </w:r>
    </w:p>
    <w:p>
      <w:pPr>
        <w:pStyle w:val="ListBullet"/>
      </w:pPr>
      <w:r>
        <w:t>Red nebula    →  Reputation &lt; 40   (Critical — licence to operate at risk)</w:t>
      </w:r>
    </w:p>
    <w:p>
      <w:pPr>
        <w:pStyle w:val="Heading2"/>
      </w:pPr>
      <w:r>
        <w:t>The Hover Tooltip</w:t>
      </w:r>
    </w:p>
    <w:p>
      <w:r>
        <w:t>Click or hover on any node to reveal its round-level data card:</w:t>
      </w:r>
    </w:p>
    <w:p>
      <w:pPr>
        <w:pStyle w:val="ListBullet"/>
      </w:pPr>
      <w:r>
        <w:t>Treasury Δ — Cash gained or lost during that round (shown in $K or $M)</w:t>
      </w:r>
    </w:p>
    <w:p>
      <w:pPr>
        <w:pStyle w:val="ListBullet"/>
      </w:pPr>
      <w:r>
        <w:t>Reputation Δ — Points gained or lost with stakeholders</w:t>
      </w:r>
    </w:p>
    <w:p>
      <w:pPr>
        <w:pStyle w:val="ListBullet"/>
      </w:pPr>
      <w:r>
        <w:t>Carbon Δ — Change in tCO₂e emissions (green = reduction, red = increase)</w:t>
      </w:r>
    </w:p>
    <w:p>
      <w:pPr>
        <w:pStyle w:val="Heading2"/>
      </w:pPr>
      <w:r>
        <w:t>The Timeline Slider</w:t>
      </w:r>
    </w:p>
    <w:p>
      <w:r>
        <w:t>The slider at the bottom of the screen lets you replay your journey round by round. Drag it left to remove later rounds from the view, watching the constellation contract to its earlier state. This is especially useful in debrief to trace how a single early decision cascade into later outcomes.</w:t>
      </w:r>
    </w:p>
    <w:p>
      <w:pPr>
        <w:pStyle w:val="Heading2"/>
      </w:pPr>
      <w:r>
        <w:t>ESG Filter Bar</w:t>
      </w:r>
    </w:p>
    <w:p>
      <w:r>
        <w:t>Use the filter buttons (All / 🌱 E / 👥 S / 🏛️ G) to isolate one ESG dimension at a time. Nodes belonging to the selected dimension will glow at full intensity; all others fade. This reveals whether your strategy was balanced across E, S, and G or concentrated in one pillar.</w:t>
      </w:r>
    </w:p>
    <w:p>
      <w:pPr>
        <w:pStyle w:val="Heading2"/>
      </w:pPr>
      <w:r>
        <w:t>What to Look For in the Debrief</w:t>
      </w:r>
    </w:p>
    <w:p>
      <w:r>
        <w:t>When reviewing your Constellation after the simulation, ask yourself:</w:t>
      </w:r>
    </w:p>
    <w:p>
      <w:pPr>
        <w:pStyle w:val="ListBullet"/>
      </w:pPr>
      <w:r>
        <w:t>Are the nodes roughly similar in size, or are one or two rounds dramatically larger? Outliers reveal the moments of highest financial risk-taking.</w:t>
      </w:r>
    </w:p>
    <w:p>
      <w:pPr>
        <w:pStyle w:val="ListBullet"/>
      </w:pPr>
      <w:r>
        <w:t>Are the sequential links thick or thin? Volatile reputation arcs (thick lines) suggest reactive rather than strategic decision-making.</w:t>
      </w:r>
    </w:p>
    <w:p>
      <w:pPr>
        <w:pStyle w:val="ListBullet"/>
      </w:pPr>
      <w:r>
        <w:t>Do the amber cross-causal links connect to your largest nodes? If your R5 (Climate Risk) node is large and a dashed line runs from your R3, your supply chain choices directly amplified that financial exposure.</w:t>
      </w:r>
    </w:p>
    <w:p>
      <w:pPr>
        <w:pStyle w:val="ListBullet"/>
      </w:pPr>
      <w:r>
        <w:t>What colour is the nebula? If it shifted from green to amber to red across the timeline, your reputation was eroding — even if your financials looked healthy.</w:t>
      </w:r>
    </w:p>
    <w:p>
      <w:r>
        <w:br w:type="page"/>
      </w:r>
    </w:p>
    <w:p>
      <w:pPr>
        <w:pStyle w:val="Heading1"/>
      </w:pPr>
      <w:r>
        <w:t>Appendix: Double Materiality Matrix Calculations</w:t>
      </w:r>
    </w:p>
    <w:p>
      <w:r>
        <w:t>This appendix details the calculations behind the Double Materiality Matrix in Round 2, explaining how the unlocked budget, stakeholder panel fees, and mitigation costs are derived.</w:t>
      </w:r>
    </w:p>
    <w:p>
      <w:pPr>
        <w:pStyle w:val="Heading2"/>
      </w:pPr>
      <w:r>
        <w:t>1. Unlocked Budget</w:t>
      </w:r>
    </w:p>
    <w:p>
      <w:r>
        <w:t>When submitting the materiality matrix, the system calculates the capital unlocked based on accuracy in Quadrant 1 (High Financial &amp; High Societal Impact).</w:t>
      </w:r>
    </w:p>
    <w:p>
      <w:pPr>
        <w:pStyle w:val="ListBullet"/>
      </w:pPr>
      <w:r>
        <w:t>Total Available Budget: The base materiality budget defaults to $15,000,000.</w:t>
      </w:r>
    </w:p>
    <w:p>
      <w:pPr>
        <w:pStyle w:val="ListBullet"/>
      </w:pPr>
      <w:r>
        <w:t>Accuracy Calculation (m_acc): The system evaluates the number of true Q1 issues correctly placed in Q1, divided by the total number of true Q1 issues.</w:t>
      </w:r>
    </w:p>
    <w:p>
      <w:pPr>
        <w:pStyle w:val="ListBullet"/>
      </w:pPr>
      <w:r>
        <w:t>Formula: Allocated Budget = Total Available Budget × Accuracy</w:t>
      </w:r>
    </w:p>
    <w:p>
      <w:pPr>
        <w:pStyle w:val="ListBullet"/>
      </w:pPr>
      <w:r>
        <w:t>Clawback Penalty: If Option C (Ignore Framework) was selected in the governance decision, the backend applies a 40% budget clawback to the unlocked amount to reflect the misalignment between the governance posture and the materiality exercise.</w:t>
      </w:r>
    </w:p>
    <w:p>
      <w:pPr>
        <w:pStyle w:val="Heading2"/>
      </w:pPr>
      <w:r>
        <w:t>2. Stakeholder Panel / Consultant Fee</w:t>
      </w:r>
    </w:p>
    <w:p>
      <w:r>
        <w:t>The cost to 'Commission Stakeholder Panel Survey' scales dynamically based on how many issues are pre-rated.</w:t>
      </w:r>
    </w:p>
    <w:p>
      <w:pPr>
        <w:pStyle w:val="ListBullet"/>
      </w:pPr>
      <w:r>
        <w:t>Issues 1-4: Base fee of $250,000 per issue.</w:t>
      </w:r>
    </w:p>
    <w:p>
      <w:pPr>
        <w:pStyle w:val="ListBullet"/>
      </w:pPr>
      <w:r>
        <w:t>Issues 5-8: Extended fee of $500,000 per issue (the cost doubles beyond 4 issues to reflect the complexity of wider engagement).</w:t>
      </w:r>
    </w:p>
    <w:p>
      <w:r>
        <w:t>Examples:</w:t>
      </w:r>
    </w:p>
    <w:p>
      <w:pPr>
        <w:pStyle w:val="ListBullet"/>
      </w:pPr>
      <w:r>
        <w:t>1 Issue = $250,000</w:t>
      </w:r>
    </w:p>
    <w:p>
      <w:pPr>
        <w:pStyle w:val="ListBullet"/>
      </w:pPr>
      <w:r>
        <w:t>4 Issues = $1,000,000 ($250K × 4)</w:t>
      </w:r>
    </w:p>
    <w:p>
      <w:pPr>
        <w:pStyle w:val="ListBullet"/>
      </w:pPr>
      <w:r>
        <w:t>8 Issues = $3,000,000 ($1M for first four + $2M for the next four)</w:t>
      </w:r>
    </w:p>
    <w:p>
      <w:pPr>
        <w:pStyle w:val="Heading2"/>
      </w:pPr>
      <w:r>
        <w:t>3. Mitigation Costs (Issue Chips)</w:t>
      </w:r>
    </w:p>
    <w:p>
      <w:r>
        <w:t>When an issue chip is dragged on the matrix, it displays a specific cost (e.g., '$1.2M').</w:t>
      </w:r>
    </w:p>
    <w:p>
      <w:pPr>
        <w:pStyle w:val="ListBullet"/>
      </w:pPr>
      <w:r>
        <w:t>Source: This number is stored as 'mitigation_cost_usd' within each issue's configuration in the backend.</w:t>
      </w:r>
    </w:p>
    <w:p>
      <w:pPr>
        <w:pStyle w:val="ListBullet"/>
      </w:pPr>
      <w:r>
        <w:t>Prioritise Budget: The sum of these costs for all issues placed in the Q1 container forms the 'Prioritise Budget' shown dynamically at the top of the matrix. The numbers are formatted using division by 1,000,000 to display them with the 'M' suffix.</w:t>
      </w:r>
    </w:p>
    <w:p>
      <w:pPr>
        <w:pStyle w:val="Heading2"/>
      </w:pPr>
      <w:r>
        <w:t xml:space="preserve">4. How the CSRD Screen Is Organised</w:t>
      </w:r>
    </w:p>
    <w:p>
      <w:pPr>
        <w:pStyle w:val="Normal"/>
      </w:pPr>
      <w:r>
        <w:t xml:space="preserve">When the CSRD Double Materiality screen opens (Round 2), it replaces the standard cockpit with a full-screen assessment workspace. Understanding its three zones will help you work efficiently.</w:t>
      </w:r>
    </w:p>
    <w:p>
      <w:pPr>
        <w:pStyle w:val="ListBullet"/>
      </w:pPr>
      <w:r>
        <w:t xml:space="preserve">Zone 1 — Header Bar (top strip): Shows the session title, a live 'Placed X / Y issues' counter with a progress bar, the 'Q1 Budget' meter (running total of mitigation costs for issues you have placed in Quadrant 1 vs. the total CSF pool), and action buttons (Undo, Reset, Commission Stakeholder Panel Survey, Submit).</w:t>
      </w:r>
    </w:p>
    <w:p>
      <w:pPr>
        <w:pStyle w:val="ListBullet"/>
      </w:pPr>
      <w:r>
        <w:t xml:space="preserve">Zone 2 — Left Pane (Issue Bank): Contains all ESG issue chips waiting to be classified. Each chip shows the issue title, a category badge (E = Ecological, S = Social, G = Governance), an ESRS topic tag (e.g., E1, S2), a severity badge (H / M / L), a time-horizon badge (ST / MT / LT), an IRO badge (IMP = Impact, RSK = Risk, OPP = Opportunity), and a cost badge (e.g., $1.2M) showing the mitigation cost that will be charged if the issue is placed in Q1. Hover over any chip to read the full issue description. A Horizon filter (All / ST / MT / LT) lets you focus on issues by time horizon without removing placed issues from the matrix.</w:t>
      </w:r>
    </w:p>
    <w:p>
      <w:pPr>
        <w:pStyle w:val="ListBullet"/>
      </w:pPr>
      <w:r>
        <w:t xml:space="preserve">Zone 3 — Right Pane (2x2 Matrix): The matrix is divided into four quadrants based on two axes: Financial Materiality (x-axis, left = Low, right = High) and Impact Materiality / People &amp; Planet (y-axis, bottom = Low, top = High). Drag chips from the Issue Bank into the quadrant where you judge they belong:
  • Q1 (Top Right) — 'CFO Approved — Prioritise &amp; Allocate CapEx': doubly material issues. Placing an issue here commits its mitigation cost.
  • Q2 (Top Left) — 'Monitor &amp; Engage': high impact, low financial risk. Requires disclosure investment, not capex.
  • Q3 (Bottom Right) — 'Watch &amp; Manage': high financial risk, low impact. Financially material but not ESRS impact-material.
  • Q4 (Bottom Left) — 'Low Priority': immaterial on both axes. Placing 'greenwashing distractor' issues here is good governance.</w:t>
      </w:r>
    </w:p>
    <w:p>
      <w:pPr>
        <w:pStyle w:val="ListBullet"/>
      </w:pPr>
      <w:r>
        <w:t xml:space="preserve">Submit Button behaviour: The 'Submit Matrix to CFO' button is disabled until at least 6 issues have been placed into any quadrant (the minimum for a valid materiality assessment). It is also disabled if the total Q1 mitigation cost exceeds your current CSF pool balance. Once enabled, clicking it sends the assessment to the backend for CFO scoring.</w:t>
      </w:r>
    </w:p>
    <w:p>
      <w:pPr>
        <w:pStyle w:val="Heading2"/>
      </w:pPr>
      <w:r>
        <w:t xml:space="preserve">5. How Funds Are Calculated — Step by Step</w:t>
      </w:r>
    </w:p>
    <w:p>
      <w:pPr>
        <w:pStyle w:val="Normal"/>
      </w:pPr>
      <w:r>
        <w:t xml:space="preserve">The CSRD submission triggers a four-step financial calculation in the backend. Understanding this helps you make deliberate trade-off decisions.</w:t>
      </w:r>
    </w:p>
    <w:p>
      <w:pPr>
        <w:pStyle w:val="ListBullet"/>
      </w:pPr>
      <w:r>
        <w:t xml:space="preserve">Step 1 — Stakeholder Panel Fee (if commissioned): If you clicked 'Commission Stakeholder Panel Survey' and chose to pre-rate N issues, the fee is deducted from corporate treasury immediately and is non-refundable regardless of matrix accuracy. Fee schedule: Issues 1–4 cost $250,000 each; Issues 5–8 cost $500,000 each (the cost doubles above 4 to reflect wider engagement). Maximum fee (8 issues): $3,000,000. Example: rating 6 issues = (4 × $250K) + (2 × $500K) = $2,000,000.</w:t>
      </w:r>
    </w:p>
    <w:p>
      <w:pPr>
        <w:pStyle w:val="ListBullet"/>
      </w:pPr>
      <w:r>
        <w:t xml:space="preserve">Step 2 — CFO Validation Gate: The backend checks whether every issue you placed in Q1 (Top Right) is genuinely doubly material. An issue is doubly material if its severity_score × likelihood_score is ≥ 12 out of 25 on both the financial and societal axes (ESRS 1 §1.51 threshold). If any Q1 issue fails this test and you have not chosen the CFO Override, the submission is rejected with an error message — review your Q1 placements and resubmit. If you choose the CFO Override, the submission proceeds but Group Reputation is reduced by −10 points.</w:t>
      </w:r>
    </w:p>
    <w:p>
      <w:pPr>
        <w:pStyle w:val="ListBullet"/>
      </w:pPr>
      <w:r>
        <w:t xml:space="preserve">Step 3 — Accuracy Scoring &amp; Capital Release (M_acc): The backend counts how many of the true Q1 issues (those that genuinely meet the ≥ 12/25 threshold on both axes) you correctly placed in Q1, then divides by the total number of true Q1 issues:
  M_acc = Correct Q1 placements ÷ Total true Q1 issues
The CFO then releases:
  Allocated Budget = $15,000,000 × M_acc
Example: if 5 of 6 true Q1 issues were correctly placed, M_acc = 83.3%, and the CFO releases $12,500,000. Partial credit is awarded for 'ambiguous' issues placed in adjacent quadrants (e.g., a borderline Q1/Q2 issue placed in Q2 earns 0.5 credit). Note: the allocated budget is a capital commitment — it is deducted from your corporate treasury, not added to it.</w:t>
      </w:r>
    </w:p>
    <w:p>
      <w:pPr>
        <w:pStyle w:val="ListBullet"/>
      </w:pPr>
      <w:r>
        <w:t xml:space="preserve">Step 4 — Option C Clawback (if applicable): If you chose Option C (Ignore the Materiality Framework) in the Round 2 governance decision, the backend applies a 40% clawback to the allocated budget before deducting it. This models the governance principle that capital cannot be released for ESG programmes if the board has simultaneously decided to ignore the ESG framework. Example: $12,500,000 × 40% clawback = $5,000,000 forfeited, leaving a net commitment of $7,500,000.</w:t>
      </w:r>
    </w:p>
    <w:p>
      <w:pPr>
        <w:pStyle w:val="ListBullet"/>
      </w:pPr>
      <w:r>
        <w:t xml:space="preserve">Bonus — Q2 Disclosure Budget: For every Q2 issue (High Impact / Low Financial) you correctly place in Q2 that carries a 'disclosure_required' flag, the system pro-rates a share of the $1,000,000 Disclosure Investment Budget. This is a separate allocation for data collection, assurance, and stakeholder engagement costs (not capex). It is not deducted from the $15M pool.</w:t>
      </w:r>
    </w:p>
    <w:p>
      <w:pPr>
        <w:pStyle w:val="ListBullet"/>
      </w:pPr>
      <w:r>
        <w:t xml:space="preserve">Accuracy Bonus: If your overall placement accuracy across all four quadrants reaches ≥ 80%, you receive a 1,000-point bonus to your simulation score (this is a learning bonus, not a financial figure).</w:t>
      </w:r>
    </w:p>
    <w:p>
      <w:pPr>
        <w:pStyle w:val="Heading3"/>
      </w:pPr>
      <w:r>
        <w:t xml:space="preserve">Summary: The Q1 Budget Counter vs. the CFO Allocation</w:t>
      </w:r>
    </w:p>
    <w:p>
      <w:pPr>
        <w:pStyle w:val="Normal"/>
      </w:pPr>
      <w:r>
        <w:t xml:space="preserve">The 'Q1 Budget' counter you see in the header bar while building your matrix is NOT the amount the CFO will release. It is the sum of the mitigation costs of issues you have placed in Q1 — a running cost estimate that tells you whether your selections are affordable within your CSF pool. The actual capital committed at submission is calculated by the backend based on accuracy (M_acc × $15M), independent of the individual chip costs. The chip costs are the 'price tags' on mitigation programmes; the $15M × M_acc is the CFO's governance-based budget release.</w:t>
      </w:r>
    </w:p>
    <w:p>
      <w:r>
        <w:br w:type="page"/>
      </w:r>
    </w:p>
    <w:p>
      <w:pPr>
        <w:pStyle w:val="Heading1"/>
      </w:pPr>
      <w:r>
        <w:t>Section: Single Business Mode &amp; Regional Localisation</w:t>
      </w:r>
    </w:p>
    <w:p>
      <w:r>
        <w:t>Muressons now supports a Single Business Mode — a focused experience where your executive team manages one company operating in a specific geographic region, rather than a four-division conglomerate. In this mode, every strategic decision, stakeholder interaction, and sustainability challenge is shaped by both the industry vertical your facilitator has selected and the real-world regulatory and risk context of your region.</w:t>
      </w:r>
    </w:p>
    <w:p>
      <w:r>
        <w:t>Whether you are managing an Agriculture company in South Asia, an Oil &amp; Gas operation in Africa, a Retail FMCG brand across Europe, or a Technology firm in ASEAN, the simulation dynamically adjusts its pillar decisions, stakeholder profiles, black swan risks, and ESG reporting requirements to match your industry and region.</w:t>
      </w:r>
    </w:p>
    <w:p/>
    <w:p>
      <w:pPr>
        <w:pStyle w:val="Heading2"/>
      </w:pPr>
      <w:r>
        <w:t>What Is Single Business Mode?</w:t>
      </w:r>
    </w:p>
    <w:p>
      <w:r>
        <w:t>In the standard simulation, you manage four business units simultaneously — Pharma, Electronics, Consumer Goods, and Software. In Single Business Mode, your cohort is assigned a single industry vertical and a geographic region. Your treasury, reputation, carbon position, and all five strategic pillars belong to that one business.</w:t>
      </w:r>
    </w:p>
    <w:tbl>
      <w:tblPr>
        <w:tblStyle w:val="TableGrid"/>
        <w:tblW w:type="auto" w:w="0"/>
        <w:tblLook w:firstColumn="1" w:firstRow="1" w:lastColumn="0" w:lastRow="0" w:noHBand="0" w:noVBand="1" w:val="04A0"/>
      </w:tblPr>
      <w:tblGrid>
        <w:gridCol w:w="3024"/>
        <w:gridCol w:w="3024"/>
        <w:gridCol w:w="3024"/>
      </w:tblGrid>
      <w:tr>
        <w:tc>
          <w:tcPr>
            <w:tcW w:type="dxa" w:w="3024"/>
          </w:tcPr>
          <w:p>
            <w:r>
              <w:t>Feature</w:t>
            </w:r>
          </w:p>
        </w:tc>
        <w:tc>
          <w:tcPr>
            <w:tcW w:type="dxa" w:w="3024"/>
          </w:tcPr>
          <w:p>
            <w:r>
              <w:t>Standard Mode (4-BU)</w:t>
            </w:r>
          </w:p>
        </w:tc>
        <w:tc>
          <w:tcPr>
            <w:tcW w:type="dxa" w:w="3024"/>
          </w:tcPr>
          <w:p>
            <w:r>
              <w:t>Single Business Mode</w:t>
            </w:r>
          </w:p>
        </w:tc>
      </w:tr>
      <w:tr>
        <w:tc>
          <w:tcPr>
            <w:tcW w:type="dxa" w:w="3024"/>
          </w:tcPr>
          <w:p>
            <w:r>
              <w:t>Companies managed</w:t>
            </w:r>
          </w:p>
        </w:tc>
        <w:tc>
          <w:tcPr>
            <w:tcW w:type="dxa" w:w="3024"/>
          </w:tcPr>
          <w:p>
            <w:r>
              <w:t>4 Business Units</w:t>
            </w:r>
          </w:p>
        </w:tc>
        <w:tc>
          <w:tcPr>
            <w:tcW w:type="dxa" w:w="3024"/>
          </w:tcPr>
          <w:p>
            <w:r>
              <w:t>1 Company</w:t>
            </w:r>
          </w:p>
        </w:tc>
      </w:tr>
      <w:tr>
        <w:tc>
          <w:tcPr>
            <w:tcW w:type="dxa" w:w="3024"/>
          </w:tcPr>
          <w:p>
            <w:r>
              <w:t>Industry focus</w:t>
            </w:r>
          </w:p>
        </w:tc>
        <w:tc>
          <w:tcPr>
            <w:tcW w:type="dxa" w:w="3024"/>
          </w:tcPr>
          <w:p>
            <w:r>
              <w:t>Generic conglomerate</w:t>
            </w:r>
          </w:p>
        </w:tc>
        <w:tc>
          <w:tcPr>
            <w:tcW w:type="dxa" w:w="3024"/>
          </w:tcPr>
          <w:p>
            <w:r>
              <w:t>Specific vertical (e.g. Agriculture)</w:t>
            </w:r>
          </w:p>
        </w:tc>
      </w:tr>
      <w:tr>
        <w:tc>
          <w:tcPr>
            <w:tcW w:type="dxa" w:w="3024"/>
          </w:tcPr>
          <w:p>
            <w:r>
              <w:t>Geographic context</w:t>
            </w:r>
          </w:p>
        </w:tc>
        <w:tc>
          <w:tcPr>
            <w:tcW w:type="dxa" w:w="3024"/>
          </w:tcPr>
          <w:p>
            <w:r>
              <w:t>Global / generic</w:t>
            </w:r>
          </w:p>
        </w:tc>
        <w:tc>
          <w:tcPr>
            <w:tcW w:type="dxa" w:w="3024"/>
          </w:tcPr>
          <w:p>
            <w:r>
              <w:t>Specific region (ASEAN, South Asia, Europe, North America, Africa)</w:t>
            </w:r>
          </w:p>
        </w:tc>
      </w:tr>
      <w:tr>
        <w:tc>
          <w:tcPr>
            <w:tcW w:type="dxa" w:w="3024"/>
          </w:tcPr>
          <w:p>
            <w:r>
              <w:t>Stakeholder profiles</w:t>
            </w:r>
          </w:p>
        </w:tc>
        <w:tc>
          <w:tcPr>
            <w:tcW w:type="dxa" w:w="3024"/>
          </w:tcPr>
          <w:p>
            <w:r>
              <w:t>Universal set</w:t>
            </w:r>
          </w:p>
        </w:tc>
        <w:tc>
          <w:tcPr>
            <w:tcW w:type="dxa" w:w="3024"/>
          </w:tcPr>
          <w:p>
            <w:r>
              <w:t>Region &amp; industry specific</w:t>
            </w:r>
          </w:p>
        </w:tc>
      </w:tr>
      <w:tr>
        <w:tc>
          <w:tcPr>
            <w:tcW w:type="dxa" w:w="3024"/>
          </w:tcPr>
          <w:p>
            <w:r>
              <w:t>Strategic pillars</w:t>
            </w:r>
          </w:p>
        </w:tc>
        <w:tc>
          <w:tcPr>
            <w:tcW w:type="dxa" w:w="3024"/>
          </w:tcPr>
          <w:p>
            <w:r>
              <w:t>5 standard areas</w:t>
            </w:r>
          </w:p>
        </w:tc>
        <w:tc>
          <w:tcPr>
            <w:tcW w:type="dxa" w:w="3024"/>
          </w:tcPr>
          <w:p>
            <w:r>
              <w:t>5 areas — some replaced by industry-specific ones</w:t>
            </w:r>
          </w:p>
        </w:tc>
      </w:tr>
      <w:tr>
        <w:tc>
          <w:tcPr>
            <w:tcW w:type="dxa" w:w="3024"/>
          </w:tcPr>
          <w:p>
            <w:r>
              <w:t>Black Swan events</w:t>
            </w:r>
          </w:p>
        </w:tc>
        <w:tc>
          <w:tcPr>
            <w:tcW w:type="dxa" w:w="3024"/>
          </w:tcPr>
          <w:p>
            <w:r>
              <w:t>Global events only</w:t>
            </w:r>
          </w:p>
        </w:tc>
        <w:tc>
          <w:tcPr>
            <w:tcW w:type="dxa" w:w="3024"/>
          </w:tcPr>
          <w:p>
            <w:r>
              <w:t>Region-filtered + new region-specific events</w:t>
            </w:r>
          </w:p>
        </w:tc>
      </w:tr>
      <w:tr>
        <w:tc>
          <w:tcPr>
            <w:tcW w:type="dxa" w:w="3024"/>
          </w:tcPr>
          <w:p>
            <w:r>
              <w:t>ESG reporting</w:t>
            </w:r>
          </w:p>
        </w:tc>
        <w:tc>
          <w:tcPr>
            <w:tcW w:type="dxa" w:w="3024"/>
          </w:tcPr>
          <w:p>
            <w:r>
              <w:t>Generic framework</w:t>
            </w:r>
          </w:p>
        </w:tc>
        <w:tc>
          <w:tcPr>
            <w:tcW w:type="dxa" w:w="3024"/>
          </w:tcPr>
          <w:p>
            <w:r>
              <w:t>Region-aligned (BRSR, CSRD, SEC, ASEAN Taxonomy, King IV)</w:t>
            </w:r>
          </w:p>
        </w:tc>
      </w:tr>
    </w:tbl>
    <w:p/>
    <w:p>
      <w:pPr>
        <w:pStyle w:val="Heading2"/>
      </w:pPr>
      <w:r>
        <w:t>The Five Geographic Regions</w:t>
      </w:r>
    </w:p>
    <w:p>
      <w:r>
        <w:t>Your facilitator selects the region when setting up your cohort. The region determines which stakeholders you must manage, which regulatory frameworks apply, and which black swan events you might face.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t>Region</w:t>
            </w:r>
          </w:p>
        </w:tc>
        <w:tc>
          <w:tcPr>
            <w:tcW w:type="dxa" w:w="2268"/>
          </w:tcPr>
          <w:p>
            <w:r>
              <w:t>Key Regulatory Framework</w:t>
            </w:r>
          </w:p>
        </w:tc>
        <w:tc>
          <w:tcPr>
            <w:tcW w:type="dxa" w:w="2268"/>
          </w:tcPr>
          <w:p>
            <w:r>
              <w:t>Sample Stakeholders</w:t>
            </w:r>
          </w:p>
        </w:tc>
        <w:tc>
          <w:tcPr>
            <w:tcW w:type="dxa" w:w="2268"/>
          </w:tcPr>
          <w:p>
            <w:r>
              <w:t>Region-Specific Risk</w:t>
            </w:r>
          </w:p>
        </w:tc>
      </w:tr>
      <w:tr>
        <w:tc>
          <w:tcPr>
            <w:tcW w:type="dxa" w:w="2268"/>
          </w:tcPr>
          <w:p>
            <w:r>
              <w:t>🌏 ASEAN</w:t>
            </w:r>
          </w:p>
        </w:tc>
        <w:tc>
          <w:tcPr>
            <w:tcW w:type="dxa" w:w="2268"/>
          </w:tcPr>
          <w:p>
            <w:r>
              <w:t>ASEAN Taxonomy for Sustainable Finance</w:t>
            </w:r>
          </w:p>
        </w:tc>
        <w:tc>
          <w:tcPr>
            <w:tcW w:type="dxa" w:w="2268"/>
          </w:tcPr>
          <w:p>
            <w:r>
              <w:t>MAS Regulator, FDI Investors, Supply Chain NGO</w:t>
            </w:r>
          </w:p>
        </w:tc>
        <w:tc>
          <w:tcPr>
            <w:tcW w:type="dxa" w:w="2268"/>
          </w:tcPr>
          <w:p>
            <w:r>
              <w:t>🌀 Typhoon Supply Disruption</w:t>
            </w:r>
          </w:p>
        </w:tc>
      </w:tr>
      <w:tr>
        <w:tc>
          <w:tcPr>
            <w:tcW w:type="dxa" w:w="2268"/>
          </w:tcPr>
          <w:p>
            <w:r>
              <w:t>🇮🇳 South Asia</w:t>
            </w:r>
          </w:p>
        </w:tc>
        <w:tc>
          <w:tcPr>
            <w:tcW w:type="dxa" w:w="2268"/>
          </w:tcPr>
          <w:p>
            <w:r>
              <w:t>SEBI BRSR / NGRBC Principles</w:t>
            </w:r>
          </w:p>
        </w:tc>
        <w:tc>
          <w:tcPr>
            <w:tcW w:type="dxa" w:w="2268"/>
          </w:tcPr>
          <w:p>
            <w:r>
              <w:t>SEBI, Smallholder Farmers, AgriNGO, State Gov.</w:t>
            </w:r>
          </w:p>
        </w:tc>
        <w:tc>
          <w:tcPr>
            <w:tcW w:type="dxa" w:w="2268"/>
          </w:tcPr>
          <w:p>
            <w:r>
              <w:t>🌡️ Monsoon Crisis / Heat Stress</w:t>
            </w:r>
          </w:p>
        </w:tc>
      </w:tr>
      <w:tr>
        <w:tc>
          <w:tcPr>
            <w:tcW w:type="dxa" w:w="2268"/>
          </w:tcPr>
          <w:p>
            <w:r>
              <w:t>🇪🇺 Europe</w:t>
            </w:r>
          </w:p>
        </w:tc>
        <w:tc>
          <w:tcPr>
            <w:tcW w:type="dxa" w:w="2268"/>
          </w:tcPr>
          <w:p>
            <w:r>
              <w:t>CSRD / ESRS Directives</w:t>
            </w:r>
          </w:p>
        </w:tc>
        <w:tc>
          <w:tcPr>
            <w:tcW w:type="dxa" w:w="2268"/>
          </w:tcPr>
          <w:p>
            <w:r>
              <w:t>EU Regulator, Consumer NGOs, ESG Bond Investors</w:t>
            </w:r>
          </w:p>
        </w:tc>
        <w:tc>
          <w:tcPr>
            <w:tcW w:type="dxa" w:w="2268"/>
          </w:tcPr>
          <w:p>
            <w:r>
              <w:t>🌿 Carbon Border Adjustment Mechanism (CBAM)</w:t>
            </w:r>
          </w:p>
        </w:tc>
      </w:tr>
      <w:tr>
        <w:tc>
          <w:tcPr>
            <w:tcW w:type="dxa" w:w="2268"/>
          </w:tcPr>
          <w:p>
            <w:r>
              <w:t>🇺🇸 North America</w:t>
            </w:r>
          </w:p>
        </w:tc>
        <w:tc>
          <w:tcPr>
            <w:tcW w:type="dxa" w:w="2268"/>
          </w:tcPr>
          <w:p>
            <w:r>
              <w:t>SEC Climate Disclosure Rules / TCFD</w:t>
            </w:r>
          </w:p>
        </w:tc>
        <w:tc>
          <w:tcPr>
            <w:tcW w:type="dxa" w:w="2268"/>
          </w:tcPr>
          <w:p>
            <w:r>
              <w:t>SEC, Institutional Investors, Activist Shareholders</w:t>
            </w:r>
          </w:p>
        </w:tc>
        <w:tc>
          <w:tcPr>
            <w:tcW w:type="dxa" w:w="2268"/>
          </w:tcPr>
          <w:p>
            <w:r>
              <w:t>📋 SEC Mandatory Climate Disclosure</w:t>
            </w:r>
          </w:p>
        </w:tc>
      </w:tr>
      <w:tr>
        <w:tc>
          <w:tcPr>
            <w:tcW w:type="dxa" w:w="2268"/>
          </w:tcPr>
          <w:p>
            <w:r>
              <w:t>🌍 Africa</w:t>
            </w:r>
          </w:p>
        </w:tc>
        <w:tc>
          <w:tcPr>
            <w:tcW w:type="dxa" w:w="2268"/>
          </w:tcPr>
          <w:p>
            <w:r>
              <w:t>GRI Standards + King IV</w:t>
            </w:r>
          </w:p>
        </w:tc>
        <w:tc>
          <w:tcPr>
            <w:tcW w:type="dxa" w:w="2268"/>
          </w:tcPr>
          <w:p>
            <w:r>
              <w:t>Host Government, Community Leaders, Resource Unions</w:t>
            </w:r>
          </w:p>
        </w:tc>
        <w:tc>
          <w:tcPr>
            <w:tcW w:type="dxa" w:w="2268"/>
          </w:tcPr>
          <w:p>
            <w:r>
              <w:t>⛏️ Resource Nationalisation Risk</w:t>
            </w:r>
          </w:p>
        </w:tc>
      </w:tr>
    </w:tbl>
    <w:p/>
    <w:p>
      <w:pPr>
        <w:pStyle w:val="Heading2"/>
      </w:pPr>
      <w:r>
        <w:t>Your Executive Cockpit in Single Business Mode</w:t>
      </w:r>
    </w:p>
    <w:p>
      <w:r>
        <w:t>Your dashboard looks and works the same as the standard mode, but with two key differences: you see one company's financials (not four), and one or more of the five strategic pillar areas may be replaced by an industry-specific decision unique to your vertical.</w:t>
      </w:r>
    </w:p>
    <w:p>
      <w:pPr>
        <w:jc w:val="center"/>
      </w:pPr>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single_bu_cockpit.png"/>
                    <pic:cNvPicPr/>
                  </pic:nvPicPr>
                  <pic:blipFill>
                    <a:blip r:embed="rId18"/>
                    <a:stretch>
                      <a:fillRect/>
                    </a:stretch>
                  </pic:blipFill>
                  <pic:spPr>
                    <a:xfrm>
                      <a:off x="0" y="0"/>
                      <a:ext cx="5486400" cy="5486400"/>
                    </a:xfrm>
                    <a:prstGeom prst="rect"/>
                  </pic:spPr>
                </pic:pic>
              </a:graphicData>
            </a:graphic>
          </wp:inline>
        </w:drawing>
      </w:r>
    </w:p>
    <w:p>
      <w:pPr>
        <w:jc w:val="center"/>
      </w:pPr>
      <w:r>
        <w:t>Figure: Executive Cockpit in Single Business Mode (Agriculture, South Asia). Note the 💧 Water Stewardship pillar replacing the standard Offsetting area.</w:t>
      </w:r>
    </w:p>
    <w:p>
      <w:pPr>
        <w:shd w:val="clear" w:color="auto" w:fill="EEF2FF"/>
      </w:pPr>
      <w:r>
        <w:rPr>
          <w:color w:val="374151"/>
          <w:sz w:val="20"/>
        </w:rPr>
        <w:t>ℹ️  The amber-highlighted pillar tile (💧 Water Stewardship in the example above) is your industry-specific pillar. It has been customised for your vertical by your institution and represents a material ESG issue specific to your industry.</w:t>
      </w:r>
    </w:p>
    <w:p/>
    <w:p>
      <w:pPr>
        <w:pStyle w:val="Heading2"/>
      </w:pPr>
      <w:r>
        <w:t>Industry-Specific Strategic Pillars</w:t>
      </w:r>
    </w:p>
    <w:p>
      <w:r>
        <w:t>Depending on your assigned industry vertical, one or more of the five standard pillar areas may be replaced or extended with an industry-specific decision. These replacements reflect the material ESG issues that are most consequential for that sector.</w:t>
      </w:r>
    </w:p>
    <w:tbl>
      <w:tblPr>
        <w:tblStyle w:val="TableGrid"/>
        <w:tblW w:type="auto" w:w="0"/>
        <w:tblLook w:firstColumn="1" w:firstRow="1" w:lastColumn="0" w:lastRow="0" w:noHBand="0" w:noVBand="1" w:val="04A0"/>
      </w:tblPr>
      <w:tblGrid>
        <w:gridCol w:w="3024"/>
        <w:gridCol w:w="3024"/>
        <w:gridCol w:w="3024"/>
      </w:tblGrid>
      <w:tr>
        <w:tc>
          <w:tcPr>
            <w:tcW w:type="dxa" w:w="3024"/>
          </w:tcPr>
          <w:p>
            <w:r>
              <w:t>Industry Vertical</w:t>
            </w:r>
          </w:p>
        </w:tc>
        <w:tc>
          <w:tcPr>
            <w:tcW w:type="dxa" w:w="3024"/>
          </w:tcPr>
          <w:p>
            <w:r>
              <w:t>Replaced Pillar</w:t>
            </w:r>
          </w:p>
        </w:tc>
        <w:tc>
          <w:tcPr>
            <w:tcW w:type="dxa" w:w="3024"/>
          </w:tcPr>
          <w:p>
            <w:r>
              <w:t>Industry-Specific Pillar</w:t>
            </w:r>
          </w:p>
        </w:tc>
      </w:tr>
      <w:tr>
        <w:tc>
          <w:tcPr>
            <w:tcW w:type="dxa" w:w="3024"/>
          </w:tcPr>
          <w:p>
            <w:r>
              <w:t>🌾 Agriculture</w:t>
            </w:r>
          </w:p>
        </w:tc>
        <w:tc>
          <w:tcPr>
            <w:tcW w:type="dxa" w:w="3024"/>
          </w:tcPr>
          <w:p>
            <w:r>
              <w:t>🌿 Offsetting</w:t>
            </w:r>
          </w:p>
        </w:tc>
        <w:tc>
          <w:tcPr>
            <w:tcW w:type="dxa" w:w="3024"/>
          </w:tcPr>
          <w:p>
            <w:r>
              <w:t>💧 Water Stewardship</w:t>
            </w:r>
          </w:p>
        </w:tc>
      </w:tr>
      <w:tr>
        <w:tc>
          <w:tcPr>
            <w:tcW w:type="dxa" w:w="3024"/>
          </w:tcPr>
          <w:p>
            <w:r>
              <w:t>🏦 Banking &amp; Finance</w:t>
            </w:r>
          </w:p>
        </w:tc>
        <w:tc>
          <w:tcPr>
            <w:tcW w:type="dxa" w:w="3024"/>
          </w:tcPr>
          <w:p>
            <w:r>
              <w:t>🔗 Supply Chain</w:t>
            </w:r>
          </w:p>
        </w:tc>
        <w:tc>
          <w:tcPr>
            <w:tcW w:type="dxa" w:w="3024"/>
          </w:tcPr>
          <w:p>
            <w:r>
              <w:t>🤝 Financial Inclusion</w:t>
            </w:r>
          </w:p>
        </w:tc>
      </w:tr>
      <w:tr>
        <w:tc>
          <w:tcPr>
            <w:tcW w:type="dxa" w:w="3024"/>
          </w:tcPr>
          <w:p>
            <w:r>
              <w:t>⛽ Oil &amp; Gas</w:t>
            </w:r>
          </w:p>
        </w:tc>
        <w:tc>
          <w:tcPr>
            <w:tcW w:type="dxa" w:w="3024"/>
          </w:tcPr>
          <w:p>
            <w:r>
              <w:t>🌿 Offsetting</w:t>
            </w:r>
          </w:p>
        </w:tc>
        <w:tc>
          <w:tcPr>
            <w:tcW w:type="dxa" w:w="3024"/>
          </w:tcPr>
          <w:p>
            <w:r>
              <w:t>🛢️ Well Decommissioning</w:t>
            </w:r>
          </w:p>
        </w:tc>
      </w:tr>
      <w:tr>
        <w:tc>
          <w:tcPr>
            <w:tcW w:type="dxa" w:w="3024"/>
          </w:tcPr>
          <w:p>
            <w:r>
              <w:t>💊 Pharma / Healthcare</w:t>
            </w:r>
          </w:p>
        </w:tc>
        <w:tc>
          <w:tcPr>
            <w:tcW w:type="dxa" w:w="3024"/>
          </w:tcPr>
          <w:p>
            <w:r>
              <w:t>👥 Human Resources</w:t>
            </w:r>
          </w:p>
        </w:tc>
        <w:tc>
          <w:tcPr>
            <w:tcW w:type="dxa" w:w="3024"/>
          </w:tcPr>
          <w:p>
            <w:r>
              <w:t>💊 Medicine Access</w:t>
            </w:r>
          </w:p>
        </w:tc>
      </w:tr>
      <w:tr>
        <w:tc>
          <w:tcPr>
            <w:tcW w:type="dxa" w:w="3024"/>
          </w:tcPr>
          <w:p>
            <w:r>
              <w:t>💻 Technology</w:t>
            </w:r>
          </w:p>
        </w:tc>
        <w:tc>
          <w:tcPr>
            <w:tcW w:type="dxa" w:w="3024"/>
          </w:tcPr>
          <w:p>
            <w:r>
              <w:t>🏭 Operations</w:t>
            </w:r>
          </w:p>
        </w:tc>
        <w:tc>
          <w:tcPr>
            <w:tcW w:type="dxa" w:w="3024"/>
          </w:tcPr>
          <w:p>
            <w:r>
              <w:t>🔒 Data Privacy &amp; Ethics</w:t>
            </w:r>
          </w:p>
        </w:tc>
      </w:tr>
    </w:tbl>
    <w:p/>
    <w:p>
      <w:r>
        <w:rPr>
          <w:b/>
          <w:sz w:val="22"/>
        </w:rPr>
        <w:t xml:space="preserve">Strategic Tip: </w:t>
      </w:r>
      <w:r>
        <w:rPr>
          <w:sz w:val="22"/>
        </w:rPr>
        <w:t>Your industry-specific pillar typically carries higher weight in your ESG score and is a key signal for regional regulators and stakeholders. Choosing the Status Quo option in your industry pillar carries a higher reputational risk than doing so in the standard pillar areas.</w:t>
      </w:r>
    </w:p>
    <w:p>
      <w:pPr>
        <w:pStyle w:val="Heading2"/>
      </w:pPr>
      <w:r>
        <w:t>Your Stakeholders — Industry &amp; Region Specific</w:t>
      </w:r>
    </w:p>
    <w:p>
      <w:r>
        <w:t>In Single Business Mode, your stakeholder landscape is drawn from a curated database specific to your industry and region combination. Each stakeholder has a power rating, interest level, and a Mendelow quadrant position reflecting real-world dynamics in your context.</w:t>
      </w:r>
    </w:p>
    <w:p>
      <w:pPr>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single_bu_sentiment_panel.png"/>
                    <pic:cNvPicPr/>
                  </pic:nvPicPr>
                  <pic:blipFill>
                    <a:blip r:embed="rId19"/>
                    <a:stretch>
                      <a:fillRect/>
                    </a:stretch>
                  </pic:blipFill>
                  <pic:spPr>
                    <a:xfrm>
                      <a:off x="0" y="0"/>
                      <a:ext cx="5029200" cy="5029200"/>
                    </a:xfrm>
                    <a:prstGeom prst="rect"/>
                  </pic:spPr>
                </pic:pic>
              </a:graphicData>
            </a:graphic>
          </wp:inline>
        </w:drawing>
      </w:r>
    </w:p>
    <w:p>
      <w:pPr>
        <w:jc w:val="center"/>
      </w:pPr>
      <w:r>
        <w:t>Figure: Stakeholder Sentiment Panel showing live attitude scores per stakeholder. Green ▲ = improving, Red ▼ = deteriorating. Salience badges indicate priority.</w:t>
      </w:r>
    </w:p>
    <w:p>
      <w:r>
        <w:t>Each round, the simulation tracks how your strategic decisions affect each stakeholder's attitude score (−100 Hostile → +100 Enthusiastic). The following factors drive sentiment changes:</w:t>
      </w:r>
    </w:p>
    <w:p>
      <w:pPr>
        <w:pStyle w:val="ListBullet"/>
      </w:pPr>
      <w:r>
        <w:t>Your pillar decisions: choosing leadership options improves scores for aligned stakeholders</w:t>
      </w:r>
    </w:p>
    <w:p>
      <w:pPr>
        <w:pStyle w:val="ListBullet"/>
      </w:pPr>
      <w:r>
        <w:t>Black swan events: regional crises can sharply reduce community or regulator sentiment</w:t>
      </w:r>
    </w:p>
    <w:p>
      <w:pPr>
        <w:pStyle w:val="ListBullet"/>
      </w:pPr>
      <w:r>
        <w:t>Neglect: consistently choosing Status Quo erodes trust over multiple rounds</w:t>
      </w:r>
    </w:p>
    <w:p>
      <w:pPr>
        <w:pStyle w:val="ListBullet"/>
      </w:pPr>
      <w:r>
        <w:t>Salience matters: high-power 'Definitive' stakeholders amplify both gains and losses</w:t>
      </w:r>
    </w:p>
    <w:p>
      <w:pPr>
        <w:shd w:val="clear" w:color="auto" w:fill="EEF2FF"/>
      </w:pPr>
      <w:r>
        <w:rPr>
          <w:color w:val="374151"/>
          <w:sz w:val="20"/>
        </w:rPr>
        <w:t>⚠️  Watch for the 🚨 Early Warning badge on the Stakeholder Sentiment panel. This appears when a high-power stakeholder drops below −50 (Hostile territory). Hostile high-power stakeholders trigger reputational crises and regulatory interventions in subsequent rounds.</w:t>
      </w:r>
    </w:p>
    <w:p/>
    <w:p>
      <w:pPr>
        <w:pStyle w:val="Heading2"/>
      </w:pPr>
      <w:r>
        <w:t>Region-Specific Black Swan Events</w:t>
      </w:r>
    </w:p>
    <w:p>
      <w:r>
        <w:t>In addition to the global black swan events that can affect any simulation, Single Business Mode activates a set of region-specific disruptions. These events are based on real-world risk patterns in each geography.</w:t>
      </w:r>
    </w:p>
    <w:tbl>
      <w:tblPr>
        <w:tblStyle w:val="TableGrid"/>
        <w:tblW w:type="auto" w:w="0"/>
        <w:tblLook w:firstColumn="1" w:firstRow="1" w:lastColumn="0" w:lastRow="0" w:noHBand="0" w:noVBand="1" w:val="04A0"/>
      </w:tblPr>
      <w:tblGrid>
        <w:gridCol w:w="3024"/>
        <w:gridCol w:w="3024"/>
        <w:gridCol w:w="3024"/>
      </w:tblGrid>
      <w:tr>
        <w:tc>
          <w:tcPr>
            <w:tcW w:type="dxa" w:w="3024"/>
          </w:tcPr>
          <w:p>
            <w:r>
              <w:t>Event</w:t>
            </w:r>
          </w:p>
        </w:tc>
        <w:tc>
          <w:tcPr>
            <w:tcW w:type="dxa" w:w="3024"/>
          </w:tcPr>
          <w:p>
            <w:r>
              <w:t>Region</w:t>
            </w:r>
          </w:p>
        </w:tc>
        <w:tc>
          <w:tcPr>
            <w:tcW w:type="dxa" w:w="3024"/>
          </w:tcPr>
          <w:p>
            <w:r>
              <w:t>Impact</w:t>
            </w:r>
          </w:p>
        </w:tc>
      </w:tr>
      <w:tr>
        <w:tc>
          <w:tcPr>
            <w:tcW w:type="dxa" w:w="3024"/>
          </w:tcPr>
          <w:p>
            <w:r>
              <w:t>🚢 ASEAN Trade Dispute</w:t>
            </w:r>
          </w:p>
        </w:tc>
        <w:tc>
          <w:tcPr>
            <w:tcW w:type="dxa" w:w="3024"/>
          </w:tcPr>
          <w:p>
            <w:r>
              <w:t>ASEAN</w:t>
            </w:r>
          </w:p>
        </w:tc>
        <w:tc>
          <w:tcPr>
            <w:tcW w:type="dxa" w:w="3024"/>
          </w:tcPr>
          <w:p>
            <w:r>
              <w:t>Revenue −12%, Treasury −8%, logistics freeze</w:t>
            </w:r>
          </w:p>
        </w:tc>
      </w:tr>
      <w:tr>
        <w:tc>
          <w:tcPr>
            <w:tcW w:type="dxa" w:w="3024"/>
          </w:tcPr>
          <w:p>
            <w:r>
              <w:t>🌧️ South Asia Monsoon Crisis</w:t>
            </w:r>
          </w:p>
        </w:tc>
        <w:tc>
          <w:tcPr>
            <w:tcW w:type="dxa" w:w="3024"/>
          </w:tcPr>
          <w:p>
            <w:r>
              <w:t>South Asia</w:t>
            </w:r>
          </w:p>
        </w:tc>
        <w:tc>
          <w:tcPr>
            <w:tcW w:type="dxa" w:w="3024"/>
          </w:tcPr>
          <w:p>
            <w:r>
              <w:t>Factory closures, OPEX +10%, social licence at risk</w:t>
            </w:r>
          </w:p>
        </w:tc>
      </w:tr>
      <w:tr>
        <w:tc>
          <w:tcPr>
            <w:tcW w:type="dxa" w:w="3024"/>
          </w:tcPr>
          <w:p>
            <w:r>
              <w:t>🌿 Carbon Border Adjustment (CBAM)</w:t>
            </w:r>
          </w:p>
        </w:tc>
        <w:tc>
          <w:tcPr>
            <w:tcW w:type="dxa" w:w="3024"/>
          </w:tcPr>
          <w:p>
            <w:r>
              <w:t>Europe</w:t>
            </w:r>
          </w:p>
        </w:tc>
        <w:tc>
          <w:tcPr>
            <w:tcW w:type="dxa" w:w="3024"/>
          </w:tcPr>
          <w:p>
            <w:r>
              <w:t>Export revenue −8%, compliance cost spike</w:t>
            </w:r>
          </w:p>
        </w:tc>
      </w:tr>
      <w:tr>
        <w:tc>
          <w:tcPr>
            <w:tcW w:type="dxa" w:w="3024"/>
          </w:tcPr>
          <w:p>
            <w:r>
              <w:t>📋 SEC Climate Disclosure</w:t>
            </w:r>
          </w:p>
        </w:tc>
        <w:tc>
          <w:tcPr>
            <w:tcW w:type="dxa" w:w="3024"/>
          </w:tcPr>
          <w:p>
            <w:r>
              <w:t>North America</w:t>
            </w:r>
          </w:p>
        </w:tc>
        <w:tc>
          <w:tcPr>
            <w:tcW w:type="dxa" w:w="3024"/>
          </w:tcPr>
          <w:p>
            <w:r>
              <w:t>Legal fees, Governance risk +12, investor pressure</w:t>
            </w:r>
          </w:p>
        </w:tc>
      </w:tr>
      <w:tr>
        <w:tc>
          <w:tcPr>
            <w:tcW w:type="dxa" w:w="3024"/>
          </w:tcPr>
          <w:p>
            <w:r>
              <w:t>⛏️ Resource Nationalisation</w:t>
            </w:r>
          </w:p>
        </w:tc>
        <w:tc>
          <w:tcPr>
            <w:tcW w:type="dxa" w:w="3024"/>
          </w:tcPr>
          <w:p>
            <w:r>
              <w:t>Africa</w:t>
            </w:r>
          </w:p>
        </w:tc>
        <w:tc>
          <w:tcPr>
            <w:tcW w:type="dxa" w:w="3024"/>
          </w:tcPr>
          <w:p>
            <w:r>
              <w:t>Treasury −15%, Revenue −18%, community crisis</w:t>
            </w:r>
          </w:p>
        </w:tc>
      </w:tr>
    </w:tbl>
    <w:p/>
    <w:p>
      <w:r>
        <w:rPr>
          <w:b/>
          <w:sz w:val="22"/>
        </w:rPr>
        <w:t xml:space="preserve">Resilience Tip: </w:t>
      </w:r>
      <w:r>
        <w:rPr>
          <w:sz w:val="22"/>
        </w:rPr>
        <w:t>Black swan events are probabilistic — they are more likely to fire in later rounds (Rounds 4–8) and become more severe if your governance risk score is high or your community trust is low. Strong early investment in governance and community stakeholder engagement reduces both the probability and the impact of these events.</w:t>
      </w:r>
    </w:p>
    <w:p>
      <w:pPr>
        <w:pStyle w:val="Heading2"/>
      </w:pPr>
      <w:r>
        <w:t>ESG Reporting — Region-Aligned Frameworks</w:t>
      </w:r>
    </w:p>
    <w:p>
      <w:r>
        <w:t>At the end of the simulation, your facilitator may generate a region-aligned ESG report summarising your performance across the frameworks most relevant to your geography. This is a teaching tool — it maps your decisions to the disclosure requirements you would face as a real company operating in your region.</w:t>
      </w:r>
    </w:p>
    <w:tbl>
      <w:tblPr>
        <w:tblStyle w:val="TableGrid"/>
        <w:tblW w:type="auto" w:w="0"/>
        <w:tblLook w:firstColumn="1" w:firstRow="1" w:lastColumn="0" w:lastRow="0" w:noHBand="0" w:noVBand="1" w:val="04A0"/>
      </w:tblPr>
      <w:tblGrid>
        <w:gridCol w:w="4536"/>
        <w:gridCol w:w="4536"/>
      </w:tblGrid>
      <w:tr>
        <w:tc>
          <w:tcPr>
            <w:tcW w:type="dxa" w:w="4536"/>
          </w:tcPr>
          <w:p>
            <w:r>
              <w:t>Region</w:t>
            </w:r>
          </w:p>
        </w:tc>
        <w:tc>
          <w:tcPr>
            <w:tcW w:type="dxa" w:w="4536"/>
          </w:tcPr>
          <w:p>
            <w:r>
              <w:t>Primary Reporting Framework</w:t>
            </w:r>
          </w:p>
        </w:tc>
      </w:tr>
      <w:tr>
        <w:tc>
          <w:tcPr>
            <w:tcW w:type="dxa" w:w="4536"/>
          </w:tcPr>
          <w:p>
            <w:r>
              <w:t>🇮🇳 South Asia</w:t>
            </w:r>
          </w:p>
        </w:tc>
        <w:tc>
          <w:tcPr>
            <w:tcW w:type="dxa" w:w="4536"/>
          </w:tcPr>
          <w:p>
            <w:r>
              <w:t>SEBI BRSR (Business Responsibility &amp; Sustainability Reporting)</w:t>
            </w:r>
          </w:p>
        </w:tc>
      </w:tr>
      <w:tr>
        <w:tc>
          <w:tcPr>
            <w:tcW w:type="dxa" w:w="4536"/>
          </w:tcPr>
          <w:p>
            <w:r>
              <w:t>🇪🇺 Europe</w:t>
            </w:r>
          </w:p>
        </w:tc>
        <w:tc>
          <w:tcPr>
            <w:tcW w:type="dxa" w:w="4536"/>
          </w:tcPr>
          <w:p>
            <w:r>
              <w:t>CSRD / European Sustainability Reporting Standards (ESRS)</w:t>
            </w:r>
          </w:p>
        </w:tc>
      </w:tr>
      <w:tr>
        <w:tc>
          <w:tcPr>
            <w:tcW w:type="dxa" w:w="4536"/>
          </w:tcPr>
          <w:p>
            <w:r>
              <w:t>🇺🇸 North America</w:t>
            </w:r>
          </w:p>
        </w:tc>
        <w:tc>
          <w:tcPr>
            <w:tcW w:type="dxa" w:w="4536"/>
          </w:tcPr>
          <w:p>
            <w:r>
              <w:t>SEC Climate Rule / TCFD Aligned Disclosure</w:t>
            </w:r>
          </w:p>
        </w:tc>
      </w:tr>
      <w:tr>
        <w:tc>
          <w:tcPr>
            <w:tcW w:type="dxa" w:w="4536"/>
          </w:tcPr>
          <w:p>
            <w:r>
              <w:t>🌏 ASEAN</w:t>
            </w:r>
          </w:p>
        </w:tc>
        <w:tc>
          <w:tcPr>
            <w:tcW w:type="dxa" w:w="4536"/>
          </w:tcPr>
          <w:p>
            <w:r>
              <w:t>ASEAN Taxonomy for Sustainable Finance</w:t>
            </w:r>
          </w:p>
        </w:tc>
      </w:tr>
      <w:tr>
        <w:tc>
          <w:tcPr>
            <w:tcW w:type="dxa" w:w="4536"/>
          </w:tcPr>
          <w:p>
            <w:r>
              <w:t>🌍 Africa</w:t>
            </w:r>
          </w:p>
        </w:tc>
        <w:tc>
          <w:tcPr>
            <w:tcW w:type="dxa" w:w="4536"/>
          </w:tcPr>
          <w:p>
            <w:r>
              <w:t>GRI Standards + King IV Corporate Governance</w:t>
            </w:r>
          </w:p>
        </w:tc>
      </w:tr>
    </w:tbl>
    <w:p/>
    <w:p>
      <w:pPr>
        <w:pStyle w:val="Heading2"/>
      </w:pPr>
      <w:r>
        <w:t>Strategic Advice for Single Business Mode</w:t>
      </w:r>
    </w:p>
    <w:p>
      <w:pPr>
        <w:pStyle w:val="ListBullet"/>
      </w:pPr>
      <w:r>
        <w:t>Understand your stakeholder map early. In Single Business Mode, stakeholder salience is concentrated — you have fewer but more contextually powerful stakeholders than in the conglomerate. A hostile Host Government in Africa or a hostile SEBI regulator in South Asia can materially affect your terminal valuation.</w:t>
      </w:r>
    </w:p>
    <w:p>
      <w:pPr>
        <w:pStyle w:val="ListBullet"/>
      </w:pPr>
      <w:r>
        <w:t>Your industry-specific pillar is your identity. Investors, regulators, and community leaders watch your industry pillar decisions most closely. Consistent leadership choices in this area build a durable stakeholder alliance.</w:t>
      </w:r>
    </w:p>
    <w:p>
      <w:pPr>
        <w:pStyle w:val="ListBullet"/>
      </w:pPr>
      <w:r>
        <w:t>Regional black swans are correlated with neglect. The probability of a regional black swan increases if your community trust is low. Invest in social licence early to reduce your exposure.</w:t>
      </w:r>
    </w:p>
    <w:p>
      <w:pPr>
        <w:pStyle w:val="ListBullet"/>
      </w:pPr>
      <w:r>
        <w:t>Think about your ESG reporting framework from Round 1. If you are in Europe, the CSRD requires supply chain due diligence — your Supply Chain pillar choices will directly affect your end-game reporting score. Know your framework.</w:t>
      </w:r>
    </w:p>
    <w:p>
      <w:pPr>
        <w:pStyle w:val="ListBullet"/>
      </w:pPr>
      <w:r>
        <w:t>The Stakeholder Sentiment panel is a leading indicator. Changes in attitude scores in one round predict crisis events in the next. Monitor it after every decision.</w:t>
      </w:r>
    </w:p>
    <w:p>
      <w:r>
        <w:br w:type="page"/>
      </w:r>
    </w:p>
    <w:p>
      <w:pPr>
        <w:pStyle w:val="Heading1"/>
      </w:pPr>
      <w:r>
        <w:t>Section: BRSR NGRBC Decision Paradigm — Player Guide</w:t>
      </w:r>
    </w:p>
    <w:p>
      <w:pPr>
        <w:pStyle w:val="Heading2"/>
      </w:pPr>
      <w:r>
        <w:t>What is the BRSR NGRBC Paradigm?</w:t>
      </w:r>
    </w:p>
    <w:p>
      <w:r>
        <w:rPr>
          <w:b w:val="0"/>
          <w:i w:val="0"/>
        </w:rPr>
        <w:t>The BRSR (Business Responsibility and Sustainability Reporting) NGRBC (National Guidelines on Responsible Business Conduct) paradigm is an alternative 5-round simulation track that immerses you in India's ESG regulatory environment. Instead of 10 rounds of global sustainability crises, you face 5 rounds of India-specific challenges aligned to SEBI's BRSR framework.</w:t>
      </w:r>
    </w:p>
    <w:p>
      <w:r>
        <w:rPr>
          <w:b w:val="0"/>
          <w:i w:val="0"/>
        </w:rPr>
        <w:t>You will navigate SEBI mandates, CPCB environmental compliance, labour reforms, supply chain due diligence, and the final BRSR filing — with every decision carrying long-term consequences for your terminal valuation.</w:t>
      </w:r>
    </w:p>
    <w:p>
      <w:r>
        <w:rPr>
          <w:b/>
          <w:color w:val="1F3864"/>
        </w:rPr>
        <w:t xml:space="preserve">[NOTE] </w:t>
      </w:r>
      <w:r>
        <w:t>When the BRSR paradigm is active, the simulation runs for 5 rounds (not 10) and displays currency in Indian Rupees (₹).</w:t>
      </w:r>
    </w:p>
    <w:p>
      <w:pPr>
        <w:pStyle w:val="Heading2"/>
      </w:pPr>
      <w:r>
        <w:t>How It Works</w:t>
      </w:r>
    </w:p>
    <w:p>
      <w:r>
        <w:rPr>
          <w:b w:val="0"/>
          <w:i w:val="0"/>
        </w:rPr>
        <w:t>Each round, you make decisions across 5 Strategic Pillar areas:</w:t>
      </w:r>
    </w:p>
    <w:tbl>
      <w:tblPr>
        <w:tblStyle w:val="TableGrid"/>
        <w:tblW w:type="auto" w:w="0"/>
        <w:jc w:val="center"/>
        <w:tblLook w:firstColumn="1" w:firstRow="1" w:lastColumn="0" w:lastRow="0" w:noHBand="0" w:noVBand="1" w:val="04A0"/>
      </w:tblPr>
      <w:tblGrid>
        <w:gridCol w:w="4536"/>
        <w:gridCol w:w="4536"/>
      </w:tblGrid>
      <w:tr>
        <w:tc>
          <w:tcPr>
            <w:tcW w:type="dxa" w:w="4536"/>
            <w:shd w:fill="1F3864"/>
          </w:tcPr>
          <w:p>
            <w:r>
              <w:rPr>
                <w:b/>
                <w:color w:val="FFFFFF"/>
                <w:sz w:val="18"/>
              </w:rPr>
              <w:t>Pillar</w:t>
            </w:r>
          </w:p>
        </w:tc>
        <w:tc>
          <w:tcPr>
            <w:tcW w:type="dxa" w:w="4536"/>
            <w:shd w:fill="1F3864"/>
          </w:tcPr>
          <w:p>
            <w:r>
              <w:rPr>
                <w:b/>
                <w:color w:val="FFFFFF"/>
                <w:sz w:val="18"/>
              </w:rPr>
              <w:t>What It Covers</w:t>
            </w:r>
          </w:p>
        </w:tc>
      </w:tr>
      <w:tr>
        <w:tc>
          <w:tcPr>
            <w:tcW w:type="dxa" w:w="4536"/>
          </w:tcPr>
          <w:p>
            <w:r>
              <w:rPr>
                <w:sz w:val="18"/>
              </w:rPr>
              <w:t>⚡ Energy / Governance</w:t>
            </w:r>
          </w:p>
        </w:tc>
        <w:tc>
          <w:tcPr>
            <w:tcW w:type="dxa" w:w="4536"/>
          </w:tcPr>
          <w:p>
            <w:r>
              <w:rPr>
                <w:sz w:val="18"/>
              </w:rPr>
              <w:t>Board committees, water systems, supply chain traceability, reporting</w:t>
            </w:r>
          </w:p>
        </w:tc>
      </w:tr>
      <w:tr>
        <w:tc>
          <w:tcPr>
            <w:tcW w:type="dxa" w:w="4536"/>
          </w:tcPr>
          <w:p>
            <w:r>
              <w:rPr>
                <w:sz w:val="18"/>
              </w:rPr>
              <w:t>🏭 Operations</w:t>
            </w:r>
          </w:p>
        </w:tc>
        <w:tc>
          <w:tcPr>
            <w:tcW w:type="dxa" w:w="4536"/>
          </w:tcPr>
          <w:p>
            <w:r>
              <w:rPr>
                <w:sz w:val="18"/>
              </w:rPr>
              <w:t>Ethics, OHS, waste management, assurance, ESG connectivity</w:t>
            </w:r>
          </w:p>
        </w:tc>
      </w:tr>
      <w:tr>
        <w:tc>
          <w:tcPr>
            <w:tcW w:type="dxa" w:w="4536"/>
          </w:tcPr>
          <w:p>
            <w:r>
              <w:rPr>
                <w:sz w:val="18"/>
              </w:rPr>
              <w:t>🔗 Supply Chain</w:t>
            </w:r>
          </w:p>
        </w:tc>
        <w:tc>
          <w:tcPr>
            <w:tcW w:type="dxa" w:w="4536"/>
          </w:tcPr>
          <w:p>
            <w:r>
              <w:rPr>
                <w:sz w:val="18"/>
              </w:rPr>
              <w:t>Stakeholder engagement, HRDD, circular economy, cross-references</w:t>
            </w:r>
          </w:p>
        </w:tc>
      </w:tr>
      <w:tr>
        <w:tc>
          <w:tcPr>
            <w:tcW w:type="dxa" w:w="4536"/>
          </w:tcPr>
          <w:p>
            <w:r>
              <w:rPr>
                <w:sz w:val="18"/>
              </w:rPr>
              <w:t>🌱 Offsetting / Investment</w:t>
            </w:r>
          </w:p>
        </w:tc>
        <w:tc>
          <w:tcPr>
            <w:tcW w:type="dxa" w:w="4536"/>
          </w:tcPr>
          <w:p>
            <w:r>
              <w:rPr>
                <w:sz w:val="18"/>
              </w:rPr>
              <w:t>CSR, welfare funds, climate disclosure, materiality validation</w:t>
            </w:r>
          </w:p>
        </w:tc>
      </w:tr>
      <w:tr>
        <w:tc>
          <w:tcPr>
            <w:tcW w:type="dxa" w:w="4536"/>
          </w:tcPr>
          <w:p>
            <w:r>
              <w:rPr>
                <w:sz w:val="18"/>
              </w:rPr>
              <w:t>👥 Human Resources</w:t>
            </w:r>
          </w:p>
        </w:tc>
        <w:tc>
          <w:tcPr>
            <w:tcW w:type="dxa" w:w="4536"/>
          </w:tcPr>
          <w:p>
            <w:r>
              <w:rPr>
                <w:sz w:val="18"/>
              </w:rPr>
              <w:t>Board diversity, DEI, green skills, investor communication</w:t>
            </w:r>
          </w:p>
        </w:tc>
      </w:tr>
    </w:tbl>
    <w:p/>
    <w:p>
      <w:r>
        <w:rPr>
          <w:b w:val="0"/>
          <w:i w:val="0"/>
        </w:rPr>
        <w:t>For each pillar, you choose one of three options ranging from Leadership (highest cost, highest impact) to Status Quo (zero cost, negative consequences). Your choices set flags that cascade through future rounds.</w:t>
      </w:r>
    </w:p>
    <w:p>
      <w:pPr>
        <w:pStyle w:val="Heading2"/>
      </w:pPr>
      <w:r>
        <w:t>Round-by-Round Walkthrough</w:t>
      </w:r>
    </w:p>
    <w:p>
      <w:pPr>
        <w:pStyle w:val="Heading3"/>
      </w:pPr>
      <w:r>
        <w:t>Round 1: Governance &amp; Transparency (P1 &amp; P7)</w:t>
      </w:r>
    </w:p>
    <w:p>
      <w:r>
        <w:rPr>
          <w:b w:val="0"/>
          <w:i w:val="0"/>
        </w:rPr>
        <w:t>SEBI has mandated BRSR reporting for the top 1,000 listed companies. As Muressons' sustainability head, you must decide: do you establish a Board-level ESG Committee, appoint an independent ethics officer, and publish a transparency register? Or do you rely on the existing compliance team and file the bare minimum?</w:t>
      </w:r>
    </w:p>
    <w:p>
      <w:r>
        <w:rPr>
          <w:b/>
          <w:i w:val="0"/>
        </w:rPr>
        <w:t>Key Trade-off:</w:t>
      </w:r>
    </w:p>
    <w:p>
      <w:pPr>
        <w:pStyle w:val="ListBullet"/>
      </w:pPr>
      <w:r>
        <w:t>Leadership investment (−₹4M) sets you up as a BRSR Pioneer with long-term governance benefits</w:t>
      </w:r>
    </w:p>
    <w:p>
      <w:pPr>
        <w:pStyle w:val="ListBullet"/>
      </w:pPr>
      <w:r>
        <w:t>Reactive disclosure (−₹0.5M) saves cash now but sets a governance_fragility flag that will haunt you in later rounds</w:t>
      </w:r>
    </w:p>
    <w:p>
      <w:r>
        <w:rPr>
          <w:b/>
          <w:color w:val="1F3864"/>
        </w:rPr>
        <w:t xml:space="preserve">[WARNING] </w:t>
      </w:r>
      <w:r>
        <w:t>Your governance choice in Round 1 compounds through the entire simulation. Poor governance in R1 triggers a Whistleblower Leak at R5!</w:t>
      </w:r>
    </w:p>
    <w:p>
      <w:pPr>
        <w:pStyle w:val="Heading3"/>
      </w:pPr>
      <w:r>
        <w:t>Round 2: Workforce &amp; Human Rights (P3 &amp; P5)</w:t>
      </w:r>
    </w:p>
    <w:p>
      <w:r>
        <w:rPr>
          <w:b w:val="0"/>
          <w:i w:val="0"/>
        </w:rPr>
        <w:t>Unions at the Chennai Electronics plant demand living wage disclosures. The Pharma BU faces OHS gaps at API plants. POSH committee reports highlight inconsistencies. How much will you invest in your workforce?</w:t>
      </w:r>
    </w:p>
    <w:p>
      <w:r>
        <w:rPr>
          <w:b/>
          <w:i w:val="0"/>
        </w:rPr>
        <w:t>Key Trade-off:</w:t>
      </w:r>
    </w:p>
    <w:p>
      <w:pPr>
        <w:pStyle w:val="ListBullet"/>
      </w:pPr>
      <w:r>
        <w:t>Living Wage Standard (−₹8M) reduces burnout across all BUs by 12 points</w:t>
      </w:r>
    </w:p>
    <w:p>
      <w:pPr>
        <w:pStyle w:val="ListBullet"/>
      </w:pPr>
      <w:r>
        <w:t>Statutory Minimums (₹0) increases strike probability and risks labour unrest</w:t>
      </w:r>
    </w:p>
    <w:p>
      <w:pPr>
        <w:pStyle w:val="Heading3"/>
      </w:pPr>
      <w:r>
        <w:t>Round 3: Environment &amp; Circularity (P6 &amp; P2)</w:t>
      </w:r>
    </w:p>
    <w:p>
      <w:r>
        <w:rPr>
          <w:b w:val="0"/>
          <w:i w:val="0"/>
        </w:rPr>
        <w:t>CPCB flags your Pharma BU's water discharge. Electronics and Consumer Goods face EPR scrutiny. This round tests your environmental stewardship — from Zero Liquid Discharge to Scope 3 climate pathways.</w:t>
      </w:r>
    </w:p>
    <w:p>
      <w:r>
        <w:rPr>
          <w:b/>
          <w:i w:val="0"/>
        </w:rPr>
        <w:t>Key Trade-off:</w:t>
      </w:r>
    </w:p>
    <w:p>
      <w:pPr>
        <w:pStyle w:val="ListBullet"/>
      </w:pPr>
      <w:r>
        <w:t>Circular Symbiosis (−₹10M) reduces your natural capital debt rate and boosts synergy</w:t>
      </w:r>
    </w:p>
    <w:p>
      <w:pPr>
        <w:pStyle w:val="ListBullet"/>
      </w:pPr>
      <w:r>
        <w:t>Regulatory Minimums (−₹2M) leads to CPCB penalties and rising debt costs</w:t>
      </w:r>
    </w:p>
    <w:p>
      <w:pPr>
        <w:pStyle w:val="Heading3"/>
      </w:pPr>
      <w:r>
        <w:t>Round 4: Value Chain &amp; BRSR Core</w:t>
      </w:r>
    </w:p>
    <w:p>
      <w:r>
        <w:rPr>
          <w:b w:val="0"/>
          <w:i w:val="0"/>
        </w:rPr>
        <w:t>SEBI introduces 'BRSR Core' — reasonable assurance is now mandatory for the top 250 companies. Your supply chain faces scrutiny. Do you invest in blockchain traceability and Big 4 assurance, or rely on self-assessment?</w:t>
      </w:r>
    </w:p>
    <w:p>
      <w:r>
        <w:rPr>
          <w:b/>
          <w:color w:val="1F3864"/>
        </w:rPr>
        <w:t xml:space="preserve">[WARNING] </w:t>
      </w:r>
      <w:r>
        <w:t>Self-Assessment (Option C) triggers a SEBI Show-Cause Notice with −12 reputation and −₹10M penalty. This is the most consequential single decision in the BRSR track!</w:t>
      </w:r>
    </w:p>
    <w:p>
      <w:pPr>
        <w:pStyle w:val="Heading3"/>
      </w:pPr>
      <w:r>
        <w:t>Round 5: Integrated Disclosure &amp; ESG Alpha</w:t>
      </w:r>
    </w:p>
    <w:p>
      <w:r>
        <w:rPr>
          <w:b w:val="0"/>
          <w:i w:val="0"/>
        </w:rPr>
        <w:t>The final BRSR filing. CRISIL ESG and Sustainalytics are benchmarking you against peers. Your choice: publish a Six Capitals integrated report with GRI/TCFD cross-references, or file the bare minimum compliance document?</w:t>
      </w:r>
    </w:p>
    <w:p>
      <w:r>
        <w:rPr>
          <w:b/>
          <w:i w:val="0"/>
        </w:rPr>
        <w:t>Key Trade-off:</w:t>
      </w:r>
    </w:p>
    <w:p>
      <w:pPr>
        <w:pStyle w:val="ListBullet"/>
      </w:pPr>
      <w:r>
        <w:t>Integrated Report (−₹4M) unlocks the ESG Alpha Dividend — a +5% boost to your terminal valuation multiplier</w:t>
      </w:r>
    </w:p>
    <w:p>
      <w:pPr>
        <w:pStyle w:val="ListBullet"/>
      </w:pPr>
      <w:r>
        <w:t>Compliance File (−₹0.5M) blocks the Truth Premium and downgrades your green bond rating</w:t>
      </w:r>
    </w:p>
    <w:p>
      <w:pPr>
        <w:pStyle w:val="Heading2"/>
      </w:pPr>
      <w:r>
        <w:t>Understanding Your BRSR Score</w:t>
      </w:r>
    </w:p>
    <w:p>
      <w:r>
        <w:rPr>
          <w:b w:val="0"/>
          <w:i w:val="0"/>
        </w:rPr>
        <w:t>Your BRSR Score (0–100) is calculated from 5 dimensions: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3864"/>
          </w:tcPr>
          <w:p>
            <w:r>
              <w:rPr>
                <w:b/>
                <w:color w:val="FFFFFF"/>
                <w:sz w:val="18"/>
              </w:rPr>
              <w:t>Dimension</w:t>
            </w:r>
          </w:p>
        </w:tc>
        <w:tc>
          <w:tcPr>
            <w:tcW w:type="dxa" w:w="3024"/>
            <w:shd w:fill="1F3864"/>
          </w:tcPr>
          <w:p>
            <w:r>
              <w:rPr>
                <w:b/>
                <w:color w:val="FFFFFF"/>
                <w:sz w:val="18"/>
              </w:rPr>
              <w:t>Weight</w:t>
            </w:r>
          </w:p>
        </w:tc>
        <w:tc>
          <w:tcPr>
            <w:tcW w:type="dxa" w:w="3024"/>
            <w:shd w:fill="1F3864"/>
          </w:tcPr>
          <w:p>
            <w:r>
              <w:rPr>
                <w:b/>
                <w:color w:val="FFFFFF"/>
                <w:sz w:val="18"/>
              </w:rPr>
              <w:t>What Drives It</w:t>
            </w:r>
          </w:p>
        </w:tc>
      </w:tr>
      <w:tr>
        <w:tc>
          <w:tcPr>
            <w:tcW w:type="dxa" w:w="3024"/>
          </w:tcPr>
          <w:p>
            <w:r>
              <w:rPr>
                <w:sz w:val="18"/>
              </w:rPr>
              <w:t>Governance &amp; Ethics</w:t>
            </w:r>
          </w:p>
        </w:tc>
        <w:tc>
          <w:tcPr>
            <w:tcW w:type="dxa" w:w="3024"/>
          </w:tcPr>
          <w:p>
            <w:r>
              <w:rPr>
                <w:sz w:val="18"/>
              </w:rPr>
              <w:t>20%</w:t>
            </w:r>
          </w:p>
        </w:tc>
        <w:tc>
          <w:tcPr>
            <w:tcW w:type="dxa" w:w="3024"/>
          </w:tcPr>
          <w:p>
            <w:r>
              <w:rPr>
                <w:sz w:val="18"/>
              </w:rPr>
              <w:t>Your R1 governance investment level</w:t>
            </w:r>
          </w:p>
        </w:tc>
      </w:tr>
      <w:tr>
        <w:tc>
          <w:tcPr>
            <w:tcW w:type="dxa" w:w="3024"/>
          </w:tcPr>
          <w:p>
            <w:r>
              <w:rPr>
                <w:sz w:val="18"/>
              </w:rPr>
              <w:t>Human Capital</w:t>
            </w:r>
          </w:p>
        </w:tc>
        <w:tc>
          <w:tcPr>
            <w:tcW w:type="dxa" w:w="3024"/>
          </w:tcPr>
          <w:p>
            <w:r>
              <w:rPr>
                <w:sz w:val="18"/>
              </w:rPr>
              <w:t>20%</w:t>
            </w:r>
          </w:p>
        </w:tc>
        <w:tc>
          <w:tcPr>
            <w:tcW w:type="dxa" w:w="3024"/>
          </w:tcPr>
          <w:p>
            <w:r>
              <w:rPr>
                <w:sz w:val="18"/>
              </w:rPr>
              <w:t>Your R2 workforce &amp; human rights choices</w:t>
            </w:r>
          </w:p>
        </w:tc>
      </w:tr>
      <w:tr>
        <w:tc>
          <w:tcPr>
            <w:tcW w:type="dxa" w:w="3024"/>
          </w:tcPr>
          <w:p>
            <w:r>
              <w:rPr>
                <w:sz w:val="18"/>
              </w:rPr>
              <w:t>Environmental Stewardship</w:t>
            </w:r>
          </w:p>
        </w:tc>
        <w:tc>
          <w:tcPr>
            <w:tcW w:type="dxa" w:w="3024"/>
          </w:tcPr>
          <w:p>
            <w:r>
              <w:rPr>
                <w:sz w:val="18"/>
              </w:rPr>
              <w:t>25%</w:t>
            </w:r>
          </w:p>
        </w:tc>
        <w:tc>
          <w:tcPr>
            <w:tcW w:type="dxa" w:w="3024"/>
          </w:tcPr>
          <w:p>
            <w:r>
              <w:rPr>
                <w:sz w:val="18"/>
              </w:rPr>
              <w:t>Your R3 environment &amp; circularity decisions</w:t>
            </w:r>
          </w:p>
        </w:tc>
      </w:tr>
      <w:tr>
        <w:tc>
          <w:tcPr>
            <w:tcW w:type="dxa" w:w="3024"/>
          </w:tcPr>
          <w:p>
            <w:r>
              <w:rPr>
                <w:sz w:val="18"/>
              </w:rPr>
              <w:t>Value Chain &amp; Stakeholder</w:t>
            </w:r>
          </w:p>
        </w:tc>
        <w:tc>
          <w:tcPr>
            <w:tcW w:type="dxa" w:w="3024"/>
          </w:tcPr>
          <w:p>
            <w:r>
              <w:rPr>
                <w:sz w:val="18"/>
              </w:rPr>
              <w:t>20%</w:t>
            </w:r>
          </w:p>
        </w:tc>
        <w:tc>
          <w:tcPr>
            <w:tcW w:type="dxa" w:w="3024"/>
          </w:tcPr>
          <w:p>
            <w:r>
              <w:rPr>
                <w:sz w:val="18"/>
              </w:rPr>
              <w:t>Your R4 assurance &amp; supply chain choices</w:t>
            </w:r>
          </w:p>
        </w:tc>
      </w:tr>
      <w:tr>
        <w:tc>
          <w:tcPr>
            <w:tcW w:type="dxa" w:w="3024"/>
          </w:tcPr>
          <w:p>
            <w:r>
              <w:rPr>
                <w:sz w:val="18"/>
              </w:rPr>
              <w:t>Integrated Disclosure</w:t>
            </w:r>
          </w:p>
        </w:tc>
        <w:tc>
          <w:tcPr>
            <w:tcW w:type="dxa" w:w="3024"/>
          </w:tcPr>
          <w:p>
            <w:r>
              <w:rPr>
                <w:sz w:val="18"/>
              </w:rPr>
              <w:t>15%</w:t>
            </w:r>
          </w:p>
        </w:tc>
        <w:tc>
          <w:tcPr>
            <w:tcW w:type="dxa" w:w="3024"/>
          </w:tcPr>
          <w:p>
            <w:r>
              <w:rPr>
                <w:sz w:val="18"/>
              </w:rPr>
              <w:t>Your R5 final reporting quality</w:t>
            </w:r>
          </w:p>
        </w:tc>
      </w:tr>
    </w:tbl>
    <w:p/>
    <w:p>
      <w:pPr>
        <w:pStyle w:val="Heading3"/>
      </w:pPr>
      <w:r>
        <w:t>What Your Grade Means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1F3864"/>
          </w:tcPr>
          <w:p>
            <w:r>
              <w:rPr>
                <w:b/>
                <w:color w:val="FFFFFF"/>
                <w:sz w:val="18"/>
              </w:rPr>
              <w:t>Grade</w:t>
            </w:r>
          </w:p>
        </w:tc>
        <w:tc>
          <w:tcPr>
            <w:tcW w:type="dxa" w:w="2268"/>
            <w:shd w:fill="1F3864"/>
          </w:tcPr>
          <w:p>
            <w:r>
              <w:rPr>
                <w:b/>
                <w:color w:val="FFFFFF"/>
                <w:sz w:val="18"/>
              </w:rPr>
              <w:t>Score</w:t>
            </w:r>
          </w:p>
        </w:tc>
        <w:tc>
          <w:tcPr>
            <w:tcW w:type="dxa" w:w="2268"/>
            <w:shd w:fill="1F3864"/>
          </w:tcPr>
          <w:p>
            <w:r>
              <w:rPr>
                <w:b/>
                <w:color w:val="FFFFFF"/>
                <w:sz w:val="18"/>
              </w:rPr>
              <w:t>Archetype</w:t>
            </w:r>
          </w:p>
        </w:tc>
        <w:tc>
          <w:tcPr>
            <w:tcW w:type="dxa" w:w="2268"/>
            <w:shd w:fill="1F3864"/>
          </w:tcPr>
          <w:p>
            <w:r>
              <w:rPr>
                <w:b/>
                <w:color w:val="FFFFFF"/>
                <w:sz w:val="18"/>
              </w:rPr>
              <w:t>What It Means</w:t>
            </w:r>
          </w:p>
        </w:tc>
      </w:tr>
      <w:tr>
        <w:tc>
          <w:tcPr>
            <w:tcW w:type="dxa" w:w="2268"/>
          </w:tcPr>
          <w:p>
            <w:r>
              <w:rPr>
                <w:sz w:val="18"/>
              </w:rPr>
              <w:t>A+</w:t>
            </w:r>
          </w:p>
        </w:tc>
        <w:tc>
          <w:tcPr>
            <w:tcW w:type="dxa" w:w="2268"/>
          </w:tcPr>
          <w:p>
            <w:r>
              <w:rPr>
                <w:sz w:val="18"/>
              </w:rPr>
              <w:t>≥ 90</w:t>
            </w:r>
          </w:p>
        </w:tc>
        <w:tc>
          <w:tcPr>
            <w:tcW w:type="dxa" w:w="2268"/>
          </w:tcPr>
          <w:p>
            <w:r>
              <w:rPr>
                <w:sz w:val="18"/>
              </w:rPr>
              <w:t>BRSR Pioneer 🏆</w:t>
            </w:r>
          </w:p>
        </w:tc>
        <w:tc>
          <w:tcPr>
            <w:tcW w:type="dxa" w:w="2268"/>
          </w:tcPr>
          <w:p>
            <w:r>
              <w:rPr>
                <w:sz w:val="18"/>
              </w:rPr>
              <w:t>Exemplary — you exceeded all Leadership Indicators</w:t>
            </w:r>
          </w:p>
        </w:tc>
      </w:tr>
      <w:tr>
        <w:tc>
          <w:tcPr>
            <w:tcW w:type="dxa" w:w="2268"/>
          </w:tcPr>
          <w:p>
            <w:r>
              <w:rPr>
                <w:sz w:val="18"/>
              </w:rPr>
              <w:t>A</w:t>
            </w:r>
          </w:p>
        </w:tc>
        <w:tc>
          <w:tcPr>
            <w:tcW w:type="dxa" w:w="2268"/>
          </w:tcPr>
          <w:p>
            <w:r>
              <w:rPr>
                <w:sz w:val="18"/>
              </w:rPr>
              <w:t>80–89</w:t>
            </w:r>
          </w:p>
        </w:tc>
        <w:tc>
          <w:tcPr>
            <w:tcW w:type="dxa" w:w="2268"/>
          </w:tcPr>
          <w:p>
            <w:r>
              <w:rPr>
                <w:sz w:val="18"/>
              </w:rPr>
              <w:t>Responsible Steward 🌿</w:t>
            </w:r>
          </w:p>
        </w:tc>
        <w:tc>
          <w:tcPr>
            <w:tcW w:type="dxa" w:w="2268"/>
          </w:tcPr>
          <w:p>
            <w:r>
              <w:rPr>
                <w:sz w:val="18"/>
              </w:rPr>
              <w:t>Strong — Essential compliance with strategic Leadership</w:t>
            </w:r>
          </w:p>
        </w:tc>
      </w:tr>
      <w:tr>
        <w:tc>
          <w:tcPr>
            <w:tcW w:type="dxa" w:w="2268"/>
          </w:tcPr>
          <w:p>
            <w:r>
              <w:rPr>
                <w:sz w:val="18"/>
              </w:rPr>
              <w:t>B</w:t>
            </w:r>
          </w:p>
        </w:tc>
        <w:tc>
          <w:tcPr>
            <w:tcW w:type="dxa" w:w="2268"/>
          </w:tcPr>
          <w:p>
            <w:r>
              <w:rPr>
                <w:sz w:val="18"/>
              </w:rPr>
              <w:t>60–79</w:t>
            </w:r>
          </w:p>
        </w:tc>
        <w:tc>
          <w:tcPr>
            <w:tcW w:type="dxa" w:w="2268"/>
          </w:tcPr>
          <w:p>
            <w:r>
              <w:rPr>
                <w:sz w:val="18"/>
              </w:rPr>
              <w:t>Compliance Pragmatist 📋</w:t>
            </w:r>
          </w:p>
        </w:tc>
        <w:tc>
          <w:tcPr>
            <w:tcW w:type="dxa" w:w="2268"/>
          </w:tcPr>
          <w:p>
            <w:r>
              <w:rPr>
                <w:sz w:val="18"/>
              </w:rPr>
              <w:t>Adequate — met SEBI minimums but left ESG value on table</w:t>
            </w:r>
          </w:p>
        </w:tc>
      </w:tr>
      <w:tr>
        <w:tc>
          <w:tcPr>
            <w:tcW w:type="dxa" w:w="2268"/>
          </w:tcPr>
          <w:p>
            <w:r>
              <w:rPr>
                <w:sz w:val="18"/>
              </w:rPr>
              <w:t>C–F</w:t>
            </w:r>
          </w:p>
        </w:tc>
        <w:tc>
          <w:tcPr>
            <w:tcW w:type="dxa" w:w="2268"/>
          </w:tcPr>
          <w:p>
            <w:r>
              <w:rPr>
                <w:sz w:val="18"/>
              </w:rPr>
              <w:t>&lt; 60</w:t>
            </w:r>
          </w:p>
        </w:tc>
        <w:tc>
          <w:tcPr>
            <w:tcW w:type="dxa" w:w="2268"/>
          </w:tcPr>
          <w:p>
            <w:r>
              <w:rPr>
                <w:sz w:val="18"/>
              </w:rPr>
              <w:t>Regulatory Laggard ⚠️</w:t>
            </w:r>
          </w:p>
        </w:tc>
        <w:tc>
          <w:tcPr>
            <w:tcW w:type="dxa" w:w="2268"/>
          </w:tcPr>
          <w:p>
            <w:r>
              <w:rPr>
                <w:sz w:val="18"/>
              </w:rPr>
              <w:t>Risk — failed Essential indicators, regulatory exposure</w:t>
            </w:r>
          </w:p>
        </w:tc>
      </w:tr>
    </w:tbl>
    <w:p/>
    <w:p>
      <w:pPr>
        <w:pStyle w:val="Heading2"/>
      </w:pPr>
      <w:r>
        <w:t>The Cascade Effect — Why Early Decisions Matter</w:t>
      </w:r>
    </w:p>
    <w:p>
      <w:r>
        <w:rPr>
          <w:b w:val="0"/>
          <w:i w:val="0"/>
        </w:rPr>
        <w:t>The BRSR paradigm is designed to teach systems thinking. Your decisions in early rounds compound and cascade through later rounds. Here are the key cascades to watch for:</w:t>
      </w:r>
    </w:p>
    <w:p>
      <w:pPr>
        <w:pStyle w:val="ListBullet"/>
      </w:pPr>
      <w:r>
        <w:rPr>
          <w:b/>
        </w:rPr>
        <w:t xml:space="preserve">R1 → R5: </w:t>
      </w:r>
      <w:r>
        <w:t>R1 Governance →</w:t>
      </w:r>
    </w:p>
    <w:p>
      <w:pPr>
        <w:pStyle w:val="ListBullet"/>
      </w:pPr>
      <w:r>
        <w:t>Poor governance in R1 triggers a compounding 4% drag from R3 onward, and a Whistleblower Leak crisis at R5</w:t>
      </w:r>
    </w:p>
    <w:p>
      <w:pPr>
        <w:pStyle w:val="ListBullet"/>
      </w:pPr>
      <w:r>
        <w:rPr>
          <w:b/>
        </w:rPr>
        <w:t xml:space="preserve">R2 → R3: </w:t>
      </w:r>
      <w:r>
        <w:t>R2 Workforce →</w:t>
      </w:r>
    </w:p>
    <w:p>
      <w:pPr>
        <w:pStyle w:val="ListBullet"/>
      </w:pPr>
      <w:r>
        <w:t>Labour unrest from R2 increases strike probability, affecting workforce transition in R3</w:t>
      </w:r>
    </w:p>
    <w:p>
      <w:pPr>
        <w:pStyle w:val="ListBullet"/>
      </w:pPr>
      <w:r>
        <w:rPr>
          <w:b/>
        </w:rPr>
        <w:t xml:space="preserve">R3 → R5: </w:t>
      </w:r>
      <w:r>
        <w:t>R3 Environment →</w:t>
      </w:r>
    </w:p>
    <w:p>
      <w:pPr>
        <w:pStyle w:val="ListBullet"/>
      </w:pPr>
      <w:r>
        <w:t>Circular economy investments affect R5 integrated report credibility</w:t>
      </w:r>
    </w:p>
    <w:p>
      <w:pPr>
        <w:pStyle w:val="ListBullet"/>
      </w:pPr>
      <w:r>
        <w:rPr>
          <w:b/>
        </w:rPr>
        <w:t xml:space="preserve">R4 → R5: </w:t>
      </w:r>
      <w:r>
        <w:t>R4 Assurance →</w:t>
      </w:r>
    </w:p>
    <w:p>
      <w:pPr>
        <w:pStyle w:val="ListBullet"/>
      </w:pPr>
      <w:r>
        <w:t>Greenwash risk from R4 blocks the Truth Premium at R5 and triggers SEBI penalties</w:t>
      </w:r>
    </w:p>
    <w:p>
      <w:pPr>
        <w:pStyle w:val="Heading2"/>
      </w:pPr>
      <w:r>
        <w:t>Your BRSR Certificate</w:t>
      </w:r>
    </w:p>
    <w:p>
      <w:r>
        <w:rPr>
          <w:b w:val="0"/>
          <w:i w:val="0"/>
        </w:rPr>
        <w:t>At game end, you receive a BRSR NGRBC Certificate showing your grade, archetype, compliance score, and a principle-by-principle pass/fail grid across the 9 NGRBC Principles. Each principle is marked ✅ if you chose at least Essential-level compliance.</w:t>
      </w:r>
    </w:p>
    <w:p>
      <w:pPr>
        <w:pStyle w:val="Heading2"/>
      </w:pPr>
      <w:r>
        <w:t>Strategic Tips</w:t>
      </w:r>
    </w:p>
    <w:p>
      <w:pPr>
        <w:pStyle w:val="ListBullet"/>
      </w:pPr>
      <w:r>
        <w:t>Don't skip governance in R1 — the governance_fragility flag compounds through all remaining rounds, costing far more than the ₹3.5M you save</w:t>
      </w:r>
    </w:p>
    <w:p>
      <w:pPr>
        <w:pStyle w:val="ListBullet"/>
      </w:pPr>
      <w:r>
        <w:t>R4 is the pivotal round — the Self-Assessment option looks cheap (₹500K) but triggers ₹10M+ in SEBI penalties plus reputation destruction</w:t>
      </w:r>
    </w:p>
    <w:p>
      <w:pPr>
        <w:pStyle w:val="ListBullet"/>
      </w:pPr>
      <w:r>
        <w:t>Budget for R5 — the Integrated Report costs ₹4M but unlocks a 5% terminal valuation bonus that typically exceeds ₹25M+ in value</w:t>
      </w:r>
    </w:p>
    <w:p>
      <w:pPr>
        <w:pStyle w:val="ListBullet"/>
      </w:pPr>
      <w:r>
        <w:t>Use the BRSR Dashboard (🇮🇳 icon in toolbar) to track your dimension scores in real-time</w:t>
      </w:r>
    </w:p>
    <w:p>
      <w:pPr>
        <w:pStyle w:val="ListBullet"/>
      </w:pPr>
      <w:r>
        <w:t>The Leadership/Essential/Status Quo framework mirrors real SEBI expectations — use this as a learning framework for actual BRSR compliance</w:t>
      </w:r>
    </w:p>
    <w:p>
      <w:pPr>
        <w:pStyle w:val="Heading2"/>
      </w:pPr>
      <w:r>
        <w:t>NGRBC Principles Quick Reference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F3864"/>
          </w:tcPr>
          <w:p>
            <w:r>
              <w:rPr>
                <w:b/>
                <w:color w:val="FFFFFF"/>
                <w:sz w:val="18"/>
              </w:rPr>
              <w:t>Principle</w:t>
            </w:r>
          </w:p>
        </w:tc>
        <w:tc>
          <w:tcPr>
            <w:tcW w:type="dxa" w:w="3024"/>
            <w:shd w:fill="1F3864"/>
          </w:tcPr>
          <w:p>
            <w:r>
              <w:rPr>
                <w:b/>
                <w:color w:val="FFFFFF"/>
                <w:sz w:val="18"/>
              </w:rPr>
              <w:t>Description</w:t>
            </w:r>
          </w:p>
        </w:tc>
        <w:tc>
          <w:tcPr>
            <w:tcW w:type="dxa" w:w="3024"/>
            <w:shd w:fill="1F3864"/>
          </w:tcPr>
          <w:p>
            <w:r>
              <w:rPr>
                <w:b/>
                <w:color w:val="FFFFFF"/>
                <w:sz w:val="18"/>
              </w:rPr>
              <w:t>Covered In</w:t>
            </w:r>
          </w:p>
        </w:tc>
      </w:tr>
      <w:tr>
        <w:tc>
          <w:tcPr>
            <w:tcW w:type="dxa" w:w="3024"/>
          </w:tcPr>
          <w:p>
            <w:r>
              <w:rPr>
                <w:sz w:val="18"/>
              </w:rPr>
              <w:t>P1</w:t>
            </w:r>
          </w:p>
        </w:tc>
        <w:tc>
          <w:tcPr>
            <w:tcW w:type="dxa" w:w="3024"/>
          </w:tcPr>
          <w:p>
            <w:r>
              <w:rPr>
                <w:sz w:val="18"/>
              </w:rPr>
              <w:t>Businesses should conduct and govern themselves with integrity and ethics</w:t>
            </w:r>
          </w:p>
        </w:tc>
        <w:tc>
          <w:tcPr>
            <w:tcW w:type="dxa" w:w="3024"/>
          </w:tcPr>
          <w:p>
            <w:r>
              <w:rPr>
                <w:sz w:val="18"/>
              </w:rPr>
              <w:t>Round 1</w:t>
            </w:r>
          </w:p>
        </w:tc>
      </w:tr>
      <w:tr>
        <w:tc>
          <w:tcPr>
            <w:tcW w:type="dxa" w:w="3024"/>
          </w:tcPr>
          <w:p>
            <w:r>
              <w:rPr>
                <w:sz w:val="18"/>
              </w:rPr>
              <w:t>P2</w:t>
            </w:r>
          </w:p>
        </w:tc>
        <w:tc>
          <w:tcPr>
            <w:tcW w:type="dxa" w:w="3024"/>
          </w:tcPr>
          <w:p>
            <w:r>
              <w:rPr>
                <w:sz w:val="18"/>
              </w:rPr>
              <w:t>Businesses should provide goods and services in a sustainable manner</w:t>
            </w:r>
          </w:p>
        </w:tc>
        <w:tc>
          <w:tcPr>
            <w:tcW w:type="dxa" w:w="3024"/>
          </w:tcPr>
          <w:p>
            <w:r>
              <w:rPr>
                <w:sz w:val="18"/>
              </w:rPr>
              <w:t>Round 3</w:t>
            </w:r>
          </w:p>
        </w:tc>
      </w:tr>
      <w:tr>
        <w:tc>
          <w:tcPr>
            <w:tcW w:type="dxa" w:w="3024"/>
          </w:tcPr>
          <w:p>
            <w:r>
              <w:rPr>
                <w:sz w:val="18"/>
              </w:rPr>
              <w:t>P3</w:t>
            </w:r>
          </w:p>
        </w:tc>
        <w:tc>
          <w:tcPr>
            <w:tcW w:type="dxa" w:w="3024"/>
          </w:tcPr>
          <w:p>
            <w:r>
              <w:rPr>
                <w:sz w:val="18"/>
              </w:rPr>
              <w:t>Businesses should respect and promote the well-being of all employees</w:t>
            </w:r>
          </w:p>
        </w:tc>
        <w:tc>
          <w:tcPr>
            <w:tcW w:type="dxa" w:w="3024"/>
          </w:tcPr>
          <w:p>
            <w:r>
              <w:rPr>
                <w:sz w:val="18"/>
              </w:rPr>
              <w:t>Round 2</w:t>
            </w:r>
          </w:p>
        </w:tc>
      </w:tr>
      <w:tr>
        <w:tc>
          <w:tcPr>
            <w:tcW w:type="dxa" w:w="3024"/>
          </w:tcPr>
          <w:p>
            <w:r>
              <w:rPr>
                <w:sz w:val="18"/>
              </w:rPr>
              <w:t>P4</w:t>
            </w:r>
          </w:p>
        </w:tc>
        <w:tc>
          <w:tcPr>
            <w:tcW w:type="dxa" w:w="3024"/>
          </w:tcPr>
          <w:p>
            <w:r>
              <w:rPr>
                <w:sz w:val="18"/>
              </w:rPr>
              <w:t>Businesses should respect the interests of and be responsive to stakeholders</w:t>
            </w:r>
          </w:p>
        </w:tc>
        <w:tc>
          <w:tcPr>
            <w:tcW w:type="dxa" w:w="3024"/>
          </w:tcPr>
          <w:p>
            <w:r>
              <w:rPr>
                <w:sz w:val="18"/>
              </w:rPr>
              <w:t>Round 4</w:t>
            </w:r>
          </w:p>
        </w:tc>
      </w:tr>
      <w:tr>
        <w:tc>
          <w:tcPr>
            <w:tcW w:type="dxa" w:w="3024"/>
          </w:tcPr>
          <w:p>
            <w:r>
              <w:rPr>
                <w:sz w:val="18"/>
              </w:rPr>
              <w:t>P5</w:t>
            </w:r>
          </w:p>
        </w:tc>
        <w:tc>
          <w:tcPr>
            <w:tcW w:type="dxa" w:w="3024"/>
          </w:tcPr>
          <w:p>
            <w:r>
              <w:rPr>
                <w:sz w:val="18"/>
              </w:rPr>
              <w:t>Businesses should respect and promote human rights</w:t>
            </w:r>
          </w:p>
        </w:tc>
        <w:tc>
          <w:tcPr>
            <w:tcW w:type="dxa" w:w="3024"/>
          </w:tcPr>
          <w:p>
            <w:r>
              <w:rPr>
                <w:sz w:val="18"/>
              </w:rPr>
              <w:t>Round 2</w:t>
            </w:r>
          </w:p>
        </w:tc>
      </w:tr>
      <w:tr>
        <w:tc>
          <w:tcPr>
            <w:tcW w:type="dxa" w:w="3024"/>
          </w:tcPr>
          <w:p>
            <w:r>
              <w:rPr>
                <w:sz w:val="18"/>
              </w:rPr>
              <w:t>P6</w:t>
            </w:r>
          </w:p>
        </w:tc>
        <w:tc>
          <w:tcPr>
            <w:tcW w:type="dxa" w:w="3024"/>
          </w:tcPr>
          <w:p>
            <w:r>
              <w:rPr>
                <w:sz w:val="18"/>
              </w:rPr>
              <w:t>Businesses should respect and make efforts to protect the environment</w:t>
            </w:r>
          </w:p>
        </w:tc>
        <w:tc>
          <w:tcPr>
            <w:tcW w:type="dxa" w:w="3024"/>
          </w:tcPr>
          <w:p>
            <w:r>
              <w:rPr>
                <w:sz w:val="18"/>
              </w:rPr>
              <w:t>Round 3</w:t>
            </w:r>
          </w:p>
        </w:tc>
      </w:tr>
      <w:tr>
        <w:tc>
          <w:tcPr>
            <w:tcW w:type="dxa" w:w="3024"/>
          </w:tcPr>
          <w:p>
            <w:r>
              <w:rPr>
                <w:sz w:val="18"/>
              </w:rPr>
              <w:t>P7</w:t>
            </w:r>
          </w:p>
        </w:tc>
        <w:tc>
          <w:tcPr>
            <w:tcW w:type="dxa" w:w="3024"/>
          </w:tcPr>
          <w:p>
            <w:r>
              <w:rPr>
                <w:sz w:val="18"/>
              </w:rPr>
              <w:t>Businesses should engage responsibly with policy advocacy</w:t>
            </w:r>
          </w:p>
        </w:tc>
        <w:tc>
          <w:tcPr>
            <w:tcW w:type="dxa" w:w="3024"/>
          </w:tcPr>
          <w:p>
            <w:r>
              <w:rPr>
                <w:sz w:val="18"/>
              </w:rPr>
              <w:t>Round 1</w:t>
            </w:r>
          </w:p>
        </w:tc>
      </w:tr>
      <w:tr>
        <w:tc>
          <w:tcPr>
            <w:tcW w:type="dxa" w:w="3024"/>
          </w:tcPr>
          <w:p>
            <w:r>
              <w:rPr>
                <w:sz w:val="18"/>
              </w:rPr>
              <w:t>P8</w:t>
            </w:r>
          </w:p>
        </w:tc>
        <w:tc>
          <w:tcPr>
            <w:tcW w:type="dxa" w:w="3024"/>
          </w:tcPr>
          <w:p>
            <w:r>
              <w:rPr>
                <w:sz w:val="18"/>
              </w:rPr>
              <w:t>Businesses should promote inclusive growth and equitable development</w:t>
            </w:r>
          </w:p>
        </w:tc>
        <w:tc>
          <w:tcPr>
            <w:tcW w:type="dxa" w:w="3024"/>
          </w:tcPr>
          <w:p>
            <w:r>
              <w:rPr>
                <w:sz w:val="18"/>
              </w:rPr>
              <w:t>Round 4</w:t>
            </w:r>
          </w:p>
        </w:tc>
      </w:tr>
      <w:tr>
        <w:tc>
          <w:tcPr>
            <w:tcW w:type="dxa" w:w="3024"/>
          </w:tcPr>
          <w:p>
            <w:r>
              <w:rPr>
                <w:sz w:val="18"/>
              </w:rPr>
              <w:t>P9</w:t>
            </w:r>
          </w:p>
        </w:tc>
        <w:tc>
          <w:tcPr>
            <w:tcW w:type="dxa" w:w="3024"/>
          </w:tcPr>
          <w:p>
            <w:r>
              <w:rPr>
                <w:sz w:val="18"/>
              </w:rPr>
              <w:t>Businesses should engage with and provide value to customers responsibly</w:t>
            </w:r>
          </w:p>
        </w:tc>
        <w:tc>
          <w:tcPr>
            <w:tcW w:type="dxa" w:w="3024"/>
          </w:tcPr>
          <w:p>
            <w:r>
              <w:rPr>
                <w:sz w:val="18"/>
              </w:rPr>
              <w:t>Round 5</w:t>
            </w:r>
          </w:p>
        </w:tc>
      </w:tr>
    </w:tbl>
    <w:p/>
    <w:p>
      <w:pPr>
        <w:pStyle w:val="Heading2"/>
      </w:pPr>
      <w:r>
        <w:t>Theory Connections</w:t>
      </w:r>
    </w:p>
    <w:p>
      <w:r>
        <w:rPr>
          <w:b w:val="0"/>
          <w:i w:val="0"/>
        </w:rPr>
        <w:t>The BRSR paradigm connects to several academic frameworks:</w:t>
      </w:r>
    </w:p>
    <w:p>
      <w:pPr>
        <w:pStyle w:val="ListBullet"/>
      </w:pPr>
      <w:r>
        <w:t>Stakeholder Theory (Freeman, 1984) — the multi-stakeholder advisory in R1</w:t>
      </w:r>
    </w:p>
    <w:p>
      <w:pPr>
        <w:pStyle w:val="ListBullet"/>
      </w:pPr>
      <w:r>
        <w:t>UN Guiding Principles on Business &amp; Human Rights (Ruggie, 2011) — HRDD methodology in R2</w:t>
      </w:r>
    </w:p>
    <w:p>
      <w:pPr>
        <w:pStyle w:val="ListBullet"/>
      </w:pPr>
      <w:r>
        <w:t>Circular Economy (Ellen MacArthur Foundation) — waste-to-energy partnerships in R3</w:t>
      </w:r>
    </w:p>
    <w:p>
      <w:pPr>
        <w:pStyle w:val="ListBullet"/>
      </w:pPr>
      <w:r>
        <w:t>Assurance Standards (ISAE 3000, ISAE 3410) — limited vs reasonable assurance in R4</w:t>
      </w:r>
    </w:p>
    <w:p>
      <w:pPr>
        <w:pStyle w:val="ListBullet"/>
      </w:pPr>
      <w:r>
        <w:t>Integrated Reporting (IIRC Six Capitals) — the final report framework in R5</w:t>
      </w:r>
    </w:p>
    <w:p>
      <w:pPr>
        <w:pStyle w:val="ListBullet"/>
      </w:pPr>
      <w:r>
        <w:t>Double Materiality (EFRAG/GRI) — materiality validation in R5</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94A3B8"/>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