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color w:val="666666"/>
          <w:sz w:val="20"/>
        </w:rPr>
        <w:t>GMAB - SPIG Group</w:t>
      </w:r>
    </w:p>
    <w:p>
      <w:pPr>
        <w:jc w:val="center"/>
      </w:pPr>
      <w:r>
        <w:rPr>
          <w:b/>
          <w:color w:val="003366"/>
          <w:sz w:val="48"/>
        </w:rPr>
        <w:t>Sønderborg Kraftvarme A/S</w:t>
      </w:r>
    </w:p>
    <w:p>
      <w:pPr>
        <w:jc w:val="center"/>
      </w:pPr>
      <w:r>
        <w:rPr>
          <w:color w:val="CC0000"/>
          <w:sz w:val="28"/>
        </w:rPr>
        <w:t>Urgent Emission Reduction &amp; Efficiency Optimization Opportunity</w:t>
      </w:r>
    </w:p>
    <w:p>
      <w:pPr>
        <w:spacing w:before="120" w:after="120"/>
        <w:ind w:left="288" w:right="288"/>
      </w:pPr>
      <w:r>
        <w:rPr>
          <w:b/>
          <w:color w:val="CC0000"/>
          <w:sz w:val="28"/>
        </w:rPr>
        <w:t>🚨 CRITICAL EMISSION CRISIS DETECTED</w:t>
      </w:r>
    </w:p>
    <w:p>
      <w:pPr>
        <w:pStyle w:val="ListBullet"/>
        <w:spacing w:before="40" w:after="40"/>
        <w:ind w:left="576"/>
      </w:pPr>
      <w:r>
        <w:rPr>
          <w:color w:val="CC0000"/>
          <w:sz w:val="22"/>
        </w:rPr>
        <w:t>• SOx emissions TRIPLED: 1,429 kg (2020) → 4,224 kg (2021) = +195.6%</w:t>
      </w:r>
    </w:p>
    <w:p>
      <w:pPr>
        <w:pStyle w:val="ListBullet"/>
        <w:spacing w:before="40" w:after="160"/>
        <w:ind w:left="576"/>
      </w:pPr>
      <w:r>
        <w:rPr>
          <w:color w:val="CC0000"/>
          <w:sz w:val="22"/>
        </w:rPr>
        <w:t>• NOx emissions increased 12.1%: 89,380 kg (2020) → 100,203 kg (2021)</w:t>
      </w:r>
    </w:p>
    <w:p>
      <w:pPr>
        <w:jc w:val="center"/>
      </w:pPr>
      <w:r>
        <w:rPr>
          <w:i/>
          <w:color w:val="666666"/>
          <w:sz w:val="16"/>
        </w:rPr>
        <w:t>Source: European Environment Agency (EEA) Industrial Emissions Database</w:t>
      </w:r>
    </w:p>
    <w:p>
      <w:r>
        <w:rPr>
          <w:b/>
          <w:color w:val="003366"/>
          <w:sz w:val="24"/>
        </w:rPr>
        <w:t>Facility Overview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rPr>
                <w:b/>
                <w:color w:val="003366"/>
                <w:sz w:val="20"/>
              </w:rPr>
              <w:t>Location:</w:t>
            </w:r>
          </w:p>
        </w:tc>
        <w:tc>
          <w:tcPr>
            <w:tcW w:type="dxa" w:w="5256"/>
          </w:tcPr>
          <w:p>
            <w:r>
              <w:rPr>
                <w:sz w:val="20"/>
              </w:rPr>
              <w:t>Vestermark 16, 6400 Sønderborg, Denmark</w:t>
            </w:r>
          </w:p>
        </w:tc>
      </w:tr>
      <w:tr>
        <w:tc>
          <w:tcPr>
            <w:tcW w:type="dxa" w:w="5256"/>
          </w:tcPr>
          <w:p>
            <w:r>
              <w:rPr>
                <w:b/>
                <w:color w:val="003366"/>
                <w:sz w:val="20"/>
              </w:rPr>
              <w:t>Capacity:</w:t>
            </w:r>
          </w:p>
        </w:tc>
        <w:tc>
          <w:tcPr>
            <w:tcW w:type="dxa" w:w="5256"/>
          </w:tcPr>
          <w:p>
            <w:r>
              <w:rPr>
                <w:sz w:val="20"/>
              </w:rPr>
              <w:t>52 MW | ~70,000 tonnes/year waste | CHP district heating</w:t>
            </w:r>
          </w:p>
        </w:tc>
      </w:tr>
      <w:tr>
        <w:tc>
          <w:tcPr>
            <w:tcW w:type="dxa" w:w="5256"/>
          </w:tcPr>
          <w:p>
            <w:r>
              <w:rPr>
                <w:b/>
                <w:color w:val="003366"/>
                <w:sz w:val="20"/>
              </w:rPr>
              <w:t>Ownership:</w:t>
            </w:r>
          </w:p>
        </w:tc>
        <w:tc>
          <w:tcPr>
            <w:tcW w:type="dxa" w:w="5256"/>
          </w:tcPr>
          <w:p>
            <w:r>
              <w:rPr>
                <w:sz w:val="20"/>
              </w:rPr>
              <w:t>Consumer cooperative - 16,500 members (Sønderborg Fjernvarme Amba)</w:t>
            </w:r>
          </w:p>
        </w:tc>
      </w:tr>
    </w:tbl>
    <w:p/>
    <w:p>
      <w:r>
        <w:rPr>
          <w:b/>
          <w:color w:val="003366"/>
          <w:sz w:val="24"/>
        </w:rPr>
        <w:t>GMAB Integrated Solution</w:t>
      </w:r>
    </w:p>
    <w:p>
      <w:pPr>
        <w:pStyle w:val="ListBullet"/>
        <w:spacing w:before="40" w:after="40"/>
        <w:ind w:left="288"/>
      </w:pPr>
      <w:r>
        <w:rPr>
          <w:sz w:val="20"/>
        </w:rPr>
        <w:t>Emission Control Upgrade: FGD desulfurization + SCR/SNCR NOx reduction (80% SOx cut, 30% NOx cut)</w:t>
      </w:r>
    </w:p>
    <w:p>
      <w:pPr>
        <w:pStyle w:val="ListBullet"/>
        <w:spacing w:before="40" w:after="40"/>
        <w:ind w:left="288"/>
      </w:pPr>
      <w:r>
        <w:rPr>
          <w:sz w:val="20"/>
        </w:rPr>
        <w:t>ORC Waste Heat Recovery: Add 15,000-25,000 MWh/year electricity output (+5-8% efficiency)</w:t>
      </w:r>
    </w:p>
    <w:p>
      <w:pPr>
        <w:pStyle w:val="ListBullet"/>
        <w:spacing w:before="40" w:after="40"/>
        <w:ind w:left="288"/>
      </w:pPr>
      <w:r>
        <w:rPr>
          <w:sz w:val="20"/>
        </w:rPr>
        <w:t>Predictive Maintenance: IoT/AI monitoring to prevent future equipment degradation</w:t>
      </w:r>
    </w:p>
    <w:p/>
    <w:p>
      <w:r>
        <w:rPr>
          <w:b/>
          <w:color w:val="003366"/>
          <w:sz w:val="24"/>
        </w:rPr>
        <w:t>Financial Business Case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628"/>
        <w:gridCol w:w="2628"/>
        <w:gridCol w:w="2628"/>
        <w:gridCol w:w="2628"/>
      </w:tblGrid>
      <w:tr>
        <w:tc>
          <w:tcPr>
            <w:tcW w:type="dxa" w:w="2628"/>
            <w:shd w:fill="003366"/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Investment</w:t>
            </w:r>
          </w:p>
        </w:tc>
        <w:tc>
          <w:tcPr>
            <w:tcW w:type="dxa" w:w="2628"/>
            <w:shd w:fill="003366"/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Annual Benefit</w:t>
            </w:r>
          </w:p>
        </w:tc>
        <w:tc>
          <w:tcPr>
            <w:tcW w:type="dxa" w:w="2628"/>
            <w:shd w:fill="003366"/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Payback</w:t>
            </w:r>
          </w:p>
        </w:tc>
        <w:tc>
          <w:tcPr>
            <w:tcW w:type="dxa" w:w="2628"/>
            <w:shd w:fill="003366"/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IRR (20-yr)</w:t>
            </w:r>
          </w:p>
        </w:tc>
      </w:tr>
      <w:tr>
        <w:tc>
          <w:tcPr>
            <w:tcW w:type="dxa" w:w="2628"/>
          </w:tcPr>
          <w:p>
            <w:pPr>
              <w:jc w:val="center"/>
            </w:pPr>
            <w:r>
              <w:rPr>
                <w:b/>
                <w:color w:val="009933"/>
                <w:sz w:val="22"/>
              </w:rPr>
              <w:t>€8-12M</w:t>
            </w:r>
          </w:p>
        </w:tc>
        <w:tc>
          <w:tcPr>
            <w:tcW w:type="dxa" w:w="2628"/>
          </w:tcPr>
          <w:p>
            <w:pPr>
              <w:jc w:val="center"/>
            </w:pPr>
            <w:r>
              <w:rPr>
                <w:b/>
                <w:color w:val="009933"/>
                <w:sz w:val="22"/>
              </w:rPr>
              <w:t>€1.95M - €2.35M</w:t>
            </w:r>
          </w:p>
        </w:tc>
        <w:tc>
          <w:tcPr>
            <w:tcW w:type="dxa" w:w="2628"/>
          </w:tcPr>
          <w:p>
            <w:pPr>
              <w:jc w:val="center"/>
            </w:pPr>
            <w:r>
              <w:rPr>
                <w:b/>
                <w:color w:val="009933"/>
                <w:sz w:val="22"/>
              </w:rPr>
              <w:t>4-6 years</w:t>
            </w:r>
          </w:p>
        </w:tc>
        <w:tc>
          <w:tcPr>
            <w:tcW w:type="dxa" w:w="2628"/>
          </w:tcPr>
          <w:p>
            <w:pPr>
              <w:jc w:val="center"/>
            </w:pPr>
            <w:r>
              <w:rPr>
                <w:b/>
                <w:color w:val="009933"/>
                <w:sz w:val="22"/>
              </w:rPr>
              <w:t>15-18%</w:t>
            </w:r>
          </w:p>
        </w:tc>
      </w:tr>
    </w:tbl>
    <w:p/>
    <w:p>
      <w:r>
        <w:rPr>
          <w:b/>
          <w:color w:val="003366"/>
          <w:sz w:val="24"/>
        </w:rPr>
        <w:t>Why GMAB?</w:t>
      </w:r>
    </w:p>
    <w:p>
      <w:pPr>
        <w:spacing w:before="20" w:after="20"/>
        <w:ind w:left="288"/>
      </w:pPr>
      <w:r>
        <w:rPr>
          <w:sz w:val="18"/>
        </w:rPr>
        <w:t>✓ 50+ WtE installations worldwide | Proven ORC &amp; emission control expertise</w:t>
      </w:r>
    </w:p>
    <w:p>
      <w:pPr>
        <w:spacing w:before="20" w:after="20"/>
        <w:ind w:left="288"/>
      </w:pPr>
      <w:r>
        <w:rPr>
          <w:sz w:val="18"/>
        </w:rPr>
        <w:t>✓ Scandinavian market experience (Sweden, Finland) - Cultural fit &amp; regulatory knowledge</w:t>
      </w:r>
    </w:p>
    <w:p>
      <w:pPr>
        <w:spacing w:before="20" w:after="20"/>
        <w:ind w:left="288"/>
      </w:pPr>
      <w:r>
        <w:rPr>
          <w:sz w:val="18"/>
        </w:rPr>
        <w:t>✓ Turnkey EPC capability with performance guarantees</w:t>
      </w:r>
    </w:p>
    <w:p>
      <w:pPr>
        <w:spacing w:before="20" w:after="20"/>
        <w:ind w:left="288"/>
      </w:pPr>
      <w:r>
        <w:rPr>
          <w:sz w:val="18"/>
        </w:rPr>
        <w:t>✓ EU grant funding support (Innovation Fund, Horizon Europe, Danish Energy Agency)</w:t>
      </w:r>
    </w:p>
    <w:p/>
    <w:p>
      <w:pPr>
        <w:spacing w:before="160" w:after="160"/>
        <w:jc w:val="center"/>
      </w:pPr>
      <w:r>
        <w:rPr>
          <w:b/>
          <w:color w:val="FF6600"/>
          <w:sz w:val="24"/>
        </w:rPr>
        <w:t>Let's Solve This Together - Complimentary Assessment Available</w:t>
      </w:r>
    </w:p>
    <w:p>
      <w:pPr>
        <w:jc w:val="center"/>
      </w:pPr>
      <w:r>
        <w:rPr>
          <w:b/>
          <w:color w:val="003366"/>
          <w:sz w:val="20"/>
        </w:rPr>
        <w:t>GMAB - SPIG Group | www.SPIG-GMAB.com | info@spig-gmab.com</w:t>
      </w:r>
    </w:p>
    <w:p>
      <w:pPr>
        <w:jc w:val="center"/>
      </w:pPr>
      <w:r>
        <w:rPr>
          <w:i/>
          <w:color w:val="666666"/>
          <w:sz w:val="16"/>
        </w:rPr>
        <w:t>Prepared: October 19, 2025 | Confidential</w:t>
      </w:r>
    </w:p>
    <w:sectPr w:rsidR="00FC693F" w:rsidRPr="0006063C" w:rsidSect="000346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