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stain/ro-crate-paper@d972fe4</w:t>
        </w:r>
      </w:hyperlink>
      <w:r>
        <w:t xml:space="preserve"> </w:t>
      </w:r>
      <w:r>
        <w:t xml:space="preserve">on October 27,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X3e9cda4d5e028b736983e3e7c0deec1234a1235"/>
      <w:r>
        <w:t xml:space="preserve">Data Entities are described using Contextual Entities</w:t>
      </w:r>
      <w:bookmarkEnd w:id="104"/>
    </w:p>
    <w:p>
      <w:pPr>
        <w:pStyle w:val="FirstParagraph"/>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guide-through-recommended-practices"/>
      <w:r>
        <w:t xml:space="preserve">Guide through Recommended Practices</w:t>
      </w:r>
      <w:bookmarkEnd w:id="10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ensuring-simplicity"/>
      <w:r>
        <w:t xml:space="preserve">Ensuring Simplicity</w:t>
      </w:r>
      <w:bookmarkEnd w:id="112"/>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extensibility-and-ro-crate-profiles"/>
      <w:r>
        <w:t xml:space="preserve">Extensibility and RO-Crate profiles</w:t>
      </w:r>
      <w:bookmarkEnd w:id="12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ro-crate-json-ld"/>
      <w:r>
        <w:t xml:space="preserve">RO-Crate JSON-LD</w:t>
      </w:r>
      <w:bookmarkEnd w:id="125"/>
    </w:p>
    <w:p>
      <w:pPr>
        <w:pStyle w:val="FirstParagraph"/>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ro-crat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7" w:name="profiles-of-ro-crat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bioinformatics-workflows"/>
      <w:r>
        <w:t xml:space="preserve">Bioinformatics workflows</w:t>
      </w:r>
      <w:bookmarkEnd w:id="150"/>
    </w:p>
    <w:p>
      <w:pPr>
        <w:pStyle w:val="FirstParagraph"/>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digital-humanities-cultural-heritage"/>
      <w:r>
        <w:t xml:space="preserve">Digital Humanities: Cultural Heritage</w:t>
      </w:r>
      <w:bookmarkEnd w:id="173"/>
    </w:p>
    <w:p>
      <w:pPr>
        <w:pStyle w:val="FirstParagraph"/>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machine-actionable-data-management-plans"/>
      <w:r>
        <w:t xml:space="preserve">Machine-actionable Data Management Plans</w:t>
      </w:r>
      <w:bookmarkEnd w:id="180"/>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X6c3a66e7ecadcfed6bd00425a68e824b733ec62"/>
      <w:r>
        <w:t xml:space="preserve">Institutional data repositories – Harvard Data Commons</w:t>
      </w:r>
      <w:bookmarkEnd w:id="181"/>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future-work"/>
      <w:r>
        <w:t xml:space="preserve">Future Work</w:t>
      </w:r>
      <w:bookmarkEnd w:id="201"/>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2">
        <w:r>
          <w:rPr>
            <w:rStyle w:val="Hyperlink"/>
          </w:rPr>
          <w:t xml:space="preserve">InvenioRDM</w:t>
        </w:r>
      </w:hyperlink>
      <w:r>
        <w:t xml:space="preserve"> </w:t>
      </w:r>
      <w:r>
        <w:t xml:space="preserve">used by the Zenodo data repository. New Horizon Europe projects adapting RO-Crate include</w:t>
      </w:r>
      <w:r>
        <w:t xml:space="preserve"> </w:t>
      </w:r>
      <w:hyperlink r:id="rId203">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4">
        <w:r>
          <w:rPr>
            <w:rStyle w:val="Hyperlink"/>
          </w:rPr>
          <w:t xml:space="preserve">Frictionless Data</w:t>
        </w:r>
      </w:hyperlink>
      <w:r>
        <w:t xml:space="preserve">. We will be further aligning with and collaborating with related research artefact description efforts like</w:t>
      </w:r>
      <w:r>
        <w:t xml:space="preserve"> </w:t>
      </w:r>
      <w:hyperlink r:id="rId205">
        <w:r>
          <w:rPr>
            <w:rStyle w:val="Hyperlink"/>
          </w:rPr>
          <w:t xml:space="preserve">CodeMeta</w:t>
        </w:r>
      </w:hyperlink>
      <w:r>
        <w:t xml:space="preserve"> </w:t>
      </w:r>
      <w:r>
        <w:t xml:space="preserve">for software metadata,</w:t>
      </w:r>
      <w:r>
        <w:t xml:space="preserve"> </w:t>
      </w:r>
      <w:hyperlink r:id="rId206">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7">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8" w:name="conclusion"/>
      <w:r>
        <w:t xml:space="preserve">Conclusion</w:t>
      </w:r>
      <w:bookmarkEnd w:id="20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9" w:name="acknowledgements"/>
      <w:r>
        <w:t xml:space="preserve">Acknowledgements</w:t>
      </w:r>
      <w:bookmarkEnd w:id="209"/>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X65f2300635a5fd97b6e4cdfc1c9f62fbd6fe1d1"/>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ro-crate-community"/>
      <w:r>
        <w:t xml:space="preserve">RO-Crate Community</w:t>
      </w:r>
      <w:bookmarkEnd w:id="23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2"/>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6">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972fe4ae7cb45e14906c88c7016ba163fc629ca"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972fe4ae7cb45e14906c88c7016ba163fc629ca/"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972fe4ae7cb45e14906c88c7016ba163fc629ca"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972fe4ae7cb45e14906c88c7016ba163fc629ca/"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2021-10-27T15:47:10Z</dcterms:created>
  <dcterms:modified xsi:type="dcterms:W3CDTF">2021-10-27T15:47:10Z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