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27.svg" ContentType="image/svg+xml"/>
  <Override PartName="/word/media/rId168.svg" ContentType="image/svg+xml"/>
  <Override PartName="/word/media/rId90.svg" ContentType="image/svg+xml"/>
  <Override PartName="/word/media/rId10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rPr>
          <w:i/>
        </w:rPr>
        <w:t xml:space="preserve">This manuscript has been</w:t>
      </w:r>
      <w:r>
        <w:rPr>
          <w:i/>
        </w:rPr>
        <w:t xml:space="preserve"> </w:t>
      </w:r>
      <w:hyperlink r:id="rId20">
        <w:r>
          <w:rPr>
            <w:rStyle w:val="Hyperlink"/>
            <w:i/>
          </w:rPr>
          <w:t xml:space="preserve">accepted</w:t>
        </w:r>
      </w:hyperlink>
      <w:r>
        <w:rPr>
          <w:i/>
        </w:rPr>
        <w:t xml:space="preserve"> </w:t>
      </w:r>
      <w:r>
        <w:rPr>
          <w:i/>
        </w:rPr>
        <w:t xml:space="preserve">by the journal</w:t>
      </w:r>
      <w:r>
        <w:rPr>
          <w:i/>
        </w:rPr>
        <w:t xml:space="preserve"> </w:t>
      </w:r>
      <w:hyperlink r:id="rId21">
        <w:r>
          <w:rPr>
            <w:rStyle w:val="Hyperlink"/>
            <w:i/>
          </w:rPr>
          <w:t xml:space="preserve">Data Science</w:t>
        </w:r>
      </w:hyperlink>
      <w:r>
        <w:rPr>
          <w:i/>
        </w:rPr>
        <w:t xml:space="preserve"> </w:t>
      </w:r>
      <w:r>
        <w:rPr>
          <w:i/>
        </w:rPr>
        <w:t xml:space="preserve">for review.</w:t>
      </w:r>
      <w:r>
        <w:rPr>
          <w:i/>
        </w:rPr>
        <w:t xml:space="preserve"> </w:t>
      </w:r>
      <w:r>
        <w:rPr>
          <w:i/>
        </w:rPr>
        <w:t xml:space="preserve">A DOI-citable preprint is available at</w:t>
      </w:r>
      <w:r>
        <w:rPr>
          <w:i/>
        </w:rPr>
        <w:t xml:space="preserve"> </w:t>
      </w:r>
      <w:hyperlink r:id="rId22">
        <w:r>
          <w:rPr>
            <w:rStyle w:val="Hyperlink"/>
            <w:i/>
          </w:rPr>
          <w:t xml:space="preserve">https://doi.org/10.5281/zenodo.5146227</w:t>
        </w:r>
      </w:hyperlink>
      <w:r>
        <w:t xml:space="preserve"> </w:t>
      </w:r>
      <w:r>
        <w:t xml:space="preserve">and</w:t>
      </w:r>
      <w:r>
        <w:t xml:space="preserve"> </w:t>
      </w:r>
      <w:hyperlink r:id="rId23">
        <w:r>
          <w:rPr>
            <w:rStyle w:val="Hyperlink"/>
          </w:rPr>
          <w:t xml:space="preserve">arXiv:2108.06503</w:t>
        </w:r>
      </w:hyperlink>
      <w:r>
        <w:t xml:space="preserve">_</w:t>
      </w:r>
    </w:p>
    <w:p>
      <w:pPr>
        <w:pStyle w:val="BodyText"/>
      </w:pPr>
      <w:r>
        <w:t xml:space="preserve"> </w:t>
      </w:r>
      <w:r>
        <w:t xml:space="preserve">This manuscript</w:t>
      </w:r>
      <w:r>
        <w:t xml:space="preserve"> </w:t>
      </w:r>
      <w:r>
        <w:t xml:space="preserve">(</w:t>
      </w:r>
      <w:hyperlink r:id="rId24">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5">
        <w:r>
          <w:rPr>
            <w:rStyle w:val="Hyperlink"/>
          </w:rPr>
          <w:t xml:space="preserve">stain/ro-crate-paper@0bc6297</w:t>
        </w:r>
      </w:hyperlink>
      <w:r>
        <w:t xml:space="preserve"> </w:t>
      </w:r>
      <w:r>
        <w:t xml:space="preserve">on October 11, 2021.</w:t>
      </w:r>
      <w:r>
        <w:t xml:space="preserve"> </w:t>
      </w:r>
    </w:p>
    <w:p>
      <w:pPr>
        <w:pStyle w:val="Heading2"/>
      </w:pPr>
      <w:bookmarkStart w:id="26" w:name="authors"/>
      <w:r>
        <w:t xml:space="preserve">Authors</w:t>
      </w:r>
      <w:bookmarkEnd w:id="26"/>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35">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mercecrosas</w:t>
        </w:r>
      </w:hyperlink>
      <w:r>
        <w:t xml:space="preserve"> </w:t>
      </w:r>
      <w:r>
        <w:t xml:space="preserve"> </w:t>
      </w:r>
      <w:r>
        <w:t xml:space="preserve">Institute for Quantitative Social Science, Harvard University, Cambridge, MA, US</w:t>
      </w:r>
      <w:r>
        <w:t xml:space="preserve"> </w:t>
      </w:r>
      <w:r>
        <w:t xml:space="preserve">· Funded by Harvard Data Commons is supported by an award from</w:t>
      </w:r>
      <w:r>
        <w:t xml:space="preserve"> </w:t>
      </w:r>
      <w:hyperlink r:id="rId40">
        <w:r>
          <w:rPr>
            <w:rStyle w:val="Hyperlink"/>
          </w:rPr>
          <w:t xml:space="preserve">Harvard University Information Technology</w:t>
        </w:r>
      </w:hyperlink>
      <w:r>
        <w:t xml:space="preserve"> </w:t>
      </w:r>
      <w:r>
        <w:t xml:space="preserve">(HUIT).</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lj_garcia</w:t>
        </w:r>
      </w:hyperlink>
      <w:r>
        <w:t xml:space="preserve"> </w:t>
      </w:r>
      <w:r>
        <w:t xml:space="preserve"> </w:t>
      </w:r>
      <w:r>
        <w:t xml:space="preserve">ZB MED Information Centre for Life Sciences, Cologne,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Björn Grüning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0000-0002-3079-6586</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bjoerngruening</w:t>
        </w:r>
      </w:hyperlink>
      <w:r>
        <w:t xml:space="preserve"> </w:t>
      </w:r>
      <w:r>
        <w:t xml:space="preserve"> </w:t>
      </w:r>
      <w:r>
        <w:t xml:space="preserve">Bioinformatics Group, Department of Computer Science, Albert-Ludwigs-University Freiburg, Freiburg, DE</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55">
        <w:r>
          <w:rPr>
            <w:rStyle w:val="Hyperlink"/>
          </w:rPr>
          <w:t xml:space="preserve">DataPLANT</w:t>
        </w:r>
      </w:hyperlink>
      <w:r>
        <w:t xml:space="preserve"> </w:t>
      </w:r>
      <w:r>
        <w:t xml:space="preserve">(</w:t>
      </w:r>
      <w:hyperlink r:id="rId56">
        <w:r>
          <w:rPr>
            <w:rStyle w:val="Hyperlink"/>
          </w:rPr>
          <w:t xml:space="preserve">NFDI 7/1 – 42077441</w:t>
        </w:r>
      </w:hyperlink>
      <w:r>
        <w:t xml:space="preserve">), part of the German</w:t>
      </w:r>
      <w:r>
        <w:t xml:space="preserve"> </w:t>
      </w:r>
      <w:hyperlink r:id="rId57">
        <w:r>
          <w:rPr>
            <w:rStyle w:val="Hyperlink"/>
          </w:rPr>
          <w:t xml:space="preserve">National Research Data Infrastructure</w:t>
        </w:r>
      </w:hyperlink>
      <w:r>
        <w:t xml:space="preserve"> </w:t>
      </w:r>
      <w:r>
        <w:t xml:space="preserve">(NFDI), funded by the</w:t>
      </w:r>
      <w:r>
        <w:t xml:space="preserve"> </w:t>
      </w:r>
      <w:hyperlink r:id="rId58">
        <w:r>
          <w:rPr>
            <w:rStyle w:val="Hyperlink"/>
          </w:rPr>
          <w:t xml:space="preserve">Deutsche Forschungsgemeinschaft</w:t>
        </w:r>
      </w:hyperlink>
      <w:r>
        <w:t xml:space="preserve"> </w:t>
      </w:r>
      <w:r>
        <w:t xml:space="preserve">(DFG).</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i/>
          </w:rPr>
          <w:t xml:space="preserve">simleo</w:t>
        </w:r>
      </w:hyperlink>
      <w:r>
        <w:t xml:space="preserve"> </w:t>
      </w:r>
      <w:r>
        <w:t xml:space="preserve"> </w:t>
      </w:r>
      <w:r>
        <w:t xml:space="preserve">Center for Advanced Studies, Research, and Development in Sardinia (CRS4), Pula (CA), Italy</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atrisovic</w:t>
        </w:r>
      </w:hyperlink>
      <w:r>
        <w:t xml:space="preserve"> </w:t>
      </w:r>
      <w:r>
        <w:t xml:space="preserve"> </w:t>
      </w:r>
      <w:r>
        <w:t xml:space="preserve">Institute for Quantitative Social Science, Harvard University, Cambridge, MA, US</w:t>
      </w:r>
      <w:r>
        <w:t xml:space="preserve"> </w:t>
      </w:r>
      <w:r>
        <w:t xml:space="preserve">· Funded by</w:t>
      </w:r>
      <w:r>
        <w:t xml:space="preserve"> </w:t>
      </w:r>
      <w:hyperlink r:id="rId70">
        <w:r>
          <w:rPr>
            <w:rStyle w:val="Hyperlink"/>
          </w:rPr>
          <w:t xml:space="preserve">Alfred P. Sloan Foundation</w:t>
        </w:r>
      </w:hyperlink>
      <w:r>
        <w:t xml:space="preserve"> </w:t>
      </w:r>
      <w:r>
        <w:t xml:space="preserve">(grant number</w:t>
      </w:r>
      <w:r>
        <w:t xml:space="preserve"> </w:t>
      </w:r>
      <w:hyperlink r:id="rId71">
        <w:r>
          <w:rPr>
            <w:rStyle w:val="Hyperlink"/>
          </w:rPr>
          <w:t xml:space="preserve">P-2020-13988</w:t>
        </w:r>
      </w:hyperlink>
      <w:r>
        <w:t xml:space="preserve">).</w:t>
      </w:r>
      <w:r>
        <w:t xml:space="preserve"> </w:t>
      </w:r>
    </w:p>
    <w:p>
      <w:pPr>
        <w:numPr>
          <w:ilvl w:val="0"/>
          <w:numId w:val="1001"/>
        </w:numPr>
      </w:pPr>
      <w:r>
        <w:rPr>
          <w:b/>
        </w:rPr>
        <w:t xml:space="preserve">RO-Crate Community</w:t>
      </w:r>
      <w:r>
        <w:t xml:space="preserve"> </w:t>
      </w:r>
      <w:hyperlink r:id="rId72">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4">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5">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6">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7">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8">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80">
        <w:r>
          <w:rPr>
            <w:rStyle w:val="Hyperlink"/>
          </w:rPr>
          <w:t xml:space="preserve">IBISBA</w:t>
        </w:r>
      </w:hyperlink>
      <w:r>
        <w:t xml:space="preserve"> </w:t>
      </w:r>
      <w:r>
        <w:t xml:space="preserve">(European Commission</w:t>
      </w:r>
      <w:r>
        <w:t xml:space="preserve"> </w:t>
      </w:r>
      <w:hyperlink r:id="rId35">
        <w:r>
          <w:rPr>
            <w:rStyle w:val="Hyperlink"/>
          </w:rPr>
          <w:t xml:space="preserve">H2020-INFRAIA-2017-1-two-stage 730976</w:t>
        </w:r>
      </w:hyperlink>
      <w:r>
        <w:t xml:space="preserve">,</w:t>
      </w:r>
      <w:r>
        <w:t xml:space="preserve"> </w:t>
      </w:r>
      <w:hyperlink r:id="rId81">
        <w:r>
          <w:rPr>
            <w:rStyle w:val="Hyperlink"/>
          </w:rPr>
          <w:t xml:space="preserve">H2020-INFRADEV-2019-2 871118</w:t>
        </w:r>
      </w:hyperlink>
      <w:r>
        <w:t xml:space="preserve">);</w:t>
      </w:r>
      <w:r>
        <w:t xml:space="preserve"> </w:t>
      </w:r>
      <w:hyperlink r:id="rId82">
        <w:r>
          <w:rPr>
            <w:rStyle w:val="Hyperlink"/>
          </w:rPr>
          <w:t xml:space="preserve">SyntheSys+</w:t>
        </w:r>
      </w:hyperlink>
      <w:r>
        <w:t xml:space="preserve"> </w:t>
      </w:r>
      <w:r>
        <w:t xml:space="preserve">(European Commission</w:t>
      </w:r>
      <w:r>
        <w:t xml:space="preserve"> </w:t>
      </w:r>
      <w:hyperlink r:id="rId83">
        <w:r>
          <w:rPr>
            <w:rStyle w:val="Hyperlink"/>
          </w:rPr>
          <w:t xml:space="preserve">H2020-INFRAIA-2018-1 823827</w:t>
        </w:r>
      </w:hyperlink>
      <w:r>
        <w:t xml:space="preserve">)</w:t>
      </w:r>
      <w:r>
        <w:t xml:space="preserve"> </w:t>
      </w:r>
    </w:p>
    <w:p>
      <w:pPr>
        <w:pStyle w:val="FirstParagraph"/>
      </w:pPr>
      <w:r>
        <w:t xml:space="preserve">An increasing number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RO-Crate is based on Schema.org annotations in JSON-LD, aiming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approach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enhancing research reproducibility.</w:t>
      </w:r>
    </w:p>
    <w:p>
      <w:pPr>
        <w:pStyle w:val="BodyText"/>
      </w:pPr>
      <w:r>
        <w:t xml:space="preserve">An</w:t>
      </w:r>
      <w:r>
        <w:t xml:space="preserve"> </w:t>
      </w:r>
      <w:hyperlink r:id="rId84">
        <w:r>
          <w:rPr>
            <w:rStyle w:val="Hyperlink"/>
          </w:rPr>
          <w:t xml:space="preserve">RO-Crate for this article</w:t>
        </w:r>
      </w:hyperlink>
      <w:r>
        <w:t xml:space="preserve"> </w:t>
      </w:r>
      <w:r>
        <w:t xml:space="preserve">is archived at</w:t>
      </w:r>
      <w:r>
        <w:t xml:space="preserve"> </w:t>
      </w:r>
      <w:r>
        <w:rPr>
          <w:rStyle w:val="VerbatimChar"/>
        </w:rPr>
        <w:t xml:space="preserve">https://doi.org/10.5281/zenodo.5146227</w:t>
      </w:r>
    </w:p>
    <w:p>
      <w:pPr>
        <w:pStyle w:val="Heading1"/>
      </w:pPr>
      <w:bookmarkStart w:id="85" w:name="introduction"/>
      <w:r>
        <w:t xml:space="preserve">Introduction</w:t>
      </w:r>
      <w:bookmarkEnd w:id="85"/>
    </w:p>
    <w:p>
      <w:pPr>
        <w:pStyle w:val="FirstParagraph"/>
      </w:pPr>
      <w:r>
        <w:t xml:space="preserve">The move towards open science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workflows</w:t>
      </w:r>
      <w:r>
        <w:t xml:space="preserve"> </w:t>
      </w:r>
      <w:r>
        <w:t xml:space="preserve">[</w:t>
      </w:r>
      <w:hyperlink w:anchor="ref-nHPbkJXy">
        <w:r>
          <w:rPr>
            <w:rStyle w:val="Hyperlink"/>
          </w:rPr>
          <w:t xml:space="preserve">4</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5</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6</w:t>
        </w:r>
      </w:hyperlink>
      <w:r>
        <w:t xml:space="preserve">]</w:t>
      </w:r>
      <w:r>
        <w:t xml:space="preserve">.</w:t>
      </w:r>
    </w:p>
    <w:p>
      <w:pPr>
        <w:pStyle w:val="BodyText"/>
      </w:pPr>
      <w:r>
        <w:t xml:space="preserve">Important examples include data publication with rich metadata (e.g. Zenodo</w:t>
      </w:r>
      <w:r>
        <w:t xml:space="preserve"> </w:t>
      </w:r>
      <w:r>
        <w:t xml:space="preserve">[</w:t>
      </w:r>
      <w:hyperlink w:anchor="ref-8xxCWPLQ">
        <w:r>
          <w:rPr>
            <w:rStyle w:val="Hyperlink"/>
          </w:rPr>
          <w:t xml:space="preserve">7</w:t>
        </w:r>
      </w:hyperlink>
      <w:r>
        <w:t xml:space="preserve">]</w:t>
      </w:r>
      <w:r>
        <w:t xml:space="preserve">), domain-specific data deposition (e.g. PDB</w:t>
      </w:r>
      <w:r>
        <w:t xml:space="preserve"> </w:t>
      </w:r>
      <w:r>
        <w:t xml:space="preserve">[</w:t>
      </w:r>
      <w:hyperlink w:anchor="ref-c5hSVgMG">
        <w:r>
          <w:rPr>
            <w:rStyle w:val="Hyperlink"/>
          </w:rPr>
          <w:t xml:space="preserve">8</w:t>
        </w:r>
      </w:hyperlink>
      <w:r>
        <w:t xml:space="preserve">]</w:t>
      </w:r>
      <w:r>
        <w:t xml:space="preserve">) and following practices for reproducible research software</w:t>
      </w:r>
      <w:r>
        <w:t xml:space="preserve"> </w:t>
      </w:r>
      <w:r>
        <w:t xml:space="preserve">[</w:t>
      </w:r>
      <w:hyperlink w:anchor="ref-Pf3steOn">
        <w:r>
          <w:rPr>
            <w:rStyle w:val="Hyperlink"/>
          </w:rPr>
          <w:t xml:space="preserve">9</w:t>
        </w:r>
      </w:hyperlink>
      <w:r>
        <w:t xml:space="preserve">]</w:t>
      </w:r>
      <w:r>
        <w:t xml:space="preserve"> </w:t>
      </w:r>
      <w:r>
        <w:t xml:space="preserve">(e.g. use of containers). While these platforms are useful, experience has shown that it is important to put greater emphasis on the interconnection of the multiple artefacts that make up the research process</w:t>
      </w:r>
      <w:r>
        <w:t xml:space="preserve"> </w:t>
      </w:r>
      <w:r>
        <w:t xml:space="preserve">[</w:t>
      </w:r>
      <w:hyperlink w:anchor="ref-6OzT7zDz">
        <w:r>
          <w:rPr>
            <w:rStyle w:val="Hyperlink"/>
          </w:rPr>
          <w:t xml:space="preserve">10</w:t>
        </w:r>
      </w:hyperlink>
      <w:r>
        <w:t xml:space="preserve">]</w:t>
      </w:r>
      <w:r>
        <w:t xml:space="preserve">.</w:t>
      </w:r>
    </w:p>
    <w:p>
      <w:pPr>
        <w:pStyle w:val="BodyText"/>
      </w:pPr>
      <w:r>
        <w:t xml:space="preserve">The notion of</w:t>
      </w:r>
      <w:r>
        <w:t xml:space="preserve"> </w:t>
      </w:r>
      <w:r>
        <w:rPr>
          <w:b/>
        </w:rPr>
        <w:t xml:space="preserve">Research Objects</w:t>
      </w:r>
      <w:r>
        <w:t xml:space="preserve"> </w:t>
      </w:r>
      <w:r>
        <w:t xml:space="preserve">[</w:t>
      </w:r>
      <w:hyperlink w:anchor="ref-sRYUCzCq">
        <w:r>
          <w:rPr>
            <w:rStyle w:val="Hyperlink"/>
          </w:rPr>
          <w:t xml:space="preserve">11</w:t>
        </w:r>
      </w:hyperlink>
      <w:r>
        <w:t xml:space="preserve">]</w:t>
      </w:r>
      <w:r>
        <w:t xml:space="preserve"> </w:t>
      </w:r>
      <w:r>
        <w:t xml:space="preserve">was introduced to address this connectivity as semantically rich aggregations of (potentially distributed) resources that provide a layer of structure over a research study and are delivered in a</w:t>
      </w:r>
      <w:r>
        <w:t xml:space="preserve"> </w:t>
      </w:r>
      <w:r>
        <w:rPr>
          <w:i/>
        </w:rPr>
        <w:t xml:space="preserve">machine-readable format</w:t>
      </w:r>
      <w:r>
        <w:t xml:space="preserve">. A Research Object combines the ability to bundle multiple types of artefacts together, such as spreadsheets, code, examples, and figures; augmented by relationships that describe their context (e.g. a CSV being used by a script, a figure being a result of a workflow, etc.). This provides a compelling vision as an approach for implementing FAIR data. However, existing Research Object implementations require a large technology stack</w:t>
      </w:r>
      <w:r>
        <w:t xml:space="preserve"> </w:t>
      </w:r>
      <w:r>
        <w:t xml:space="preserve">[</w:t>
      </w:r>
      <w:hyperlink w:anchor="ref-eWgJ0fZt">
        <w:r>
          <w:rPr>
            <w:rStyle w:val="Hyperlink"/>
          </w:rPr>
          <w:t xml:space="preserve">12</w:t>
        </w:r>
      </w:hyperlink>
      <w:r>
        <w:t xml:space="preserve">]</w:t>
      </w:r>
      <w:r>
        <w:t xml:space="preserve">, are typically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13</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 exemplar usage of RO-Crate demonstrating its value as connective tissue for different artefacts from different communities.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86" w:name="ro-crate"/>
      <w:r>
        <w:t xml:space="preserve">RO-Crate</w:t>
      </w:r>
      <w:bookmarkEnd w:id="86"/>
    </w:p>
    <w:p>
      <w:pPr>
        <w:pStyle w:val="FirstParagraph"/>
      </w:pPr>
      <w:r>
        <w:t xml:space="preserve">RO-Crate aims to provide an approach to packaging research artefacts with their metadata that can be easily adopted.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This means programmatically and automatically accessible by machines and human readable.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Both features, the ability to automatically access and reason about an object, are crucial and lead to the need for explicit metadata about the contents of the folder, describing each and linking them together.</w:t>
      </w:r>
    </w:p>
    <w:p>
      <w:pPr>
        <w:pStyle w:val="BodyText"/>
      </w:pPr>
      <w:r>
        <w:t xml:space="preserve">Examples of metadata descriptions across a</w:t>
      </w:r>
      <w:r>
        <w:t xml:space="preserve"> </w:t>
      </w:r>
      <w:hyperlink r:id="rId87">
        <w:r>
          <w:rPr>
            <w:rStyle w:val="Hyperlink"/>
          </w:rPr>
          <w:t xml:space="preserve">wide range of domains</w:t>
        </w:r>
      </w:hyperlink>
      <w:r>
        <w:t xml:space="preserve"> </w:t>
      </w:r>
      <w:r>
        <w:t xml:space="preserve">abound within the literature, both in research data management</w:t>
      </w:r>
      <w:r>
        <w:t xml:space="preserve"> </w:t>
      </w:r>
      <w:r>
        <w:t xml:space="preserve">[</w:t>
      </w:r>
      <w:hyperlink w:anchor="ref-1GDrMnMDr">
        <w:r>
          <w:rPr>
            <w:rStyle w:val="Hyperlink"/>
          </w:rPr>
          <w:t xml:space="preserve">14</w:t>
        </w:r>
      </w:hyperlink>
      <w:r>
        <w:t xml:space="preserve">]</w:t>
      </w:r>
      <w:r>
        <w:t xml:space="preserve"> </w:t>
      </w:r>
      <w:r>
        <w:t xml:space="preserve">[</w:t>
      </w:r>
      <w:hyperlink w:anchor="ref-qO3xQviT">
        <w:r>
          <w:rPr>
            <w:rStyle w:val="Hyperlink"/>
          </w:rPr>
          <w:t xml:space="preserve">15</w:t>
        </w:r>
      </w:hyperlink>
      <w:r>
        <w:t xml:space="preserve">]</w:t>
      </w:r>
      <w:r>
        <w:t xml:space="preserve"> </w:t>
      </w:r>
      <w:r>
        <w:t xml:space="preserve">[</w:t>
      </w:r>
      <w:hyperlink w:anchor="ref-aCye3KpE">
        <w:r>
          <w:rPr>
            <w:rStyle w:val="Hyperlink"/>
          </w:rPr>
          <w:t xml:space="preserve">16</w:t>
        </w:r>
      </w:hyperlink>
      <w:r>
        <w:t xml:space="preserve">]</w:t>
      </w:r>
      <w:r>
        <w:t xml:space="preserve"> </w:t>
      </w:r>
      <w:r>
        <w:t xml:space="preserve">and within</w:t>
      </w:r>
      <w:r>
        <w:t xml:space="preserve"> </w:t>
      </w:r>
      <w:hyperlink r:id="rId88">
        <w:r>
          <w:rPr>
            <w:rStyle w:val="Hyperlink"/>
          </w:rPr>
          <w:t xml:space="preserve">library and information systems</w:t>
        </w:r>
      </w:hyperlink>
      <w:r>
        <w:t xml:space="preserve"> </w:t>
      </w:r>
      <w:r>
        <w:t xml:space="preserve">[</w:t>
      </w:r>
      <w:hyperlink w:anchor="ref-ce8qTQBF">
        <w:r>
          <w:rPr>
            <w:rStyle w:val="Hyperlink"/>
          </w:rPr>
          <w:t xml:space="preserve">17</w:t>
        </w:r>
      </w:hyperlink>
      <w:r>
        <w:t xml:space="preserve">]</w:t>
      </w:r>
      <w:r>
        <w:t xml:space="preserve"> </w:t>
      </w:r>
      <w:r>
        <w:t xml:space="preserve">[</w:t>
      </w:r>
      <w:hyperlink w:anchor="ref-twn3K6TG">
        <w:r>
          <w:rPr>
            <w:rStyle w:val="Hyperlink"/>
          </w:rPr>
          <w:t xml:space="preserve">18</w:t>
        </w:r>
      </w:hyperlink>
      <w:r>
        <w:t xml:space="preserve">]</w:t>
      </w:r>
      <w:r>
        <w:t xml:space="preserve">. However, many of these approaches require knowledge of metadata schemas, particular annotation systems, or the use of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19</w:t>
        </w:r>
      </w:hyperlink>
      <w:r>
        <w:t xml:space="preserve">]</w:t>
      </w:r>
      <w:r>
        <w:t xml:space="preserve"> </w:t>
      </w:r>
      <w:r>
        <w:t xml:space="preserve">[</w:t>
      </w:r>
      <w:hyperlink w:anchor="ref-DfP2RrQB">
        <w:r>
          <w:rPr>
            <w:rStyle w:val="Hyperlink"/>
          </w:rPr>
          <w:t xml:space="preserve">20</w:t>
        </w:r>
      </w:hyperlink>
      <w:r>
        <w:t xml:space="preserve">]</w:t>
      </w:r>
      <w:r>
        <w:t xml:space="preserve"> </w:t>
      </w:r>
      <w:r>
        <w:t xml:space="preserve">[</w:t>
      </w:r>
      <w:hyperlink w:anchor="ref-WD4Wsy0c">
        <w:r>
          <w:rPr>
            <w:rStyle w:val="Hyperlink"/>
          </w:rPr>
          <w:t xml:space="preserve">21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conceptually simple and easy to understand for developers;</w:t>
      </w:r>
    </w:p>
    <w:p>
      <w:pPr>
        <w:numPr>
          <w:ilvl w:val="0"/>
          <w:numId w:val="1003"/>
        </w:numPr>
        <w:pStyle w:val="Compact"/>
      </w:pPr>
      <w:r>
        <w:t xml:space="preserve">strong, easy tooling and integration into community projects</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de-facto standards that are widely used on the Web.</w:t>
      </w:r>
    </w:p>
    <w:p>
      <w:pPr>
        <w:pStyle w:val="FirstParagraph"/>
      </w:pPr>
      <w:r>
        <w:t xml:space="preserve">In the following sections we demonstrate how the RO-Crate specification and ecosystem achieves these goals.</w:t>
      </w:r>
    </w:p>
    <w:p>
      <w:pPr>
        <w:pStyle w:val="Heading2"/>
      </w:pPr>
      <w:bookmarkStart w:id="89" w:name="conceptual-definition"/>
      <w:r>
        <w:t xml:space="preserve">Conceptual Definition</w:t>
      </w:r>
      <w:bookmarkEnd w:id="89"/>
    </w:p>
    <w:p>
      <w:pPr>
        <w:pStyle w:val="FirstParagraph"/>
      </w:pPr>
      <w:r>
        <w:t xml:space="preserve">A key premise of RO-Crate is the existence of a wide variety of resources on the Web that can help describe research. As such, RO-Crate relies on the Linked Data principles</w:t>
      </w:r>
      <w:r>
        <w:t xml:space="preserve"> </w:t>
      </w:r>
      <w:r>
        <w:t xml:space="preserve">[</w:t>
      </w:r>
      <w:hyperlink w:anchor="ref-GOjoQFmf">
        <w:r>
          <w:rPr>
            <w:rStyle w:val="Hyperlink"/>
          </w:rPr>
          <w:t xml:space="preserve">22</w:t>
        </w:r>
      </w:hyperlink>
      <w:r>
        <w:t xml:space="preserve">]</w:t>
      </w:r>
      <w:r>
        <w:t xml:space="preserve">. Figure</w:t>
      </w:r>
      <w:r>
        <w:t xml:space="preserve"> </w:t>
      </w:r>
      <w:hyperlink w:anchor="fig:conceptual">
        <w:r>
          <w:rPr>
            <w:rStyle w:val="Hyperlink"/>
          </w:rPr>
          <w:t xml:space="preserve">1</w:t>
        </w:r>
      </w:hyperlink>
      <w:r>
        <w:t xml:space="preserve"> </w:t>
      </w:r>
      <w:r>
        <w:t xml:space="preserve"> </w:t>
      </w:r>
      <w:r>
        <w:t xml:space="preserve">shows the main conceptual elements involved in an RO-Crate: an RO-Metadata File (top) describes the research object using structured metadata including external references, coupled with the contained artefacts (bottom) bundled and described by the RO-Crate.</w:t>
      </w:r>
    </w:p>
    <w:bookmarkStart w:id="0" w:name="fig:conceptual"/>
    <w:p>
      <w:pPr>
        <w:pStyle w:val="CaptionedFigure"/>
      </w:pPr>
      <w:bookmarkStart w:id="91" w:name="fig:conceptual"/>
      <w:r>
        <w:drawing>
          <wp:inline>
            <wp:extent cx="5848350" cy="2524125"/>
            <wp:effectExtent b="0" l="0" r="0" t="0"/>
            <wp:docPr descr="Figure 1: Conceptual overview of RO-Crate. A Persistent Identifier (PID) [23] points to a Research Object (RO), which may be archived using different packaging approaches like BagIt [24], OCFL [25], git or ZIP. The RO is described within a RO-Crate Metadata File, providing identifiers for authors using ORCID, organisations using ROR and licences such as Creative Commons using SPDX identifiers. The RO-Crate content is further described with additional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90"/>
                    <a:stretch>
                      <a:fillRect/>
                    </a:stretch>
                  </pic:blipFill>
                  <pic:spPr bwMode="auto">
                    <a:xfrm>
                      <a:off x="0" y="0"/>
                      <a:ext cx="5848350" cy="2524125"/>
                    </a:xfrm>
                    <a:prstGeom prst="rect">
                      <a:avLst/>
                    </a:prstGeom>
                    <a:noFill/>
                    <a:ln w="9525">
                      <a:noFill/>
                      <a:headEnd/>
                      <a:tailEnd/>
                    </a:ln>
                  </pic:spPr>
                </pic:pic>
              </a:graphicData>
            </a:graphic>
          </wp:inline>
        </w:drawing>
      </w:r>
      <w:bookmarkEnd w:id="91"/>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w:t>
      </w:r>
      <w:r>
        <w:t xml:space="preserve"> </w:t>
      </w:r>
      <w:r>
        <w:t xml:space="preserve">[</w:t>
      </w:r>
      <w:hyperlink w:anchor="ref-5ln5TkiV">
        <w:r>
          <w:rPr>
            <w:rStyle w:val="Hyperlink"/>
          </w:rPr>
          <w:t xml:space="preserve">23</w:t>
        </w:r>
      </w:hyperlink>
      <w:r>
        <w:t xml:space="preserve">]</w:t>
      </w:r>
      <w:r>
        <w:t xml:space="preserve"> </w:t>
      </w:r>
      <w:r>
        <w:t xml:space="preserve">points to a</w:t>
      </w:r>
      <w:r>
        <w:t xml:space="preserve"> </w:t>
      </w:r>
      <w:r>
        <w:rPr>
          <w:i/>
        </w:rPr>
        <w:t xml:space="preserve">Research Object</w:t>
      </w:r>
      <w:r>
        <w:t xml:space="preserve"> </w:t>
      </w:r>
      <w:r>
        <w:t xml:space="preserve">(RO), which may be archived using different packaging approaches like BagIt</w:t>
      </w:r>
      <w:r>
        <w:t xml:space="preserve"> </w:t>
      </w:r>
      <w:r>
        <w:t xml:space="preserve">[</w:t>
      </w:r>
      <w:hyperlink w:anchor="ref-UQNJggmh">
        <w:r>
          <w:rPr>
            <w:rStyle w:val="Hyperlink"/>
          </w:rPr>
          <w:t xml:space="preserve">24</w:t>
        </w:r>
      </w:hyperlink>
      <w:r>
        <w:t xml:space="preserve">]</w:t>
      </w:r>
      <w:r>
        <w:t xml:space="preserve">, OCFL</w:t>
      </w:r>
      <w:r>
        <w:t xml:space="preserve"> </w:t>
      </w:r>
      <w:r>
        <w:t xml:space="preserve">[</w:t>
      </w:r>
      <w:hyperlink w:anchor="ref-TivFlCqv">
        <w:r>
          <w:rPr>
            <w:rStyle w:val="Hyperlink"/>
          </w:rPr>
          <w:t xml:space="preserve">25</w:t>
        </w:r>
      </w:hyperlink>
      <w:r>
        <w:t xml:space="preserve">]</w:t>
      </w:r>
      <w:r>
        <w:t xml:space="preserve">, git or ZIP. The RO is described within a</w:t>
      </w:r>
      <w:r>
        <w:t xml:space="preserve"> </w:t>
      </w:r>
      <w:r>
        <w:rPr>
          <w:i/>
        </w:rPr>
        <w:t xml:space="preserve">RO-Crate Metadata File</w:t>
      </w:r>
      <w:r>
        <w:t xml:space="preserve">, providing identifiers for</w:t>
      </w:r>
      <w:r>
        <w:t xml:space="preserve"> </w:t>
      </w:r>
      <w:r>
        <w:rPr>
          <w:i/>
        </w:rPr>
        <w:t xml:space="preserve">authors</w:t>
      </w:r>
      <w:r>
        <w:t xml:space="preserve"> </w:t>
      </w:r>
      <w:r>
        <w:t xml:space="preserve">using ORCID,</w:t>
      </w:r>
      <w:r>
        <w:t xml:space="preserve"> </w:t>
      </w:r>
      <w:r>
        <w:rPr>
          <w:i/>
        </w:rPr>
        <w:t xml:space="preserve">organisations</w:t>
      </w:r>
      <w:r>
        <w:t xml:space="preserve"> </w:t>
      </w:r>
      <w:r>
        <w:t xml:space="preserve">using</w:t>
      </w:r>
      <w:r>
        <w:t xml:space="preserve"> </w:t>
      </w:r>
      <w:hyperlink r:id="rId92">
        <w:r>
          <w:rPr>
            <w:rStyle w:val="Hyperlink"/>
          </w:rPr>
          <w:t xml:space="preserve">ROR</w:t>
        </w:r>
      </w:hyperlink>
      <w:r>
        <w:t xml:space="preserve"> </w:t>
      </w:r>
      <w:r>
        <w:t xml:space="preserve">and licences such as Creative Commons using SPDX identifiers. The</w:t>
      </w:r>
      <w:r>
        <w:t xml:space="preserve"> </w:t>
      </w:r>
      <w:r>
        <w:rPr>
          <w:i/>
        </w:rPr>
        <w:t xml:space="preserve">RO-Crate content</w:t>
      </w:r>
      <w:r>
        <w:t xml:space="preserve"> </w:t>
      </w:r>
      <w:r>
        <w:t xml:space="preserve">is further described with additional metadata. Data can be embedded files and directories, as well as links to external web resources, PIDs and nested RO-Crates.</w:t>
      </w:r>
    </w:p>
    <w:bookmarkEnd w:id="0"/>
    <w:p>
      <w:pPr>
        <w:pStyle w:val="Heading3"/>
      </w:pPr>
      <w:bookmarkStart w:id="93" w:name="linked-data-as-a-foundation"/>
      <w:r>
        <w:t xml:space="preserve">Linked Data as a foundation</w:t>
      </w:r>
      <w:bookmarkEnd w:id="93"/>
    </w:p>
    <w:p>
      <w:pPr>
        <w:pStyle w:val="FirstParagraph"/>
      </w:pPr>
      <w:r>
        <w:t xml:space="preserve">The</w:t>
      </w:r>
      <w:r>
        <w:t xml:space="preserve"> </w:t>
      </w:r>
      <w:r>
        <w:rPr>
          <w:b/>
        </w:rPr>
        <w:t xml:space="preserve">Linked Data</w:t>
      </w:r>
      <w:r>
        <w:t xml:space="preserve"> </w:t>
      </w:r>
      <w:r>
        <w:t xml:space="preserve">principles</w:t>
      </w:r>
      <w:r>
        <w:t xml:space="preserve"> </w:t>
      </w:r>
      <w:r>
        <w:t xml:space="preserve">[</w:t>
      </w:r>
      <w:hyperlink w:anchor="ref-OsBEGq7D">
        <w:r>
          <w:rPr>
            <w:rStyle w:val="Hyperlink"/>
          </w:rPr>
          <w:t xml:space="preserve">26</w:t>
        </w:r>
      </w:hyperlink>
      <w:r>
        <w:t xml:space="preserve">]</w:t>
      </w:r>
      <w:r>
        <w:t xml:space="preserve"> </w:t>
      </w:r>
      <w:r>
        <w:t xml:space="preserve">(use of IRIs</w:t>
      </w:r>
      <w:r>
        <w:rPr>
          <w:rStyle w:val="FootnoteReference"/>
        </w:rPr>
        <w:footnoteReference w:id="94"/>
      </w:r>
      <w:r>
        <w:t xml:space="preserve"> </w:t>
      </w:r>
      <w:r>
        <w:t xml:space="preserve">to identify resources (i.e. artefacts), resolvable via HTTP, enriched with metadata and linked to each other) are core to RO-Crate; therefore IRIs are used to identify an RO-Crate, its constituent parts and metadata descriptions, and the properties and classes used in the metadata.</w:t>
      </w:r>
    </w:p>
    <w:p>
      <w:pPr>
        <w:pStyle w:val="BodyText"/>
      </w:pPr>
      <w:r>
        <w:t xml:space="preserve">RO-Crates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where possible; and relationships between two resources are defined with links.</w:t>
      </w:r>
    </w:p>
    <w:p>
      <w:pPr>
        <w:pStyle w:val="BodyText"/>
      </w:pPr>
      <w:r>
        <w:t xml:space="preserve">The foundation of Linked Data and shared vocabularies also means multiple RO-Crates and other Linked Data resources can be indexed, combined, queried or transformed using existing Semantic Web technologies such as</w:t>
      </w:r>
      <w:r>
        <w:t xml:space="preserve"> </w:t>
      </w:r>
      <w:hyperlink r:id="rId95">
        <w:r>
          <w:rPr>
            <w:rStyle w:val="Hyperlink"/>
          </w:rPr>
          <w:t xml:space="preserve">SPARQL</w:t>
        </w:r>
      </w:hyperlink>
      <w:r>
        <w:t xml:space="preserve"> </w:t>
      </w:r>
      <w:r>
        <w:t xml:space="preserve">and knowledge graph triple stores.</w:t>
      </w:r>
    </w:p>
    <w:p>
      <w:pPr>
        <w:pStyle w:val="BodyText"/>
      </w:pPr>
      <w:r>
        <w:t xml:space="preserve">Even though an RO-Crate is not required to be published on the Web, this use of mature web technologies means its developers and consumers are not restricted to the Research Object aspects that have already been specified by the RO-Crate community, but can extend and integrate in multiple standardized ways.</w:t>
      </w:r>
    </w:p>
    <w:p>
      <w:pPr>
        <w:pStyle w:val="Heading3"/>
      </w:pPr>
      <w:bookmarkStart w:id="96" w:name="ro-crate-is-a-self-described-container"/>
      <w:r>
        <w:t xml:space="preserve">RO-Crate is a self-described container</w:t>
      </w:r>
      <w:bookmarkEnd w:id="96"/>
    </w:p>
    <w:p>
      <w:pPr>
        <w:pStyle w:val="FirstParagraph"/>
      </w:pPr>
      <w:r>
        <w:t xml:space="preserve">An</w:t>
      </w:r>
      <w:r>
        <w:t xml:space="preserve"> </w:t>
      </w:r>
      <w:hyperlink r:id="rId97">
        <w:r>
          <w:rPr>
            <w:rStyle w:val="Hyperlink"/>
          </w:rPr>
          <w:t xml:space="preserve">RO-Crate is defined</w:t>
        </w:r>
      </w:hyperlink>
      <w:r>
        <w:t xml:space="preserve"> </w:t>
      </w:r>
      <w:r>
        <w:t xml:space="preserve">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A file does not need to be stored inside the RO-Crate root, it can be referenced via a PID/IRI. A</w:t>
      </w:r>
      <w:r>
        <w:t xml:space="preserve"> </w:t>
      </w:r>
      <w:r>
        <w:rPr>
          <w:b/>
        </w:rPr>
        <w:t xml:space="preserve">contextual entity</w:t>
      </w:r>
      <w:r>
        <w:t xml:space="preserve"> </w:t>
      </w:r>
      <w:r>
        <w:t xml:space="preserve">exists outside the information system (e.g. a Person, a workflow language) and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t>
      </w:r>
      <w:r>
        <w:rPr>
          <w:i/>
        </w:rPr>
        <w:t xml:space="preserve">RO Content</w:t>
      </w:r>
      <w:r>
        <w:t xml:space="preserve"> </w:t>
      </w:r>
      <w:r>
        <w:t xml:space="preserve">in</w:t>
      </w:r>
      <w:r>
        <w:t xml:space="preserve"> </w:t>
      </w:r>
      <w:hyperlink w:anchor="fig:conceptual">
        <w:r>
          <w:rPr>
            <w:rStyle w:val="Hyperlink"/>
          </w:rPr>
          <w:t xml:space="preserve">1</w:t>
        </w:r>
      </w:hyperlink>
      <w:r>
        <w:t xml:space="preserve">), while contextual entities mainly</w:t>
      </w:r>
      <w:r>
        <w:t xml:space="preserve"> </w:t>
      </w:r>
      <w:r>
        <w:rPr>
          <w:i/>
        </w:rPr>
        <w:t xml:space="preserve">explain</w:t>
      </w:r>
      <w:r>
        <w:t xml:space="preserve"> </w:t>
      </w:r>
      <w:r>
        <w:t xml:space="preserve">the RO-Crate, although this distinction is not a formal requirement.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(Figure</w:t>
      </w:r>
      <w:r>
        <w:t xml:space="preserve"> </w:t>
      </w:r>
      <w:r>
        <w:t xml:space="preserve"> </w:t>
      </w:r>
      <w:r>
        <w:t xml:space="preserve">top). This is a JSON-LD file that describes the RO-Crate, its content and related metadata using Linked Data. JSON-LD is a W3C standard RDF serialisation that has become popular as it is easy to read by humans while also offers some advantages for data exchange on the Internet. JSON-LD is the preferred and widely supported format by RO-Crate tools and community.</w:t>
      </w:r>
    </w:p>
    <w:p>
      <w:pPr>
        <w:pStyle w:val="BodyText"/>
      </w:pPr>
      <w:r>
        <w:t xml:space="preserve">The minimal</w:t>
      </w:r>
      <w:r>
        <w:t xml:space="preserve"> </w:t>
      </w:r>
      <w:hyperlink r:id="rId98">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to entities depending on the purpose of the particular RO-Crate.</w:t>
      </w:r>
    </w:p>
    <w:p>
      <w:pPr>
        <w:pStyle w:val="BodyText"/>
      </w:pPr>
      <w:r>
        <w:t xml:space="preserve">RO-Crate can be stored, transferred or published in multiple ways, e.g. BagIt</w:t>
      </w:r>
      <w:r>
        <w:t xml:space="preserve"> </w:t>
      </w:r>
      <w:r>
        <w:t xml:space="preserve">[</w:t>
      </w:r>
      <w:hyperlink w:anchor="ref-UQNJggmh">
        <w:r>
          <w:rPr>
            <w:rStyle w:val="Hyperlink"/>
          </w:rPr>
          <w:t xml:space="preserve">24</w:t>
        </w:r>
      </w:hyperlink>
      <w:r>
        <w:t xml:space="preserve">]</w:t>
      </w:r>
      <w:r>
        <w:t xml:space="preserve">, Oxford Common File Layout</w:t>
      </w:r>
      <w:r>
        <w:t xml:space="preserve"> </w:t>
      </w:r>
      <w:r>
        <w:t xml:space="preserve">[</w:t>
      </w:r>
      <w:hyperlink w:anchor="ref-TivFlCqv">
        <w:r>
          <w:rPr>
            <w:rStyle w:val="Hyperlink"/>
          </w:rPr>
          <w:t xml:space="preserve">25</w:t>
        </w:r>
      </w:hyperlink>
      <w:r>
        <w:t xml:space="preserve">]</w:t>
      </w:r>
      <w:r>
        <w:t xml:space="preserve"> </w:t>
      </w:r>
      <w:r>
        <w:t xml:space="preserve">(OCFL), downloadable ZIP archives in Zenodo or through dedicated online repositories, as well as published directly on the Web, e.g. using</w:t>
      </w:r>
      <w:r>
        <w:t xml:space="preserve"> </w:t>
      </w:r>
      <w:hyperlink r:id="rId99">
        <w:r>
          <w:rPr>
            <w:rStyle w:val="Hyperlink"/>
          </w:rPr>
          <w:t xml:space="preserve">GitHub Pages</w:t>
        </w:r>
      </w:hyperlink>
      <w:r>
        <w:t xml:space="preserve">.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 Specific</w:t>
      </w:r>
      <w:r>
        <w:t xml:space="preserve"> </w:t>
      </w:r>
      <w:hyperlink r:id="rId100">
        <w:r>
          <w:rPr>
            <w:rStyle w:val="Hyperlink"/>
          </w:rPr>
          <w:t xml:space="preserve">RO-Crate profiles</w:t>
        </w:r>
      </w:hyperlink>
      <w:r>
        <w:t xml:space="preserve"> </w:t>
      </w:r>
      <w:r>
        <w:t xml:space="preserve">may constrain serialization and publication expectations, and require additional contextual types and properties.</w:t>
      </w:r>
    </w:p>
    <w:p>
      <w:pPr>
        <w:pStyle w:val="Heading3"/>
      </w:pPr>
      <w:bookmarkStart w:id="101" w:name="X3e9cda4d5e028b736983e3e7c0deec1234a1235"/>
      <w:r>
        <w:t xml:space="preserve">Data Entities are described using Contextual Entities</w:t>
      </w:r>
      <w:bookmarkEnd w:id="101"/>
    </w:p>
    <w:p>
      <w:pPr>
        <w:pStyle w:val="FirstParagraph"/>
      </w:pPr>
      <w:r>
        <w:t xml:space="preserve">RO-Crate distinguishes between</w:t>
      </w:r>
      <w:r>
        <w:t xml:space="preserve"> </w:t>
      </w:r>
      <w:hyperlink r:id="rId102">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28</w:t>
        </w:r>
      </w:hyperlink>
      <w:r>
        <w:t xml:space="preserve">]</w:t>
      </w:r>
      <w:r>
        <w:t xml:space="preserve">. Data entities are usually files and directories located by relative IRI references within the RO-Crate Root, but they can also be Web resources or restricted data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it is also a web page and a way to refer to their academic work. It follows that an RO-Crate should include a contextual entity that describes that person.</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 While an RO-Crate would usually contain one or more data entities (</w:t>
      </w:r>
      <w:r>
        <w:rPr>
          <w:rStyle w:val="VerbatimChar"/>
        </w:rPr>
        <w:t xml:space="preserve">hasPart</w:t>
      </w:r>
      <w:r>
        <w:t xml:space="preserve">), it may also be a pure aggregation of contextual entities (</w:t>
      </w:r>
      <w:r>
        <w:rPr>
          <w:rStyle w:val="VerbatimChar"/>
        </w:rPr>
        <w:t xml:space="preserve">mentions</w:t>
      </w:r>
      <w:r>
        <w:t xml:space="preserve">).</w:t>
      </w:r>
    </w:p>
    <w:bookmarkStart w:id="0" w:name="fig:uml"/>
    <w:p>
      <w:pPr>
        <w:pStyle w:val="CaptionedFigure"/>
      </w:pPr>
      <w:bookmarkStart w:id="104" w:name="fig:uml"/>
      <w:r>
        <w:drawing>
          <wp:inline>
            <wp:extent cx="5905500" cy="2952750"/>
            <wp:effectExtent b="0" l="0" r="0" t="0"/>
            <wp:docPr descr="Figure 2: UML model view of RO-Crate. The RO-Crate Metadata File conforms to a version of the specification; and contains a JSON-LD graph that describes the entities that make up the RO-Crate. The RO-Crate Root Data Entity represent the Research Object as a dataset. The RO-Crate aggregates data entities (hasPart) which are further described using contextual entities (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describes) can be grouped under the root entity (mentions)." title="" id="1" name="Picture"/>
            <a:graphic>
              <a:graphicData uri="http://schemas.openxmlformats.org/drawingml/2006/picture">
                <pic:pic>
                  <pic:nvPicPr>
                    <pic:cNvPr descr="images/ro-crate-uml.svg" id="0" name="Picture"/>
                    <pic:cNvPicPr>
                      <a:picLocks noChangeArrowheads="1" noChangeAspect="1"/>
                    </pic:cNvPicPr>
                  </pic:nvPicPr>
                  <pic:blipFill>
                    <a:blip r:embed="rId103"/>
                    <a:stretch>
                      <a:fillRect/>
                    </a:stretch>
                  </pic:blipFill>
                  <pic:spPr bwMode="auto">
                    <a:xfrm>
                      <a:off x="0" y="0"/>
                      <a:ext cx="5905500" cy="2952750"/>
                    </a:xfrm>
                    <a:prstGeom prst="rect">
                      <a:avLst/>
                    </a:prstGeom>
                    <a:noFill/>
                    <a:ln w="9525">
                      <a:noFill/>
                      <a:headEnd/>
                      <a:tailEnd/>
                    </a:ln>
                  </pic:spPr>
                </pic:pic>
              </a:graphicData>
            </a:graphic>
          </wp:inline>
        </w:drawing>
      </w:r>
      <w:bookmarkEnd w:id="104"/>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and contains a JSON-LD graph that describes the entities that make up the RO-Crate. The</w:t>
      </w:r>
      <w:r>
        <w:t xml:space="preserve"> </w:t>
      </w:r>
      <w:r>
        <w:rPr>
          <w:i/>
        </w:rPr>
        <w:t xml:space="preserve">RO-Crate Root Data Entity</w:t>
      </w:r>
      <w:r>
        <w:t xml:space="preserve"> </w:t>
      </w:r>
      <w:r>
        <w:t xml:space="preserve">represent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w:t>
      </w:r>
      <w:r>
        <w:t xml:space="preserve">(which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w:t>
      </w:r>
      <w:r>
        <w:rPr>
          <w:i/>
        </w:rPr>
        <w:t xml:space="preserve">describes</w:t>
      </w:r>
      <w:r>
        <w:t xml:space="preserve">) can be grouped under the root entity (</w:t>
      </w:r>
      <w:r>
        <w:rPr>
          <w:rStyle w:val="VerbatimChar"/>
        </w:rPr>
        <w:t xml:space="preserve">mentions</w:t>
      </w:r>
      <w:r>
        <w:t xml:space="preserve">).</w:t>
      </w:r>
    </w:p>
    <w:bookmarkEnd w:id="0"/>
    <w:p>
      <w:pPr>
        <w:pStyle w:val="Heading3"/>
      </w:pPr>
      <w:bookmarkStart w:id="105" w:name="guide-through-recommended-practices"/>
      <w:r>
        <w:t xml:space="preserve">Guide through Recommended Practices</w:t>
      </w:r>
      <w:bookmarkEnd w:id="105"/>
    </w:p>
    <w:p>
      <w:pPr>
        <w:pStyle w:val="FirstParagraph"/>
      </w:pPr>
      <w:r>
        <w:t xml:space="preserve">RO-Crate as a specification aims to build a set of recommended practices on how to practically apply existing standards in a common way to describe research outputs and their provenance, without having to learn each of the underlying technologies in detail.</w:t>
      </w:r>
    </w:p>
    <w:p>
      <w:pPr>
        <w:pStyle w:val="BodyText"/>
      </w:pPr>
      <w:r>
        <w:t xml:space="preserve">As such, the</w:t>
      </w:r>
      <w:r>
        <w:t xml:space="preserve"> </w:t>
      </w:r>
      <w:hyperlink r:id="rId106">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29</w:t>
        </w:r>
      </w:hyperlink>
      <w:r>
        <w:t xml:space="preserve">]</w:t>
      </w:r>
      <w:r>
        <w:t xml:space="preserve"> </w:t>
      </w:r>
      <w:r>
        <w:t xml:space="preserve">can be seen as an opinionated and example-driven guide to writing</w:t>
      </w:r>
      <w:r>
        <w:t xml:space="preserve"> </w:t>
      </w:r>
      <w:hyperlink r:id="rId107">
        <w:r>
          <w:rPr>
            <w:rStyle w:val="Hyperlink"/>
          </w:rPr>
          <w:t xml:space="preserve">Schema.org</w:t>
        </w:r>
      </w:hyperlink>
      <w:r>
        <w:t xml:space="preserve"> </w:t>
      </w:r>
      <w:r>
        <w:t xml:space="preserve">[</w:t>
      </w:r>
      <w:hyperlink w:anchor="ref-vC6te3yd">
        <w:r>
          <w:rPr>
            <w:rStyle w:val="Hyperlink"/>
          </w:rPr>
          <w:t xml:space="preserve">30</w:t>
        </w:r>
      </w:hyperlink>
      <w:r>
        <w:t xml:space="preserve">]</w:t>
      </w:r>
      <w:r>
        <w:t xml:space="preserve">) metadata as JSON-LD</w:t>
      </w:r>
      <w:r>
        <w:t xml:space="preserve"> </w:t>
      </w:r>
      <w:r>
        <w:t xml:space="preserve">[</w:t>
      </w:r>
      <w:hyperlink w:anchor="ref-17q6tYFV2">
        <w:r>
          <w:rPr>
            <w:rStyle w:val="Hyperlink"/>
          </w:rPr>
          <w:t xml:space="preserve">31</w:t>
        </w:r>
      </w:hyperlink>
      <w:r>
        <w:t xml:space="preserve">]</w:t>
      </w:r>
      <w:r>
        <w:t xml:space="preserve">, which leaves it open for implementers to include additional metadata using other Schema.org types and properties, or even additional Linked Data vocabularies/ontologies or their own ad-hoc terms.</w:t>
      </w:r>
    </w:p>
    <w:p>
      <w:pPr>
        <w:pStyle w:val="BodyText"/>
      </w:pPr>
      <w:r>
        <w:t xml:space="preserve">However the primary purpose of the RO-Crate specification is to assist developers in leveraging Linked Data principles for the focused purpose of describing Research Objects in a structured language, while reducing the steep learning curve otherwise involved in Semantic Web adaptation, like ontology development and selection, identifiers, namespaces, and RDF serialization choices.</w:t>
      </w:r>
    </w:p>
    <w:p>
      <w:pPr>
        <w:pStyle w:val="Heading3"/>
      </w:pPr>
      <w:bookmarkStart w:id="108" w:name="ensuring-simplicity"/>
      <w:r>
        <w:t xml:space="preserve">Ensuring Simplicity</w:t>
      </w:r>
      <w:bookmarkEnd w:id="108"/>
    </w:p>
    <w:p>
      <w:pPr>
        <w:pStyle w:val="FirstParagraph"/>
      </w:pPr>
      <w:r>
        <w:t xml:space="preserve">One aim of RO-Crate is to be conceptually simple. This simplicity has been repeatedly checked and confirmed through an informal community review process. For instance, in the discussion on supporting</w:t>
      </w:r>
      <w:r>
        <w:t xml:space="preserve"> </w:t>
      </w:r>
      <w:hyperlink r:id="rId109">
        <w:r>
          <w:rPr>
            <w:rStyle w:val="Hyperlink"/>
          </w:rPr>
          <w:t xml:space="preserve">ad-hoc vocabularies</w:t>
        </w:r>
      </w:hyperlink>
      <w:r>
        <w:t xml:space="preserve"> </w:t>
      </w:r>
      <w:r>
        <w:t xml:space="preserve">in RO-Crate, the community explored potential Linked Data solutions. The conventional wisdom in</w:t>
      </w:r>
      <w:r>
        <w:t xml:space="preserve"> </w:t>
      </w:r>
      <w:hyperlink r:id="rId110">
        <w:r>
          <w:rPr>
            <w:rStyle w:val="Hyperlink"/>
          </w:rPr>
          <w:t xml:space="preserve">RDF best practice</w:t>
        </w:r>
      </w:hyperlink>
      <w:r>
        <w:t xml:space="preserve"> </w:t>
      </w:r>
      <w:r>
        <w:t xml:space="preserve">is to establish a vocabulary with a new URI namespace, formalised using</w:t>
      </w:r>
      <w:r>
        <w:t xml:space="preserve"> </w:t>
      </w:r>
      <w:hyperlink r:id="rId111">
        <w:r>
          <w:rPr>
            <w:rStyle w:val="Hyperlink"/>
          </w:rPr>
          <w:t xml:space="preserve">RDF Schema</w:t>
        </w:r>
      </w:hyperlink>
      <w:r>
        <w:t xml:space="preserve"> </w:t>
      </w:r>
      <w:r>
        <w:t xml:space="preserve">or</w:t>
      </w:r>
      <w:r>
        <w:t xml:space="preserve"> </w:t>
      </w:r>
      <w:hyperlink r:id="rId112">
        <w:r>
          <w:rPr>
            <w:rStyle w:val="Hyperlink"/>
          </w:rPr>
          <w:t xml:space="preserve">OWL</w:t>
        </w:r>
      </w:hyperlink>
      <w:r>
        <w:t xml:space="preserve"> </w:t>
      </w:r>
      <w:r>
        <w:t xml:space="preserve">ontologies.</w:t>
      </w:r>
      <w:r>
        <w:t xml:space="preserve"> </w:t>
      </w:r>
      <w:r>
        <w:t xml:space="preserve">However, this may seem excessive learning curve for non-experts in semantic knowledge representation, and the RO-Crate community instead agreed on a dual lightweight approach: (ⅰ)</w:t>
      </w:r>
      <w:r>
        <w:t xml:space="preserve"> </w:t>
      </w:r>
      <w:hyperlink r:id="rId113">
        <w:r>
          <w:rPr>
            <w:rStyle w:val="Hyperlink"/>
          </w:rPr>
          <w:t xml:space="preserve">Document</w:t>
        </w:r>
      </w:hyperlink>
      <w:r>
        <w:t xml:space="preserve"> </w:t>
      </w:r>
      <w:r>
        <w:t xml:space="preserve">how projects with their own web-presence can make a pure HTML-based vocabulary, and (ⅱ) provide a community-wide PID namespace under</w:t>
      </w:r>
      <w:r>
        <w:t xml:space="preserve"> </w:t>
      </w:r>
      <w:hyperlink r:id="rId114">
        <w:r>
          <w:rPr>
            <w:rStyle w:val="Hyperlink"/>
          </w:rPr>
          <w:t xml:space="preserve">https://w3id.org/ro/terms/</w:t>
        </w:r>
      </w:hyperlink>
      <w:r>
        <w:t xml:space="preserve"> </w:t>
      </w:r>
      <w:r>
        <w:t xml:space="preserve">that redirect to simple CSV files</w:t>
      </w:r>
      <w:r>
        <w:t xml:space="preserve"> </w:t>
      </w:r>
      <w:hyperlink r:id="rId115">
        <w:r>
          <w:rPr>
            <w:rStyle w:val="Hyperlink"/>
          </w:rPr>
          <w:t xml:space="preserve">maintained in GitHub</w:t>
        </w:r>
      </w:hyperlink>
      <w:r>
        <w:t xml:space="preserve">.</w:t>
      </w:r>
    </w:p>
    <w:p>
      <w:pPr>
        <w:pStyle w:val="BodyText"/>
      </w:pPr>
      <w:r>
        <w:t xml:space="preserve">To further verify this idea, we have formalised the RO-Crate definition (see</w:t>
      </w:r>
      <w:r>
        <w:t xml:space="preserve"> </w:t>
      </w:r>
      <w:r>
        <w:rPr>
          <w:i/>
        </w:rPr>
        <w:t xml:space="preserve">Appendix A</w:t>
      </w:r>
      <w:r>
        <w:t xml:space="preserve">). An important result of this exercise is that the underlying data structure of RO-Crate, although conceptually a graph, is represented as a depth-limited tree. This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 It is worth pointing out that this semantic containment can extend beyond the physical containment of files residing within the RO-Crate Root directory on a given storage system, as the RO-Crate data entities may include any data resource globally identifiable using IRIs.</w:t>
      </w:r>
    </w:p>
    <w:p>
      <w:pPr>
        <w:pStyle w:val="Heading3"/>
      </w:pPr>
      <w:bookmarkStart w:id="116" w:name="extensibility-and-ro-crate-profiles"/>
      <w:r>
        <w:t xml:space="preserve">Extensibility and RO-Crate profiles</w:t>
      </w:r>
      <w:bookmarkEnd w:id="116"/>
    </w:p>
    <w:p>
      <w:pPr>
        <w:pStyle w:val="FirstParagraph"/>
      </w:pPr>
      <w:r>
        <w:t xml:space="preserve">The RO-Crate specification provides a core set of conventions to describe research outputs using types and properties applicable across scientific domains. However we have found that domain-specific use of RO-Crate will, implicitly or explicitly, form a specialized</w:t>
      </w:r>
      <w:r>
        <w:t xml:space="preserve"> </w:t>
      </w:r>
      <w:r>
        <w:rPr>
          <w:b/>
        </w:rPr>
        <w:t xml:space="preserve">profile</w:t>
      </w:r>
      <w:r>
        <w:t xml:space="preserve"> </w:t>
      </w:r>
      <w:r>
        <w:t xml:space="preserve">of RO-Crate;</w:t>
      </w:r>
      <w:r>
        <w:t xml:space="preserve"> </w:t>
      </w:r>
      <w:r>
        <w:rPr>
          <w:i/>
        </w:rPr>
        <w:t xml:space="preserve">a set of conventions, types and properties that one minimally can require and expect to be present in that subset of RO-Crates</w:t>
      </w:r>
      <w:r>
        <w:t xml:space="preserve">. For instance, RO-Crates used for exchange of workflows will have to contain a data entity of type</w:t>
      </w:r>
      <w:r>
        <w:t xml:space="preserve"> </w:t>
      </w:r>
      <w:r>
        <w:rPr>
          <w:rStyle w:val="VerbatimChar"/>
        </w:rPr>
        <w:t xml:space="preserve">ComputationalWorkflow</w:t>
      </w:r>
      <w:r>
        <w:t xml:space="preserve">, or cultural heritage records should have a</w:t>
      </w:r>
      <w:r>
        <w:t xml:space="preserve"> </w:t>
      </w:r>
      <w:r>
        <w:rPr>
          <w:rStyle w:val="VerbatimChar"/>
        </w:rPr>
        <w:t xml:space="preserve">contentLocation</w:t>
      </w:r>
      <w:r>
        <w:t xml:space="preserve">.</w:t>
      </w:r>
    </w:p>
    <w:p>
      <w:pPr>
        <w:pStyle w:val="BodyText"/>
      </w:pPr>
      <w:r>
        <w:t xml:space="preserve">These profiles allow further reliable programmatic consumption and generation of RO-Crates,</w:t>
      </w:r>
      <w:r>
        <w:t xml:space="preserve"> </w:t>
      </w:r>
      <w:r>
        <w:t xml:space="preserve">Following the RO-Crate mantra of guidance over strictness, profiles are mainly</w:t>
      </w:r>
      <w:r>
        <w:t xml:space="preserve"> </w:t>
      </w:r>
      <w:r>
        <w:rPr>
          <w:i/>
        </w:rPr>
        <w:t xml:space="preserve">duck-typing</w:t>
      </w:r>
      <w:r>
        <w:t xml:space="preserve"> </w:t>
      </w:r>
      <w:r>
        <w:t xml:space="preserve">rather than strict semantic types, but may also have corresponding machine-readable schemas at multiple levels (file formats, JSON, RDF shapes, RDFS/OWL semantics).</w:t>
      </w:r>
    </w:p>
    <w:p>
      <w:pPr>
        <w:pStyle w:val="BodyText"/>
      </w:pPr>
      <w:r>
        <w:t xml:space="preserve">The next version of the RO-Crate specification 1.2 will define a</w:t>
      </w:r>
      <w:r>
        <w:t xml:space="preserve"> </w:t>
      </w:r>
      <w:hyperlink r:id="rId117">
        <w:r>
          <w:rPr>
            <w:rStyle w:val="Hyperlink"/>
          </w:rPr>
          <w:t xml:space="preserve">formalization</w:t>
        </w:r>
      </w:hyperlink>
      <w:r>
        <w:t xml:space="preserve"> </w:t>
      </w:r>
      <w:r>
        <w:t xml:space="preserve">for publishing and declaring conformance to RO-Crate profiles, and optionally define a machine-readable profile as a</w:t>
      </w:r>
      <w:r>
        <w:t xml:space="preserve"> </w:t>
      </w:r>
      <w:r>
        <w:rPr>
          <w:i/>
        </w:rPr>
        <w:t xml:space="preserve">Profile Crate</w:t>
      </w:r>
      <w:r>
        <w:t xml:space="preserve"> </w:t>
      </w:r>
      <w:r>
        <w:t xml:space="preserve">— another RO-Crate that describe the profile and in addition can list schemas for validation, compatible software, accepting repositories, serialization/packaging formats, extension vocabularies, custom JSON-LD contexts and examples. (See for example the</w:t>
      </w:r>
      <w:r>
        <w:t xml:space="preserve"> </w:t>
      </w:r>
      <w:hyperlink r:id="rId118">
        <w:r>
          <w:rPr>
            <w:rStyle w:val="Hyperlink"/>
          </w:rPr>
          <w:t xml:space="preserve">Workflow RO-Crate profile</w:t>
        </w:r>
      </w:hyperlink>
      <w:r>
        <w:t xml:space="preserve">)</w:t>
      </w:r>
    </w:p>
    <w:p>
      <w:pPr>
        <w:pStyle w:val="BodyText"/>
      </w:pPr>
      <w:r>
        <w:t xml:space="preserve">In addition, there are sometimes existing domain-specific metadata formats already exist, but they are either not RDF-based (and thus challenging to add terms for in JSON-LD) or are at a different granularity level that might become overwhelming if represented directly in the RO-Crate Metadata file (e.g. W3C PROV bundle detailing a workflow run</w:t>
      </w:r>
      <w:r>
        <w:t xml:space="preserve"> </w:t>
      </w:r>
      <w:r>
        <w:t xml:space="preserve">[</w:t>
      </w:r>
      <w:hyperlink w:anchor="ref-4Pd3RTmI">
        <w:r>
          <w:rPr>
            <w:rStyle w:val="Hyperlink"/>
          </w:rPr>
          <w:t xml:space="preserve">32</w:t>
        </w:r>
      </w:hyperlink>
      <w:r>
        <w:t xml:space="preserve">]</w:t>
      </w:r>
      <w:r>
        <w:t xml:space="preserve">). RO-Crate allow such alternative metadata files to co-exist, and be described as data entities with references to the standards and vocabularies they conform to, enabling their programmatic consumption even where no filename or file extension conventions have emerged for those metadata formats.</w:t>
      </w:r>
    </w:p>
    <w:p>
      <w:pPr>
        <w:pStyle w:val="BodyText"/>
      </w:pPr>
      <w:r>
        <w:t xml:space="preserve">Section 4</w:t>
      </w:r>
      <w:r>
        <w:t xml:space="preserve"> </w:t>
      </w:r>
      <w:r>
        <w:rPr>
          <w:i/>
        </w:rPr>
        <w:t xml:space="preserve">Profiles of RO-Crate in use</w:t>
      </w:r>
      <w:r>
        <w:t xml:space="preserve"> </w:t>
      </w:r>
      <w:r>
        <w:t xml:space="preserve">examines the observed specialization of RO-Crate use in several domains and their emerging profiles.</w:t>
      </w:r>
    </w:p>
    <w:p>
      <w:pPr>
        <w:pStyle w:val="Heading2"/>
      </w:pPr>
      <w:bookmarkStart w:id="119" w:name="Xf0d2be6b56dcb07ab3cac26cf038bcf0131b672"/>
      <w:r>
        <w:t xml:space="preserve">Technical implementation of the RO-Crate model</w:t>
      </w:r>
      <w:bookmarkEnd w:id="119"/>
    </w:p>
    <w:p>
      <w:pPr>
        <w:pStyle w:val="FirstParagraph"/>
      </w:pPr>
      <w:r>
        <w:t xml:space="preserve">The RO-Crate conceptual model has been realised using JSON-LD and Schema.org in a prescriptive form as discussed in the previous sections. These technical choices were made to caters for simplicity.</w:t>
      </w:r>
    </w:p>
    <w:p>
      <w:pPr>
        <w:pStyle w:val="BodyText"/>
      </w:pPr>
      <w:hyperlink r:id="rId120">
        <w:r>
          <w:rPr>
            <w:rStyle w:val="Hyperlink"/>
          </w:rPr>
          <w:t xml:space="preserve">JSON-LD</w:t>
        </w:r>
      </w:hyperlink>
      <w:r>
        <w:t xml:space="preserve"> </w:t>
      </w:r>
      <w:r>
        <w:t xml:space="preserve">[</w:t>
      </w:r>
      <w:hyperlink w:anchor="ref-17q6tYFV2">
        <w:r>
          <w:rPr>
            <w:rStyle w:val="Hyperlink"/>
          </w:rPr>
          <w:t xml:space="preserve">31</w:t>
        </w:r>
      </w:hyperlink>
      <w:r>
        <w:t xml:space="preserve">]</w:t>
      </w:r>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as it follows a JSON structure, nowadays a common and popular format for data exchange on the Web.</w:t>
      </w:r>
    </w:p>
    <w:p>
      <w:pPr>
        <w:pStyle w:val="BodyText"/>
      </w:pPr>
      <w:r>
        <w:t xml:space="preserve">However, JSON-LD alone has too many degrees of freedom and hidden complexities for software developers to reliably produce and consume without specialised expertise or large RDF software frameworks. A large part of the RO-Crate specification is therefore dedicated to describing JSON structures.</w:t>
      </w:r>
    </w:p>
    <w:p>
      <w:pPr>
        <w:pStyle w:val="Heading3"/>
      </w:pPr>
      <w:bookmarkStart w:id="121" w:name="ro-crate-json-ld"/>
      <w:r>
        <w:t xml:space="preserve">RO-Crate JSON-LD</w:t>
      </w:r>
      <w:bookmarkEnd w:id="121"/>
    </w:p>
    <w:p>
      <w:pPr>
        <w:pStyle w:val="FirstParagraph"/>
      </w:pPr>
      <w:r>
        <w:t xml:space="preserve">RO-Crate mandates the use of</w:t>
      </w:r>
      <w:r>
        <w:t xml:space="preserve"> </w:t>
      </w:r>
      <w:hyperlink r:id="rId122">
        <w:r>
          <w:rPr>
            <w:rStyle w:val="Hyperlink"/>
          </w:rPr>
          <w:t xml:space="preserve">flattened, compacted JSON-LD</w:t>
        </w:r>
      </w:hyperlink>
      <w:r>
        <w:t xml:space="preserve"> </w:t>
      </w:r>
      <w:r>
        <w:t xml:space="preserve">in the RO-Crate Metadata file</w:t>
      </w:r>
      <w:r>
        <w:t xml:space="preserve"> </w:t>
      </w:r>
      <w:r>
        <w:rPr>
          <w:rStyle w:val="VerbatimChar"/>
        </w:rPr>
        <w:t xml:space="preserve">ro-crate-metadata.json</w:t>
      </w:r>
      <w:r>
        <w:rPr>
          <w:rStyle w:val="FootnoteReference"/>
        </w:rPr>
        <w:footnoteReference w:id="123"/>
      </w:r>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in listing 1 below, describing a simple RO-Crate containing data entities described using contextual entities:</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"https://w3id.org/ro/crate/1.1"</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 simplified RO-Crate"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"File"</w:t>
      </w:r>
      <w:r>
        <w:rPr>
          <w:rStyle w:val="OtherTok"/>
        </w:rPr>
        <w:t xml:space="preserve">,</w:t>
      </w:r>
      <w:r>
        <w:rPr>
          <w:rStyle w:val="NormalTok"/>
        </w:rPr>
        <w:t xml:space="preserve"> </w:t>
      </w:r>
      <w:r>
        <w:rPr>
          <w:rStyle w:val="StringTok"/>
        </w:rPr>
        <w:t xml:space="preserve">"ImageObject"</w:t>
      </w:r>
      <w:r>
        <w:rPr>
          <w:rStyle w:val="OtherTok"/>
        </w:rPr>
        <w:t xml:space="preserve">]</w:t>
      </w:r>
      <w:r>
        <w:rPr>
          <w:rStyle w:val="FunctionTok"/>
        </w:rPr>
        <w:t xml:space="preserve">,</w:t>
      </w:r>
      <w:r>
        <w:br/>
      </w:r>
      <w:r>
        <w:rPr>
          <w:rStyle w:val="NormalTok"/>
        </w:rPr>
        <w:t xml:space="preserve">      </w:t>
      </w:r>
      <w:r>
        <w:rPr>
          <w:rStyle w:val="DataTypeTok"/>
        </w:rPr>
        <w:t xml:space="preserve">"contentLocation"</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"Josiah Carberry"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"Creative Commons Attribution 4.0"</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b/>
          <w:i/>
        </w:rPr>
        <w:t xml:space="preserve">Listing 1</w:t>
      </w:r>
      <w:r>
        <w:rPr>
          <w:i/>
        </w:rPr>
        <w:t xml:space="preserve">: Simplified</w:t>
      </w:r>
      <w:r>
        <w:rPr>
          <w:rStyle w:val="FootnoteReference"/>
        </w:rPr>
        <w:footnoteReference w:id="124"/>
      </w:r>
      <w:r>
        <w:rPr>
          <w:i/>
        </w:rPr>
        <w:t xml:space="preserve"> </w:t>
      </w:r>
      <w:r>
        <w:rPr>
          <w:i/>
        </w:rPr>
        <w:t xml:space="preserve">RO-Crate metadata file showing the flattened compacted JSON-LD</w:t>
      </w:r>
      <w:r>
        <w:rPr>
          <w:i/>
        </w:rPr>
        <w:t xml:space="preserve"> </w:t>
      </w:r>
      <w:r>
        <w:rPr>
          <w:rStyle w:val="VerbatimChar"/>
          <w:i/>
        </w:rPr>
        <w:t xml:space="preserve">@graph</w:t>
      </w:r>
      <w:r>
        <w:rPr>
          <w:i/>
        </w:rPr>
        <w:t xml:space="preserve"> </w:t>
      </w:r>
      <w:r>
        <w:rPr>
          <w:i/>
        </w:rPr>
        <w:t xml:space="preserve">array containing the data entities and contextual entities, cross-referenced using</w:t>
      </w:r>
      <w:r>
        <w:rPr>
          <w:i/>
        </w:rPr>
        <w:t xml:space="preserve"> </w:t>
      </w:r>
      <w:r>
        <w:rPr>
          <w:rStyle w:val="VerbatimChar"/>
          <w:i/>
        </w:rPr>
        <w:t xml:space="preserve">@id</w:t>
      </w:r>
      <w:r>
        <w:rPr>
          <w:i/>
        </w:rPr>
        <w:t xml:space="preserve">. The</w:t>
      </w:r>
      <w:r>
        <w:rPr>
          <w:i/>
        </w:rPr>
        <w:t xml:space="preserve"> </w:t>
      </w:r>
      <w:r>
        <w:rPr>
          <w:rStyle w:val="VerbatimChar"/>
          <w:i/>
        </w:rPr>
        <w:t xml:space="preserve">ro-crate-metadata.json</w:t>
      </w:r>
      <w:r>
        <w:rPr>
          <w:i/>
        </w:rPr>
        <w:t xml:space="preserve"> </w:t>
      </w:r>
      <w:r>
        <w:rPr>
          <w:i/>
        </w:rPr>
        <w:t xml:space="preserve">entity declares conformance with the RO-Crate specification using a versioned persistent identifier, further RO-Crate descriptions are on the root data entity</w:t>
      </w:r>
      <w:r>
        <w:rPr>
          <w:i/>
        </w:rPr>
        <w:t xml:space="preserve"> </w:t>
      </w:r>
      <w:r>
        <w:rPr>
          <w:rStyle w:val="VerbatimChar"/>
          <w:i/>
        </w:rPr>
        <w:t xml:space="preserve">./</w:t>
      </w:r>
      <w:r>
        <w:rPr>
          <w:i/>
        </w:rPr>
        <w:t xml:space="preserve"> </w:t>
      </w:r>
      <w:r>
        <w:rPr>
          <w:i/>
        </w:rPr>
        <w:t xml:space="preserve">or any of the referenced data or contextual entities, as exemplified by the data entity</w:t>
      </w:r>
      <w:r>
        <w:rPr>
          <w:i/>
        </w:rPr>
        <w:t xml:space="preserve"> </w:t>
      </w:r>
      <w:r>
        <w:rPr>
          <w:rStyle w:val="VerbatimChar"/>
          <w:i/>
        </w:rPr>
        <w:t xml:space="preserve">ImageObject</w:t>
      </w:r>
      <w:r>
        <w:rPr>
          <w:i/>
        </w:rPr>
        <w:t xml:space="preserve"> </w:t>
      </w:r>
      <w:r>
        <w:rPr>
          <w:i/>
        </w:rPr>
        <w:t xml:space="preserve">referencing contextual entities for</w:t>
      </w:r>
      <w:r>
        <w:rPr>
          <w:i/>
        </w:rPr>
        <w:t xml:space="preserve"> </w:t>
      </w:r>
      <w:r>
        <w:rPr>
          <w:rStyle w:val="VerbatimChar"/>
          <w:i/>
        </w:rPr>
        <w:t xml:space="preserve">contentLocation</w:t>
      </w:r>
      <w:r>
        <w:rPr>
          <w:i/>
        </w:rPr>
        <w:t xml:space="preserve"> </w:t>
      </w:r>
      <w:r>
        <w:rPr>
          <w:i/>
        </w:rPr>
        <w:t xml:space="preserve">and</w:t>
      </w:r>
      <w:r>
        <w:rPr>
          <w:i/>
        </w:rPr>
        <w:t xml:space="preserve"> </w:t>
      </w:r>
      <w:r>
        <w:rPr>
          <w:rStyle w:val="VerbatimChar"/>
          <w:i/>
        </w:rPr>
        <w:t xml:space="preserve">author</w:t>
      </w:r>
      <w:r>
        <w:rPr>
          <w:i/>
        </w:rPr>
        <w:t xml:space="preserve"> </w:t>
      </w:r>
      <w:r>
        <w:rPr>
          <w:i/>
        </w:rPr>
        <w:t xml:space="preserve">that differs from that of the overall RO-Crate. In this example</w:t>
      </w:r>
      <w:r>
        <w:rPr>
          <w:i/>
        </w:rPr>
        <w:t xml:space="preserve"> </w:t>
      </w:r>
      <w:r>
        <w:rPr>
          <w:rStyle w:val="VerbatimChar"/>
          <w:i/>
        </w:rPr>
        <w:t xml:space="preserve">about</w:t>
      </w:r>
      <w:r>
        <w:rPr>
          <w:i/>
        </w:rPr>
        <w:t xml:space="preserve"> </w:t>
      </w:r>
      <w:r>
        <w:rPr>
          <w:i/>
        </w:rPr>
        <w:t xml:space="preserve">of the CSV data entity reference the</w:t>
      </w:r>
      <w:r>
        <w:rPr>
          <w:i/>
        </w:rPr>
        <w:t xml:space="preserve"> </w:t>
      </w:r>
      <w:r>
        <w:rPr>
          <w:rStyle w:val="VerbatimChar"/>
          <w:i/>
        </w:rPr>
        <w:t xml:space="preserve">ImageObject</w:t>
      </w:r>
      <w:r>
        <w:rPr>
          <w:i/>
        </w:rPr>
        <w:t xml:space="preserve">, which then take the roles of both a data entity and contextual entity. While</w:t>
      </w:r>
      <w:r>
        <w:rPr>
          <w:i/>
        </w:rPr>
        <w:t xml:space="preserve"> </w:t>
      </w:r>
      <w:r>
        <w:rPr>
          <w:rStyle w:val="VerbatimChar"/>
          <w:i/>
        </w:rPr>
        <w:t xml:space="preserve">Person</w:t>
      </w:r>
      <w:r>
        <w:rPr>
          <w:i/>
        </w:rPr>
        <w:t xml:space="preserve"> </w:t>
      </w:r>
      <w:r>
        <w:rPr>
          <w:i/>
        </w:rPr>
        <w:t xml:space="preserve">entities ideally are identified with ORCID PIDs as for Josiah, in contrast</w:t>
      </w:r>
      <w:r>
        <w:rPr>
          <w:i/>
        </w:rPr>
        <w:t xml:space="preserve"> </w:t>
      </w:r>
      <w:r>
        <w:rPr>
          <w:rStyle w:val="VerbatimChar"/>
          <w:i/>
        </w:rPr>
        <w:t xml:space="preserve">#alice</w:t>
      </w:r>
      <w:r>
        <w:rPr>
          <w:i/>
        </w:rPr>
        <w:t xml:space="preserve"> </w:t>
      </w:r>
      <w:r>
        <w:rPr>
          <w:i/>
        </w:rPr>
        <w:t xml:space="preserve">is here an RO-Crate local identifier, highlighting the pragmatic</w:t>
      </w:r>
      <w:r>
        <w:rPr>
          <w:i/>
        </w:rPr>
        <w:t xml:space="preserve"> </w:t>
      </w:r>
      <w:r>
        <w:rPr>
          <w:i/>
        </w:rPr>
        <w:t xml:space="preserve">“</w:t>
      </w:r>
      <w:r>
        <w:rPr>
          <w:i/>
        </w:rPr>
        <w:t xml:space="preserve">just enough</w:t>
      </w:r>
      <w:r>
        <w:rPr>
          <w:i/>
        </w:rPr>
        <w:t xml:space="preserve">”</w:t>
      </w:r>
      <w:r>
        <w:rPr>
          <w:i/>
        </w:rPr>
        <w:t xml:space="preserve"> </w:t>
      </w:r>
      <w:r>
        <w:rPr>
          <w:i/>
        </w:rPr>
        <w:t xml:space="preserve">Linked Data approach</w:t>
      </w:r>
      <w:r>
        <w:t xml:space="preserve">.</w:t>
      </w:r>
    </w:p>
    <w:p>
      <w:pPr>
        <w:pStyle w:val="BodyText"/>
      </w:pPr>
      <w:r>
        <w:t xml:space="preserve">In this flattened profile of JSON-LD, each</w:t>
      </w:r>
      <w:r>
        <w:t xml:space="preserve"> </w:t>
      </w:r>
      <w:r>
        <w:rPr>
          <w:rStyle w:val="VerbatimChar"/>
        </w:rPr>
        <w:t xml:space="preserve">{entity}</w:t>
      </w:r>
      <w:r>
        <w:t xml:space="preserve"> </w:t>
      </w:r>
      <w:r>
        <w:t xml:space="preserve">under</w:t>
      </w:r>
      <w:r>
        <w:t xml:space="preserve"> </w:t>
      </w:r>
      <w:r>
        <w:rPr>
          <w:rStyle w:val="VerbatimChar"/>
        </w:rPr>
        <w:t xml:space="preserve">@graph</w:t>
      </w:r>
      <w:r>
        <w:t xml:space="preserve"> </w:t>
      </w:r>
      <w:r>
        <w:t xml:space="preserve">represents the RDF triples with a common subject (</w:t>
      </w:r>
      <w:r>
        <w:rPr>
          <w:rStyle w:val="VerbatimChar"/>
        </w:rPr>
        <w:t xml:space="preserve">@id</w:t>
      </w:r>
      <w:r>
        <w:t xml:space="preserve">), mapped properties like</w:t>
      </w:r>
      <w:r>
        <w:t xml:space="preserve"> </w:t>
      </w:r>
      <w:r>
        <w:rPr>
          <w:rStyle w:val="VerbatimChar"/>
        </w:rPr>
        <w:t xml:space="preserve">hasPart</w:t>
      </w:r>
      <w:r>
        <w:t xml:space="preserve">, and objects — as either literal</w:t>
      </w:r>
      <w:r>
        <w:t xml:space="preserve"> </w:t>
      </w:r>
      <w:r>
        <w:rPr>
          <w:rStyle w:val="VerbatimChar"/>
        </w:rPr>
        <w:t xml:space="preserve">"string"</w:t>
      </w:r>
      <w:r>
        <w:t xml:space="preserve"> </w:t>
      </w:r>
      <w:r>
        <w:t xml:space="preserve">values, referenced</w:t>
      </w:r>
      <w:r>
        <w:t xml:space="preserve"> </w:t>
      </w:r>
      <w:r>
        <w:rPr>
          <w:rStyle w:val="VerbatimChar"/>
        </w:rPr>
        <w:t xml:space="preserve">{objects}</w:t>
      </w:r>
      <w:r>
        <w:t xml:space="preserve"> </w:t>
      </w:r>
      <w:r>
        <w:t xml:space="preserve">(which properties are listed in its own entity), or a JSON</w:t>
      </w:r>
      <w:r>
        <w:t xml:space="preserve"> </w:t>
      </w:r>
      <w:r>
        <w:rPr>
          <w:rStyle w:val="VerbatimChar"/>
        </w:rPr>
        <w:t xml:space="preserve">[list]</w:t>
      </w:r>
      <w:r>
        <w:t xml:space="preserve"> </w:t>
      </w:r>
      <w:r>
        <w:t xml:space="preserve">of these. If processed as JSON-LD, this forms an RDF graph by matching the</w:t>
      </w:r>
      <w:r>
        <w:t xml:space="preserve"> </w:t>
      </w:r>
      <w:r>
        <w:rPr>
          <w:rStyle w:val="VerbatimChar"/>
        </w:rPr>
        <w:t xml:space="preserve">@id</w:t>
      </w:r>
      <w:r>
        <w:t xml:space="preserve"> </w:t>
      </w:r>
      <w:r>
        <w:t xml:space="preserve">IRIs and applying the</w:t>
      </w:r>
      <w:r>
        <w:t xml:space="preserve"> </w:t>
      </w:r>
      <w:r>
        <w:rPr>
          <w:rStyle w:val="VerbatimChar"/>
        </w:rPr>
        <w:t xml:space="preserve">@context</w:t>
      </w:r>
      <w:r>
        <w:t xml:space="preserve"> </w:t>
      </w:r>
      <w:r>
        <w:t xml:space="preserve">mapping to schema.org terms.</w:t>
      </w:r>
    </w:p>
    <w:p>
      <w:pPr>
        <w:pStyle w:val="Heading4"/>
      </w:pPr>
      <w:bookmarkStart w:id="125" w:name="flattened-json-ld"/>
      <w:r>
        <w:t xml:space="preserve">Flattened JSON-LD</w:t>
      </w:r>
      <w:bookmarkEnd w:id="125"/>
    </w:p>
    <w:p>
      <w:pPr>
        <w:pStyle w:val="FirstParagraph"/>
      </w:pPr>
      <w:r>
        <w:t xml:space="preserve">When JSON-LD 1.0</w:t>
      </w:r>
      <w:r>
        <w:t xml:space="preserve"> </w:t>
      </w:r>
      <w:r>
        <w:t xml:space="preserve">[</w:t>
      </w:r>
      <w:hyperlink w:anchor="ref-17q6tYFV2">
        <w:r>
          <w:rPr>
            <w:rStyle w:val="Hyperlink"/>
          </w:rPr>
          <w:t xml:space="preserve">31</w:t>
        </w:r>
      </w:hyperlink>
      <w:r>
        <w:t xml:space="preserve">]</w:t>
      </w:r>
      <w:r>
        <w:t xml:space="preserve"> </w:t>
      </w:r>
      <w:r>
        <w:t xml:space="preserve">was proposed, one of the motivations was to seamlessly apply an RDF nature on top of regular JSON as frequently used by Web APIs. JSON objects in APIs are frequently nested with objects at multiple levels, and the perhaps most common form of JSON-LD is the</w:t>
      </w:r>
      <w:r>
        <w:t xml:space="preserve"> </w:t>
      </w:r>
      <w:hyperlink r:id="rId126">
        <w:r>
          <w:rPr>
            <w:rStyle w:val="Hyperlink"/>
          </w:rPr>
          <w:t xml:space="preserve">compacted form</w:t>
        </w:r>
      </w:hyperlink>
      <w:r>
        <w:t xml:space="preserve"> </w:t>
      </w:r>
      <w:r>
        <w:t xml:space="preserve">which follows this expectation (</w:t>
      </w:r>
      <w:hyperlink r:id="rId127">
        <w:r>
          <w:rPr>
            <w:rStyle w:val="Hyperlink"/>
          </w:rPr>
          <w:t xml:space="preserve">JSON-LD 1.1</w:t>
        </w:r>
      </w:hyperlink>
      <w:r>
        <w:t xml:space="preserve"> </w:t>
      </w:r>
      <w:r>
        <w:t xml:space="preserve">further expands these capabilities, e.g. allowing nested</w:t>
      </w:r>
      <w:r>
        <w:t xml:space="preserve"> </w:t>
      </w:r>
      <w:r>
        <w:rPr>
          <w:rStyle w:val="VerbatimChar"/>
        </w:rPr>
        <w:t xml:space="preserve">@context</w:t>
      </w:r>
      <w:r>
        <w:t xml:space="preserve"> </w:t>
      </w:r>
      <w:r>
        <w:t xml:space="preserve">definitions).</w:t>
      </w:r>
    </w:p>
    <w:p>
      <w:pPr>
        <w:pStyle w:val="BodyText"/>
      </w:pPr>
      <w:r>
        <w:t xml:space="preserve">While this feature of JSON-LD can be see as a way to</w:t>
      </w:r>
      <w:r>
        <w:t xml:space="preserve"> </w:t>
      </w:r>
      <w:r>
        <w:t xml:space="preserve">“</w:t>
      </w:r>
      <w:r>
        <w:t xml:space="preserve">hide</w:t>
      </w:r>
      <w:r>
        <w:t xml:space="preserve">”</w:t>
      </w:r>
      <w:r>
        <w:t xml:space="preserve"> </w:t>
      </w:r>
      <w:r>
        <w:t xml:space="preserve">its RDF nature, we found that the use of nested trees (e.g. a</w:t>
      </w:r>
      <w:r>
        <w:t xml:space="preserve"> </w:t>
      </w:r>
      <w:r>
        <w:rPr>
          <w:rStyle w:val="VerbatimChar"/>
        </w:rPr>
        <w:t xml:space="preserve">Person</w:t>
      </w:r>
      <w:r>
        <w:t xml:space="preserve"> </w:t>
      </w:r>
      <w:r>
        <w:t xml:space="preserve">entity appearing as</w:t>
      </w:r>
      <w:r>
        <w:t xml:space="preserve"> </w:t>
      </w:r>
      <w:r>
        <w:rPr>
          <w:rStyle w:val="VerbatimChar"/>
        </w:rPr>
        <w:t xml:space="preserve">author</w:t>
      </w:r>
      <w:r>
        <w:t xml:space="preserve"> </w:t>
      </w:r>
      <w:r>
        <w:t xml:space="preserve">of a</w:t>
      </w:r>
      <w:r>
        <w:t xml:space="preserve"> </w:t>
      </w:r>
      <w:r>
        <w:rPr>
          <w:rStyle w:val="VerbatimChar"/>
        </w:rPr>
        <w:t xml:space="preserve">File</w:t>
      </w:r>
      <w:r>
        <w:t xml:space="preserve"> </w:t>
      </w:r>
      <w:r>
        <w:t xml:space="preserve">which nests under a</w:t>
      </w:r>
      <w:r>
        <w:t xml:space="preserve"> </w:t>
      </w:r>
      <w:r>
        <w:rPr>
          <w:rStyle w:val="VerbatimChar"/>
        </w:rPr>
        <w:t xml:space="preserve">Dataset</w:t>
      </w:r>
      <w:r>
        <w:t xml:space="preserve"> </w:t>
      </w:r>
      <w:r>
        <w:t xml:space="preserve">with</w:t>
      </w:r>
      <w:r>
        <w:t xml:space="preserve"> </w:t>
      </w:r>
      <w:r>
        <w:rPr>
          <w:rStyle w:val="VerbatimChar"/>
        </w:rPr>
        <w:t xml:space="preserve">hasPart</w:t>
      </w:r>
      <w:r>
        <w:t xml:space="preserve">) counter-intuitively forces consumers to consider the JSON-LD as an RDF Graph, since an identified</w:t>
      </w:r>
      <w:r>
        <w:t xml:space="preserve"> </w:t>
      </w:r>
      <w:r>
        <w:rPr>
          <w:rStyle w:val="VerbatimChar"/>
        </w:rPr>
        <w:t xml:space="preserve">Person</w:t>
      </w:r>
      <w:r>
        <w:t xml:space="preserve"> </w:t>
      </w:r>
      <w:r>
        <w:t xml:space="preserve">entity can appear at multiple and repeated points of the tree (e.g. author of multiple files), necessitating node merging or duplication, which can become complicated as this approach also invites the use of</w:t>
      </w:r>
      <w:r>
        <w:t xml:space="preserve"> </w:t>
      </w:r>
      <w:r>
        <w:rPr>
          <w:i/>
        </w:rPr>
        <w:t xml:space="preserve">blank nodes</w:t>
      </w:r>
      <w:r>
        <w:t xml:space="preserve"> </w:t>
      </w:r>
      <w:r>
        <w:t xml:space="preserve">(entities missing</w:t>
      </w:r>
      <w:r>
        <w:t xml:space="preserve"> </w:t>
      </w:r>
      <w:r>
        <w:rPr>
          <w:rStyle w:val="VerbatimChar"/>
        </w:rPr>
        <w:t xml:space="preserve">@id</w:t>
      </w:r>
      <w:r>
        <w:t xml:space="preserve">).</w:t>
      </w:r>
    </w:p>
    <w:p>
      <w:pPr>
        <w:pStyle w:val="BodyText"/>
      </w:pPr>
      <w:r>
        <w:t xml:space="preserve">By comparison, a single flat</w:t>
      </w:r>
      <w:r>
        <w:t xml:space="preserve"> </w:t>
      </w:r>
      <w:r>
        <w:rPr>
          <w:rStyle w:val="VerbatimChar"/>
        </w:rPr>
        <w:t xml:space="preserve">@graph</w:t>
      </w:r>
      <w:r>
        <w:t xml:space="preserve"> </w:t>
      </w:r>
      <w:r>
        <w:t xml:space="preserve">array approach as preferred by RO-Crate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the principle that describing the context and provenance is just as important as describing the data, and the requirement of</w:t>
      </w:r>
      <w:r>
        <w:t xml:space="preserve"> </w:t>
      </w:r>
      <w:r>
        <w:rPr>
          <w:rStyle w:val="VerbatimChar"/>
        </w:rPr>
        <w:t xml:space="preserve">@id</w:t>
      </w:r>
      <w:r>
        <w:t xml:space="preserve"> </w:t>
      </w:r>
      <w:r>
        <w:t xml:space="preserve">of every entity forces RO-Crate generators to consciously</w:t>
      </w:r>
      <w:r>
        <w:t xml:space="preserve"> </w:t>
      </w:r>
      <w:hyperlink r:id="rId128">
        <w:r>
          <w:rPr>
            <w:rStyle w:val="Hyperlink"/>
          </w:rPr>
          <w:t xml:space="preserve">consider existing IRIs and identifiers</w:t>
        </w:r>
      </w:hyperlink>
      <w:r>
        <w:t xml:space="preserve">.</w:t>
      </w:r>
    </w:p>
    <w:p>
      <w:pPr>
        <w:pStyle w:val="Heading4"/>
      </w:pPr>
      <w:bookmarkStart w:id="129" w:name="json-ld-context"/>
      <w:r>
        <w:t xml:space="preserve">JSON-LD context</w:t>
      </w:r>
      <w:bookmarkEnd w:id="129"/>
    </w:p>
    <w:p>
      <w:pPr>
        <w:pStyle w:val="FirstParagraph"/>
      </w:pPr>
      <w:r>
        <w:t xml:space="preserve">In JSON-LD, the</w:t>
      </w:r>
      <w:r>
        <w:t xml:space="preserve"> </w:t>
      </w:r>
      <w:r>
        <w:rPr>
          <w:rStyle w:val="VerbatimChar"/>
        </w:rPr>
        <w:t xml:space="preserve">@context</w:t>
      </w:r>
      <w:r>
        <w:t xml:space="preserve"> </w:t>
      </w:r>
      <w:r>
        <w:t xml:space="preserve">is a reference to another JSON-LD document that provides mapping from JSON keys to Linked Data term IRIs, and can enable various JSON-LD directives to cater for customized JSON structures for translating to RDF.</w:t>
      </w:r>
    </w:p>
    <w:p>
      <w:pPr>
        <w:pStyle w:val="BodyText"/>
      </w:pPr>
      <w:r>
        <w:t xml:space="preserve">RO-Crate reuses Schema.org vocabulary terms and IRIs, but provides its own versioned</w:t>
      </w:r>
      <w:r>
        <w:t xml:space="preserve"> </w:t>
      </w:r>
      <w:hyperlink r:id="rId130">
        <w:r>
          <w:rPr>
            <w:rStyle w:val="Hyperlink"/>
          </w:rPr>
          <w:t xml:space="preserve">JSON-LD context</w:t>
        </w:r>
      </w:hyperlink>
      <w:r>
        <w:t xml:space="preserve">, which has a flat list with the mapping from JSON-LD keys to their URI equivalents (e.g. </w:t>
      </w:r>
      <w:r>
        <w:rPr>
          <w:rStyle w:val="VerbatimChar"/>
        </w:rPr>
        <w:t xml:space="preserve">author</w:t>
      </w:r>
      <w:r>
        <w:t xml:space="preserve"> </w:t>
      </w:r>
      <w:r>
        <w:t xml:space="preserve">maps to</w:t>
      </w:r>
      <w:r>
        <w:t xml:space="preserve"> </w:t>
      </w:r>
      <w:hyperlink r:id="rId131">
        <w:r>
          <w:rPr>
            <w:rStyle w:val="Hyperlink"/>
          </w:rPr>
          <w:t xml:space="preserve">http://schema.org/author</w:t>
        </w:r>
      </w:hyperlink>
      <w:r>
        <w:t xml:space="preserve">).</w:t>
      </w:r>
    </w:p>
    <w:p>
      <w:pPr>
        <w:pStyle w:val="BodyText"/>
      </w:pPr>
      <w:r>
        <w:t xml:space="preserve">The rationale behind this decision is to support JSON-based RO-Crate applications that are largely unaware of JSON-LD, that still may want to process the</w:t>
      </w:r>
      <w:r>
        <w:t xml:space="preserve"> </w:t>
      </w:r>
      <w:r>
        <w:rPr>
          <w:rStyle w:val="VerbatimChar"/>
        </w:rPr>
        <w:t xml:space="preserve">@context</w:t>
      </w:r>
      <w:r>
        <w:t xml:space="preserve"> </w:t>
      </w:r>
      <w:r>
        <w:t xml:space="preserve">to find or add Linked Data definitions of otherwise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33</w:t>
        </w:r>
      </w:hyperlink>
      <w:r>
        <w:t xml:space="preserve">]</w:t>
      </w:r>
      <w:r>
        <w:t xml:space="preserve"> </w:t>
      </w:r>
      <w:r>
        <w:t xml:space="preserve">for repositories and Bioschemas</w:t>
      </w:r>
      <w:r>
        <w:t xml:space="preserve"> </w:t>
      </w:r>
      <w:r>
        <w:t xml:space="preserve">[</w:t>
      </w:r>
      <w:hyperlink w:anchor="ref-vDdtcpOe">
        <w:r>
          <w:rPr>
            <w:rStyle w:val="Hyperlink"/>
          </w:rPr>
          <w:t xml:space="preserve">34</w:t>
        </w:r>
      </w:hyperlink>
      <w:r>
        <w:t xml:space="preserve">]</w:t>
      </w:r>
      <w:r>
        <w:t xml:space="preserve"> </w:t>
      </w:r>
      <w:r>
        <w:t xml:space="preserve">for describing computational workflows. RO-Crate profiles may</w:t>
      </w:r>
      <w:r>
        <w:t xml:space="preserve"> </w:t>
      </w:r>
      <w:hyperlink r:id="rId132">
        <w:r>
          <w:rPr>
            <w:rStyle w:val="Hyperlink"/>
          </w:rPr>
          <w:t xml:space="preserve">extend</w:t>
        </w:r>
      </w:hyperlink>
      <w:r>
        <w:t xml:space="preserve"> </w:t>
      </w:r>
      <w:r>
        <w:t xml:space="preserve">the</w:t>
      </w:r>
      <w:r>
        <w:t xml:space="preserve"> </w:t>
      </w:r>
      <w:r>
        <w:rPr>
          <w:rStyle w:val="VerbatimChar"/>
        </w:rPr>
        <w:t xml:space="preserve">@context</w:t>
      </w:r>
      <w:r>
        <w:t xml:space="preserve"> </w:t>
      </w:r>
      <w:r>
        <w:t xml:space="preserve">to re-use additional domain-specific ontologies.</w:t>
      </w:r>
    </w:p>
    <w:p>
      <w:pPr>
        <w:pStyle w:val="BodyText"/>
      </w:pPr>
      <w:r>
        <w:t xml:space="preserve">Similarly, while the schema.org context has</w:t>
      </w:r>
      <w:r>
        <w:t xml:space="preserve"> </w:t>
      </w:r>
      <w:r>
        <w:rPr>
          <w:rStyle w:val="VerbatimChar"/>
        </w:rPr>
        <w:t xml:space="preserve">"@type": "@id"</w:t>
      </w:r>
      <w:r>
        <w:t xml:space="preserve"> </w:t>
      </w:r>
      <w:r>
        <w:t xml:space="preserve">annotations for object properties,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references for corresponding entities and IRIs without parsing the</w:t>
      </w:r>
      <w:r>
        <w:t xml:space="preserve"> </w:t>
      </w:r>
      <w:r>
        <w:rPr>
          <w:rStyle w:val="VerbatimChar"/>
        </w:rPr>
        <w:t xml:space="preserve">@context</w:t>
      </w:r>
      <w:r>
        <w:t xml:space="preserve"> </w:t>
      </w:r>
      <w:r>
        <w:t xml:space="preserve">to understand a particular property. Notably this is exploited by the</w:t>
      </w:r>
      <w:r>
        <w:t xml:space="preserve"> </w:t>
      </w:r>
      <w:r>
        <w:rPr>
          <w:rStyle w:val="VerbatimChar"/>
        </w:rPr>
        <w:t xml:space="preserve">ro-crate-html-js</w:t>
      </w:r>
      <w:r>
        <w:t xml:space="preserve"> </w:t>
      </w:r>
      <w:r>
        <w:t xml:space="preserve">[</w:t>
      </w:r>
      <w:hyperlink w:anchor="ref-hojAyeKY">
        <w:r>
          <w:rPr>
            <w:rStyle w:val="Hyperlink"/>
          </w:rPr>
          <w:t xml:space="preserve">35</w:t>
        </w:r>
      </w:hyperlink>
      <w:r>
        <w:t xml:space="preserve">]</w:t>
      </w:r>
      <w:r>
        <w:t xml:space="preserve"> </w:t>
      </w:r>
      <w:r>
        <w:t xml:space="preserve">tool to provide reliable HTML rendering for otherwise unknown properties and types.</w:t>
      </w:r>
    </w:p>
    <w:p>
      <w:pPr>
        <w:pStyle w:val="Heading2"/>
      </w:pPr>
      <w:bookmarkStart w:id="133" w:name="ro-crate-community"/>
      <w:r>
        <w:t xml:space="preserve">RO-Crate Community</w:t>
      </w:r>
      <w:bookmarkEnd w:id="133"/>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134" w:name="people"/>
      <w:r>
        <w:t xml:space="preserve">People</w:t>
      </w:r>
      <w:bookmarkEnd w:id="134"/>
    </w:p>
    <w:p>
      <w:pPr>
        <w:pStyle w:val="FirstParagraph"/>
      </w:pPr>
      <w:r>
        <w:t xml:space="preserve">The initial concept of RO-Crate was formed at the first Workshop on Research Objects (</w:t>
      </w:r>
      <w:hyperlink r:id="rId135">
        <w:r>
          <w:rPr>
            <w:rStyle w:val="Hyperlink"/>
          </w:rPr>
          <w:t xml:space="preserve">RO2018</w:t>
        </w:r>
      </w:hyperlink>
      <w:r>
        <w:t xml:space="preserve">), held as part of the IEEE conference on eScience. This workshop followed up on considerations made at a</w:t>
      </w:r>
      <w:r>
        <w:t xml:space="preserve"> </w:t>
      </w:r>
      <w:hyperlink r:id="rId136">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13</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12</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36</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37</w:t>
        </w:r>
      </w:hyperlink>
      <w:r>
        <w:t xml:space="preserve">]</w:t>
      </w:r>
      <w:r>
        <w:t xml:space="preserve">, along with European Open Science Cloud (EOSC) projects including</w:t>
      </w:r>
      <w:r>
        <w:t xml:space="preserve"> </w:t>
      </w:r>
      <w:hyperlink r:id="rId53">
        <w:r>
          <w:rPr>
            <w:rStyle w:val="Hyperlink"/>
          </w:rPr>
          <w:t xml:space="preserve">EOSC-Life</w:t>
        </w:r>
      </w:hyperlink>
      <w:r>
        <w:t xml:space="preserve"> </w:t>
      </w:r>
      <w:r>
        <w:t xml:space="preserve">and</w:t>
      </w:r>
      <w:r>
        <w:t xml:space="preserve"> </w:t>
      </w:r>
      <w:hyperlink r:id="rId137">
        <w:r>
          <w:rPr>
            <w:rStyle w:val="Hyperlink"/>
          </w:rPr>
          <w:t xml:space="preserve">FAIRplus</w:t>
        </w:r>
      </w:hyperlink>
      <w:r>
        <w:t xml:space="preserve">. RO-Crate has also established collaborations with Bioschemas,</w:t>
      </w:r>
      <w:r>
        <w:t xml:space="preserve"> </w:t>
      </w:r>
      <w:hyperlink r:id="rId138">
        <w:r>
          <w:rPr>
            <w:rStyle w:val="Hyperlink"/>
          </w:rPr>
          <w:t xml:space="preserve">GA4GH</w:t>
        </w:r>
      </w:hyperlink>
      <w:r>
        <w:t xml:space="preserve">, OpenAIRE</w:t>
      </w:r>
      <w:r>
        <w:t xml:space="preserve"> </w:t>
      </w:r>
      <w:r>
        <w:t xml:space="preserve">[</w:t>
      </w:r>
      <w:hyperlink w:anchor="ref-kjCRcBZ5">
        <w:r>
          <w:rPr>
            <w:rStyle w:val="Hyperlink"/>
          </w:rPr>
          <w:t xml:space="preserve">38</w:t>
        </w:r>
      </w:hyperlink>
      <w:r>
        <w:t xml:space="preserve">]</w:t>
      </w:r>
      <w:r>
        <w:t xml:space="preserve"> </w:t>
      </w:r>
      <w:r>
        <w:t xml:space="preserve">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39" w:name="norms"/>
      <w:r>
        <w:t xml:space="preserve">Norms</w:t>
      </w:r>
      <w:bookmarkEnd w:id="139"/>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We build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40" w:name="open-platforms"/>
      <w:r>
        <w:t xml:space="preserve">Open Platforms</w:t>
      </w:r>
      <w:bookmarkEnd w:id="140"/>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The development of RO-Crate was driven by capturing documentation of real-life examples and best practices rather than creating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41">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has as of October 2021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72">
        <w:r>
          <w:rPr>
            <w:rStyle w:val="Hyperlink"/>
          </w:rPr>
          <w:t xml:space="preserve">RO-Crate Community</w:t>
        </w:r>
      </w:hyperlink>
      <w:r>
        <w:t xml:space="preserve"> </w:t>
      </w:r>
      <w:r>
        <w:t xml:space="preserve">is open for anyone to join, to equally participate under a code of conduct, and as of October 2021 have more than 50 members (see Appendix).</w:t>
      </w:r>
    </w:p>
    <w:p>
      <w:pPr>
        <w:pStyle w:val="Heading1"/>
      </w:pPr>
      <w:bookmarkStart w:id="142" w:name="ro-crate-tooling"/>
      <w:r>
        <w:t xml:space="preserve">RO-Crate Tooling</w:t>
      </w:r>
      <w:bookmarkEnd w:id="142"/>
    </w:p>
    <w:p>
      <w:pPr>
        <w:pStyle w:val="FirstParagraph"/>
      </w:pPr>
      <w:r>
        <w:t xml:space="preserve">The work of the community has led to the development of a number of tools for creating and using RO-Crates. Table 1 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w:t>
      </w:r>
      <w:r>
        <w:t xml:space="preserve">[</w:t>
      </w:r>
      <w:hyperlink w:anchor="ref-hojAyeKY">
        <w:r>
          <w:rPr>
            <w:rStyle w:val="Hyperlink"/>
          </w:rPr>
          <w:t xml:space="preserve">35</w:t>
        </w:r>
      </w:hyperlink>
      <w:r>
        <w:t xml:space="preserve">]</w:t>
      </w:r>
      <w:r>
        <w:t xml:space="preserve">). Furthermore, there are tools that cater to end-users (</w:t>
      </w:r>
      <w:r>
        <w:rPr>
          <w:i/>
        </w:rPr>
        <w:t xml:space="preserve">Describo</w:t>
      </w:r>
      <w:r>
        <w:t xml:space="preserve"> </w:t>
      </w:r>
      <w:r>
        <w:t xml:space="preserve">[</w:t>
      </w:r>
      <w:hyperlink w:anchor="ref-bSpAL6uW">
        <w:r>
          <w:rPr>
            <w:rStyle w:val="Hyperlink"/>
          </w:rPr>
          <w:t xml:space="preserve">39</w:t>
        </w:r>
      </w:hyperlink>
      <w:r>
        <w:t xml:space="preserve">]</w:t>
      </w:r>
      <w:r>
        <w:t xml:space="preserve">,</w:t>
      </w:r>
      <w:r>
        <w:t xml:space="preserve"> </w:t>
      </w:r>
      <w:r>
        <w:rPr>
          <w:i/>
        </w:rPr>
        <w:t xml:space="preserve">Workflow Hub</w:t>
      </w:r>
      <w:r>
        <w:t xml:space="preserve"> </w:t>
      </w:r>
      <w:r>
        <w:t xml:space="preserve">[</w:t>
      </w:r>
      <w:hyperlink w:anchor="ref-syXvUAqM">
        <w:r>
          <w:rPr>
            <w:rStyle w:val="Hyperlink"/>
          </w:rPr>
          <w:t xml:space="preserve">40</w:t>
        </w:r>
      </w:hyperlink>
      <w:r>
        <w:t xml:space="preserve">]</w:t>
      </w:r>
      <w:r>
        <w:t xml:space="preserve">), in order to simplify creating and managing RO-Crates. For example, Describo was developed to help researchers of the Australian</w:t>
      </w:r>
      <w:r>
        <w:t xml:space="preserve"> </w:t>
      </w:r>
      <w:hyperlink r:id="rId143">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41</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42</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43</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39</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44</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45</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35</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46</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47</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48</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40</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49</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hyperlink w:anchor="ref-1GtSNP0ij">
              <w:r>
                <w:rPr>
                  <w:rStyle w:val="Hyperlink"/>
                </w:rPr>
                <w:t xml:space="preserve">50</w:t>
              </w:r>
            </w:hyperlink>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51</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52</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53</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54</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55</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56</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57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58</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59</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60</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 (Alpha &lt; Beta &lt; Release Candidate (RC) &lt; Release).</w:t>
      </w:r>
    </w:p>
    <w:p>
      <w:pPr>
        <w:pStyle w:val="Heading1"/>
      </w:pPr>
      <w:bookmarkStart w:id="144" w:name="profiles-of-ro-crate-in-use"/>
      <w:r>
        <w:t xml:space="preserve">Profiles of RO-Crate in use</w:t>
      </w:r>
      <w:bookmarkEnd w:id="144"/>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 In addition, we note how RO-Crate may have an important role as part of machine-actionable data management plans and institutional repositories.</w:t>
      </w:r>
    </w:p>
    <w:p>
      <w:pPr>
        <w:pStyle w:val="BodyText"/>
      </w:pPr>
      <w:r>
        <w:t xml:space="preserve">From these varied uses of RO-Crate we observe a natural differences in their detail level and the type of entities described by the RO-Crate. For instance, on submission of an RO-Crate to a workflow repository, it is reasonable to expect the RO-Crate to contain at least one workflow, ideally with a declared licence and workflow language. Specific additional recommendations such as on identifiers is also needed to meet the emerging requirements of</w:t>
      </w:r>
      <w:r>
        <w:t xml:space="preserve"> </w:t>
      </w:r>
      <w:hyperlink r:id="rId145">
        <w:r>
          <w:rPr>
            <w:rStyle w:val="Hyperlink"/>
          </w:rPr>
          <w:t xml:space="preserve">FAIR Digital Objects</w:t>
        </w:r>
      </w:hyperlink>
      <w:r>
        <w:t xml:space="preserve">.</w:t>
      </w:r>
      <w:r>
        <w:t xml:space="preserve"> </w:t>
      </w:r>
      <w:hyperlink r:id="rId146">
        <w:r>
          <w:rPr>
            <w:rStyle w:val="Hyperlink"/>
          </w:rPr>
          <w:t xml:space="preserve">Work has now begun</w:t>
        </w:r>
      </w:hyperlink>
      <w:r>
        <w:t xml:space="preserve"> </w:t>
      </w:r>
      <w:r>
        <w:t xml:space="preserve">to formalise these different</w:t>
      </w:r>
      <w:r>
        <w:t xml:space="preserve"> </w:t>
      </w:r>
      <w:r>
        <w:rPr>
          <w:i/>
        </w:rPr>
        <w:t xml:space="preserve">profiles</w:t>
      </w:r>
      <w:r>
        <w:t xml:space="preserve"> </w:t>
      </w:r>
      <w:r>
        <w:t xml:space="preserve">of RO-Crates, which may impose additional constraints based on the needs of a specific domain or use case.</w:t>
      </w:r>
    </w:p>
    <w:p>
      <w:pPr>
        <w:pStyle w:val="Heading2"/>
      </w:pPr>
      <w:bookmarkStart w:id="147" w:name="bioinformatics-workflows"/>
      <w:r>
        <w:t xml:space="preserve">Bioinformatics workflows</w:t>
      </w:r>
      <w:bookmarkEnd w:id="147"/>
    </w:p>
    <w:p>
      <w:pPr>
        <w:pStyle w:val="FirstParagraph"/>
      </w:pPr>
      <w:hyperlink r:id="rId148">
        <w:r>
          <w:rPr>
            <w:rStyle w:val="Hyperlink"/>
          </w:rPr>
          <w:t xml:space="preserve">WorkflowHub.eu</w:t>
        </w:r>
      </w:hyperlink>
      <w:r>
        <w:t xml:space="preserve"> </w:t>
      </w:r>
      <w:r>
        <w:t xml:space="preserve">is a European cross-domain registry of computational workflows, supported by European Open Science Cloud projects, e.g. </w:t>
      </w:r>
      <w:hyperlink r:id="rId53">
        <w:r>
          <w:rPr>
            <w:rStyle w:val="Hyperlink"/>
          </w:rPr>
          <w:t xml:space="preserve">EOSC-Life</w:t>
        </w:r>
      </w:hyperlink>
      <w:r>
        <w:t xml:space="preserve">, and research infrastructures including the pan-European bioinformatics network</w:t>
      </w:r>
      <w:r>
        <w:t xml:space="preserve"> </w:t>
      </w:r>
      <w:hyperlink r:id="rId149">
        <w:r>
          <w:rPr>
            <w:rStyle w:val="Hyperlink"/>
          </w:rPr>
          <w:t xml:space="preserve">ELIXIR</w:t>
        </w:r>
      </w:hyperlink>
      <w:r>
        <w:t xml:space="preserve"> </w:t>
      </w:r>
      <w:r>
        <w:t xml:space="preserve">[</w:t>
      </w:r>
      <w:hyperlink w:anchor="ref-U6WvlYl">
        <w:r>
          <w:rPr>
            <w:rStyle w:val="Hyperlink"/>
          </w:rPr>
          <w:t xml:space="preserve">37</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61</w:t>
        </w:r>
      </w:hyperlink>
      <w:r>
        <w:t xml:space="preserve">]</w:t>
      </w:r>
      <w:r>
        <w:t xml:space="preserve"> </w:t>
      </w:r>
      <w:r>
        <w:t xml:space="preserve">and Nextflow nf-core</w:t>
      </w:r>
      <w:r>
        <w:t xml:space="preserve"> </w:t>
      </w:r>
      <w:r>
        <w:t xml:space="preserve">[</w:t>
      </w:r>
      <w:hyperlink w:anchor="ref-wq4G2CfQ">
        <w:r>
          <w:rPr>
            <w:rStyle w:val="Hyperlink"/>
          </w:rPr>
          <w:t xml:space="preserve">62</w:t>
        </w:r>
      </w:hyperlink>
      <w:r>
        <w:t xml:space="preserve">]</w:t>
      </w:r>
      <w:r>
        <w:t xml:space="preserve">.</w:t>
      </w:r>
    </w:p>
    <w:p>
      <w:pPr>
        <w:pStyle w:val="BodyText"/>
      </w:pPr>
      <w:r>
        <w:t xml:space="preserve">We here describe three different RO-Crate profiles developed for use with WorkflowHub.</w:t>
      </w:r>
    </w:p>
    <w:p>
      <w:pPr>
        <w:pStyle w:val="Heading3"/>
      </w:pPr>
      <w:bookmarkStart w:id="150" w:name="profile-for-describing-workflows"/>
      <w:r>
        <w:t xml:space="preserve">Profile for describing workflows</w:t>
      </w:r>
      <w:bookmarkEnd w:id="150"/>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63</w:t>
        </w:r>
      </w:hyperlink>
      <w:r>
        <w:t xml:space="preserve">]</w:t>
      </w:r>
      <w:r>
        <w:t xml:space="preserve"> </w:t>
      </w:r>
      <w:r>
        <w:t xml:space="preserve">and Snakemake</w:t>
      </w:r>
      <w:r>
        <w:t xml:space="preserve"> </w:t>
      </w:r>
      <w:r>
        <w:t xml:space="preserve">[</w:t>
      </w:r>
      <w:hyperlink w:anchor="ref-NcYZqBux">
        <w:r>
          <w:rPr>
            <w:rStyle w:val="Hyperlink"/>
          </w:rPr>
          <w:t xml:space="preserve">64</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65</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10Uayv5us">
        <w:r>
          <w:rPr>
            <w:rStyle w:val="Hyperlink"/>
          </w:rPr>
          <w:t xml:space="preserve">66</w:t>
        </w:r>
      </w:hyperlink>
      <w:r>
        <w:t xml:space="preserve">]</w:t>
      </w:r>
      <w:r>
        <w:t xml:space="preserve"> </w:t>
      </w:r>
      <w:r>
        <w:t xml:space="preserve">definitions and diagrams</w:t>
      </w:r>
      <w:r>
        <w:t xml:space="preserve"> </w:t>
      </w:r>
      <w:r>
        <w:t xml:space="preserve">[</w:t>
      </w:r>
      <w:hyperlink w:anchor="ref-Sdv3iU46">
        <w:r>
          <w:rPr>
            <w:rStyle w:val="Hyperlink"/>
          </w:rPr>
          <w:t xml:space="preserve">67</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34</w:t>
        </w:r>
      </w:hyperlink>
      <w:r>
        <w:t xml:space="preserve">]</w:t>
      </w:r>
      <w:r>
        <w:t xml:space="preserve"> </w:t>
      </w:r>
      <w:r>
        <w:t xml:space="preserve">profile for</w:t>
      </w:r>
      <w:r>
        <w:t xml:space="preserve"> </w:t>
      </w:r>
      <w:hyperlink r:id="rId151">
        <w:r>
          <w:rPr>
            <w:rStyle w:val="Hyperlink"/>
          </w:rPr>
          <w:t xml:space="preserve">Computational Workflows</w:t>
        </w:r>
      </w:hyperlink>
      <w:r>
        <w:t xml:space="preserve">, which again informed the</w:t>
      </w:r>
      <w:r>
        <w:t xml:space="preserve"> </w:t>
      </w:r>
      <w:hyperlink r:id="rId152">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48</w:t>
        </w:r>
      </w:hyperlink>
      <w:r>
        <w:t xml:space="preserve">]</w:t>
      </w:r>
      <w:r>
        <w:t xml:space="preserve"> </w:t>
      </w:r>
      <w:r>
        <w:t xml:space="preserve">and WorkflowHub’s</w:t>
      </w:r>
      <w:r>
        <w:t xml:space="preserve"> </w:t>
      </w:r>
      <w:hyperlink r:id="rId153">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54" w:name="profile-for-recording-workflow-runs"/>
      <w:r>
        <w:t xml:space="preserve">Profile for recording workflow runs</w:t>
      </w:r>
      <w:bookmarkEnd w:id="154"/>
    </w:p>
    <w:p>
      <w:pPr>
        <w:pStyle w:val="FirstParagraph"/>
      </w:pPr>
      <w:r>
        <w:t xml:space="preserve">RO-Crates in WorkflowHub have so far been focused on workflows that are ready to be run, and development of WorkflowHub is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w:t>
      </w:r>
    </w:p>
    <w:p>
      <w:pPr>
        <w:pStyle w:val="BodyText"/>
      </w:pPr>
      <w:r>
        <w:t xml:space="preserve">This workflow run profile is a continuation of our previous work with capturing workflow provenance in a Research Object in CWLProv</w:t>
      </w:r>
      <w:r>
        <w:t xml:space="preserve"> </w:t>
      </w:r>
      <w:r>
        <w:t xml:space="preserve">[</w:t>
      </w:r>
      <w:hyperlink w:anchor="ref-4Pd3RTmI">
        <w:r>
          <w:rPr>
            <w:rStyle w:val="Hyperlink"/>
          </w:rPr>
          <w:t xml:space="preserve">32</w:t>
        </w:r>
      </w:hyperlink>
      <w:r>
        <w:t xml:space="preserve">]</w:t>
      </w:r>
      <w:r>
        <w:t xml:space="preserve"> </w:t>
      </w:r>
      <w:r>
        <w:t xml:space="preserve">and TavernaPROV</w:t>
      </w:r>
      <w:r>
        <w:t xml:space="preserve"> </w:t>
      </w:r>
      <w:r>
        <w:t xml:space="preserve">[</w:t>
      </w:r>
      <w:hyperlink w:anchor="ref-W6bDegHu">
        <w:r>
          <w:rPr>
            <w:rStyle w:val="Hyperlink"/>
          </w:rPr>
          <w:t xml:space="preserve">68</w:t>
        </w:r>
      </w:hyperlink>
      <w:r>
        <w:t xml:space="preserve">]</w:t>
      </w:r>
      <w:r>
        <w:t xml:space="preserve">. In both cases, we used the PROV Ontology [59], including details of every task execution with all the intermediate data, which required significant workflow engine integration</w:t>
      </w:r>
      <w:r>
        <w:rPr>
          <w:rStyle w:val="FootnoteReference"/>
        </w:rPr>
        <w:footnoteReference w:id="155"/>
      </w:r>
      <w:r>
        <w:t xml:space="preserve">.</w:t>
      </w:r>
    </w:p>
    <w:p>
      <w:pPr>
        <w:pStyle w:val="BodyText"/>
      </w:pPr>
      <w:r>
        <w:t xml:space="preserve">To simplify from that approach, for this Workflow Run RO-Crate profile we will use a higher level</w:t>
      </w:r>
      <w:r>
        <w:t xml:space="preserve"> </w:t>
      </w:r>
      <w:hyperlink r:id="rId156">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32</w:t>
        </w:r>
      </w:hyperlink>
      <w:r>
        <w:t xml:space="preserve">]</w:t>
      </w:r>
      <w:r>
        <w:t xml:space="preserve"> </w:t>
      </w:r>
      <w:r>
        <w:t xml:space="preserve">can be expressed generally across workflow languages with minimal engine changes, with the option of more detailed provenance traces as separate PROV resources in the RO-Crate. In the current development of</w:t>
      </w:r>
      <w:r>
        <w:t xml:space="preserve"> </w:t>
      </w:r>
      <w:hyperlink r:id="rId157">
        <w:r>
          <w:rPr>
            <w:rStyle w:val="Hyperlink"/>
          </w:rPr>
          <w:t xml:space="preserve">Specimen Data Refinery</w:t>
        </w:r>
      </w:hyperlink>
      <w:r>
        <w:t xml:space="preserve"> </w:t>
      </w:r>
      <w:r>
        <w:t xml:space="preserve">[</w:t>
      </w:r>
      <w:hyperlink w:anchor="ref-8CVxQAro">
        <w:r>
          <w:rPr>
            <w:rStyle w:val="Hyperlink"/>
          </w:rPr>
          <w:t xml:space="preserve">70</w:t>
        </w:r>
      </w:hyperlink>
      <w:r>
        <w:t xml:space="preserve">]</w:t>
      </w:r>
      <w:r>
        <w:t xml:space="preserve"> </w:t>
      </w:r>
      <w:r>
        <w:t xml:space="preserve">these RO-Crates will document the text recognition workflow runs of digitised biological specimens, exposed as FAIR Digital Objects</w:t>
      </w:r>
      <w:r>
        <w:t xml:space="preserve"> </w:t>
      </w:r>
      <w:r>
        <w:t xml:space="preserve">[</w:t>
      </w:r>
      <w:hyperlink w:anchor="ref-k5pGkxd5">
        <w:r>
          <w:rPr>
            <w:rStyle w:val="Hyperlink"/>
          </w:rPr>
          <w:t xml:space="preserve">71</w:t>
        </w:r>
      </w:hyperlink>
      <w:r>
        <w:t xml:space="preserve">]</w:t>
      </w:r>
      <w:r>
        <w:t xml:space="preserv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72</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58" w:name="profile-for-testing-workflows"/>
      <w:r>
        <w:t xml:space="preserve">Profile for testing workflows</w:t>
      </w:r>
      <w:bookmarkEnd w:id="158"/>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49</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59">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32">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60" w:name="regulatory-sciences"/>
      <w:r>
        <w:t xml:space="preserve">Regulatory Sciences</w:t>
      </w:r>
      <w:bookmarkEnd w:id="160"/>
    </w:p>
    <w:p>
      <w:pPr>
        <w:pStyle w:val="FirstParagraph"/>
      </w:pPr>
      <w:hyperlink r:id="rId161">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73</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74</w:t>
        </w:r>
      </w:hyperlink>
      <w:r>
        <w:t xml:space="preserve">]</w:t>
      </w:r>
      <w:r>
        <w:t xml:space="preserve"> </w:t>
      </w:r>
      <w:r>
        <w:t xml:space="preserve">as a combination of</w:t>
      </w:r>
      <w:r>
        <w:t xml:space="preserve"> </w:t>
      </w:r>
      <w:hyperlink r:id="rId162">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63"/>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64">
        <w:r>
          <w:rPr>
            <w:rStyle w:val="Hyperlink"/>
            <w:b/>
          </w:rPr>
          <w:t xml:space="preserve">BCO RO-Crate</w:t>
        </w:r>
      </w:hyperlink>
      <w:r>
        <w:t xml:space="preserve">[</w:t>
      </w:r>
      <w:hyperlink w:anchor="ref-1H1Z87nyU">
        <w:r>
          <w:rPr>
            <w:rStyle w:val="Hyperlink"/>
          </w:rPr>
          <w:t xml:space="preserve">75</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65">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24</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10Uayv5us">
        <w:r>
          <w:rPr>
            <w:rStyle w:val="Hyperlink"/>
          </w:rPr>
          <w:t xml:space="preserve">66</w:t>
        </w:r>
      </w:hyperlink>
      <w:r>
        <w:t xml:space="preserve">]</w:t>
      </w:r>
      <w:r>
        <w:t xml:space="preserve"> </w:t>
      </w:r>
      <w:r>
        <w:t xml:space="preserve">for interoperable pipeline execution. CWL itself relies on tool packaging in software containers using</w:t>
      </w:r>
      <w:r>
        <w:t xml:space="preserve"> </w:t>
      </w:r>
      <w:hyperlink r:id="rId166">
        <w:r>
          <w:rPr>
            <w:rStyle w:val="Hyperlink"/>
          </w:rPr>
          <w:t xml:space="preserve">Docker</w:t>
        </w:r>
      </w:hyperlink>
      <w:r>
        <w:t xml:space="preserve"> </w:t>
      </w:r>
      <w:r>
        <w:t xml:space="preserve">or</w:t>
      </w:r>
      <w:r>
        <w:t xml:space="preserve"> </w:t>
      </w:r>
      <w:hyperlink r:id="rId167">
        <w:r>
          <w:rPr>
            <w:rStyle w:val="Hyperlink"/>
          </w:rPr>
          <w:t xml:space="preserve">Conda</w:t>
        </w:r>
      </w:hyperlink>
      <w:r>
        <w:t xml:space="preserve">.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drawing>
          <wp:inline>
            <wp:extent cx="5572125" cy="3133725"/>
            <wp:effectExtent b="0" l="0" r="0" t="0"/>
            <wp:docPr descr="Separation of Concerns in BCO RO-Crat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 [76] features to “complete” the bag with large external files such as the workflow outputs" title="" id="1" name="Picture"/>
            <a:graphic>
              <a:graphicData uri="http://schemas.openxmlformats.org/drawingml/2006/picture">
                <pic:pic>
                  <pic:nvPicPr>
                    <pic:cNvPr descr="images/ro-crate-bco-sep-of-concerns.svg" id="0" name="Picture"/>
                    <pic:cNvPicPr>
                      <a:picLocks noChangeArrowheads="1" noChangeAspect="1"/>
                    </pic:cNvPicPr>
                  </pic:nvPicPr>
                  <pic:blipFill>
                    <a:blip r:embed="rId168"/>
                    <a:stretch>
                      <a:fillRect/>
                    </a:stretch>
                  </pic:blipFill>
                  <pic:spPr bwMode="auto">
                    <a:xfrm>
                      <a:off x="0" y="0"/>
                      <a:ext cx="5572125" cy="3133725"/>
                    </a:xfrm>
                    <a:prstGeom prst="rect">
                      <a:avLst/>
                    </a:prstGeom>
                    <a:noFill/>
                    <a:ln w="9525">
                      <a:noFill/>
                      <a:headEnd/>
                      <a:tailEnd/>
                    </a:ln>
                  </pic:spPr>
                </pic:pic>
              </a:graphicData>
            </a:graphic>
          </wp:inline>
        </w:drawing>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76</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69" w:name="digital-humanities-cultural-heritage"/>
      <w:r>
        <w:t xml:space="preserve">Digital Humanities: Cultural Heritage</w:t>
      </w:r>
      <w:bookmarkEnd w:id="169"/>
    </w:p>
    <w:p>
      <w:pPr>
        <w:pStyle w:val="FirstParagraph"/>
      </w:pPr>
      <w:hyperlink r:id="rId170">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71">
        <w:r>
          <w:rPr>
            <w:rStyle w:val="Hyperlink"/>
          </w:rPr>
          <w:t xml:space="preserve">Modern PARADISEC demonstrator</w:t>
        </w:r>
      </w:hyperlink>
      <w:r>
        <w:t xml:space="preserve"> </w:t>
      </w:r>
      <w:r>
        <w:t xml:space="preserve">has been</w:t>
      </w:r>
      <w:r>
        <w:t xml:space="preserve"> </w:t>
      </w:r>
      <w:hyperlink r:id="rId172">
        <w:r>
          <w:rPr>
            <w:rStyle w:val="Hyperlink"/>
          </w:rPr>
          <w:t xml:space="preserve">developed</w:t>
        </w:r>
      </w:hyperlink>
      <w:r>
        <w:t xml:space="preserve"> </w:t>
      </w:r>
      <w:r>
        <w:t xml:space="preserve">to also help digitally preserve these artefacts using the</w:t>
      </w:r>
      <w:r>
        <w:t xml:space="preserve"> </w:t>
      </w:r>
      <w:hyperlink r:id="rId173">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25</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35</w:t>
        </w:r>
      </w:hyperlink>
      <w:r>
        <w:t xml:space="preserve">]</w:t>
      </w:r>
      <w:r>
        <w:t xml:space="preserve">, which can be hosted as static files by any web server, in line with the approach taken by the Endings Project</w:t>
      </w:r>
      <w:r>
        <w:rPr>
          <w:rStyle w:val="FootnoteReference"/>
        </w:rPr>
        <w:footnoteReference w:id="174"/>
      </w:r>
      <w:r>
        <w:t xml:space="preserve">.</w:t>
      </w:r>
    </w:p>
    <w:p>
      <w:pPr>
        <w:pStyle w:val="Heading2"/>
      </w:pPr>
      <w:bookmarkStart w:id="175" w:name="machine-actionable-data-management-plans"/>
      <w:r>
        <w:t xml:space="preserve">Machine-actionable Data Management Plans</w:t>
      </w:r>
      <w:bookmarkEnd w:id="175"/>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77</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78</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79</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80</w:t>
        </w:r>
      </w:hyperlink>
      <w:r>
        <w:t xml:space="preserve">]</w:t>
      </w:r>
      <w:r>
        <w:t xml:space="preserve">, a specialisation of the W3C Data Catalog Vocabulary (DCAT)</w:t>
      </w:r>
      <w:r>
        <w:t xml:space="preserve"> </w:t>
      </w:r>
      <w:r>
        <w:t xml:space="preserve">[</w:t>
      </w:r>
      <w:hyperlink w:anchor="ref-naVrw7g1">
        <w:r>
          <w:rPr>
            <w:rStyle w:val="Hyperlink"/>
          </w:rPr>
          <w:t xml:space="preserve">81</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58</w:t>
        </w:r>
      </w:hyperlink>
      <w:r>
        <w:t xml:space="preserve">]</w:t>
      </w:r>
      <w:r>
        <w:t xml:space="preserve">, implemented by the RO-Crate {RDA maDMP Mapper</w:t>
      </w:r>
      <w:r>
        <w:t xml:space="preserve"> </w:t>
      </w:r>
      <w:r>
        <w:t xml:space="preserve">[</w:t>
      </w:r>
      <w:hyperlink w:anchor="ref-keqQfayg">
        <w:r>
          <w:rPr>
            <w:rStyle w:val="Hyperlink"/>
          </w:rPr>
          <w:t xml:space="preserve">57</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59</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58</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76" w:name="X6c3a66e7ecadcfed6bd00425a68e824b733ec62"/>
      <w:r>
        <w:t xml:space="preserve">Institutional data repositories – Harvard Data Commons</w:t>
      </w:r>
      <w:bookmarkEnd w:id="176"/>
    </w:p>
    <w:p>
      <w:pPr>
        <w:pStyle w:val="FirstParagraph"/>
      </w:pPr>
      <w:r>
        <w:t xml:space="preserve">The concept of a Data Commons for research collaboration was originally defined as</w:t>
      </w:r>
      <w:r>
        <w:t xml:space="preserve"> </w:t>
      </w:r>
      <w:r>
        <w:t xml:space="preserve">“</w:t>
      </w:r>
      <w:r>
        <w:t xml:space="preserve">cyber-infrastructure that co-locates data, storage, and computing infrastructure with commonly used tools for analysing and sharing data to create an interoperable resource for the research community</w:t>
      </w:r>
      <w:r>
        <w:t xml:space="preserve">”</w:t>
      </w:r>
      <w:r>
        <w:t xml:space="preserve"> </w:t>
      </w:r>
      <w:r>
        <w:t xml:space="preserve">[</w:t>
      </w:r>
      <w:hyperlink w:anchor="ref-7O1j0YRj">
        <w:r>
          <w:rPr>
            <w:rStyle w:val="Hyperlink"/>
          </w:rPr>
          <w:t xml:space="preserve">82</w:t>
        </w:r>
      </w:hyperlink>
      <w:r>
        <w:t xml:space="preserve">]</w:t>
      </w:r>
      <w:r>
        <w:t xml:space="preserve">. More recently, it was established to integrate active data-intensive research with data management and archival best practices. It facilitates research by providing computational infrastructure where researchers can use, share and store data, software, workflows and other digital artefacts used in their studies. Furthermore, the Commons feature tools and services, such as computation clusters and storage for scalability, data repositories for disseminating and preserving regular, but also large or sensitive datasets, and other research assets. Multiple initiatives were undertaken to create Data Commons on national, research, and institutional levels. For example, the</w:t>
      </w:r>
      <w:r>
        <w:t xml:space="preserve"> </w:t>
      </w:r>
      <w:hyperlink r:id="rId177">
        <w:r>
          <w:rPr>
            <w:rStyle w:val="Hyperlink"/>
          </w:rPr>
          <w:t xml:space="preserve">Australian Research Data Commons (ARDC)</w:t>
        </w:r>
      </w:hyperlink>
      <w:r>
        <w:t xml:space="preserve"> </w:t>
      </w:r>
      <w:r>
        <w:t xml:space="preserve">[</w:t>
      </w:r>
      <w:hyperlink w:anchor="ref-1EOrDAznb">
        <w:r>
          <w:rPr>
            <w:rStyle w:val="Hyperlink"/>
          </w:rPr>
          <w:t xml:space="preserve">83</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78">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84</w:t>
        </w:r>
      </w:hyperlink>
      <w:r>
        <w:t xml:space="preserve">]</w:t>
      </w:r>
      <w:r>
        <w:t xml:space="preserve"> </w:t>
      </w:r>
      <w:r>
        <w:t xml:space="preserve">provides the cancer research community with access to a vast volume of genomic and clinical data. Initiatives such as</w:t>
      </w:r>
      <w:r>
        <w:t xml:space="preserve"> </w:t>
      </w:r>
      <w:hyperlink r:id="rId179">
        <w:r>
          <w:rPr>
            <w:rStyle w:val="Hyperlink"/>
          </w:rPr>
          <w:t xml:space="preserve">Research Data Alliance (RDA) Global Open Research Commons</w:t>
        </w:r>
      </w:hyperlink>
      <w:r>
        <w:t xml:space="preserve"> </w:t>
      </w:r>
      <w:r>
        <w:t xml:space="preserve">propose standards on the implementation of Data Commons to avoid them becoming</w:t>
      </w:r>
      <w:r>
        <w:t xml:space="preserve"> </w:t>
      </w:r>
      <w:r>
        <w:t xml:space="preserve">“</w:t>
      </w:r>
      <w:r>
        <w:t xml:space="preserve">data silos</w:t>
      </w:r>
      <w:r>
        <w:t xml:space="preserve">”</w:t>
      </w:r>
      <w:r>
        <w:t xml:space="preserve"> </w:t>
      </w:r>
      <w:r>
        <w:t xml:space="preserve">and enable interoperability from one Data Commons to another.</w:t>
      </w:r>
    </w:p>
    <w:p>
      <w:pPr>
        <w:pStyle w:val="BodyText"/>
      </w:pPr>
      <w:r>
        <w:rPr>
          <w:b/>
        </w:rPr>
        <w:t xml:space="preserve">Harvard Data Commons</w:t>
      </w:r>
      <w:r>
        <w:t xml:space="preserve"> </w:t>
      </w:r>
      <w:r>
        <w:t xml:space="preserve">[</w:t>
      </w:r>
      <w:hyperlink w:anchor="ref-1Hh0kF7qr">
        <w:r>
          <w:rPr>
            <w:rStyle w:val="Hyperlink"/>
          </w:rPr>
          <w:t xml:space="preserve">85</w:t>
        </w:r>
      </w:hyperlink>
      <w:r>
        <w:t xml:space="preserve">]</w:t>
      </w:r>
      <w:r>
        <w:t xml:space="preserve"> </w:t>
      </w:r>
      <w:r>
        <w:t xml:space="preserve">aims to address data access and reuse challenges of cross-disciplinary research within a research institution. It brings together multiple institutional schools, libraries, computing centres and the</w:t>
      </w:r>
      <w:r>
        <w:t xml:space="preserve"> </w:t>
      </w:r>
      <w:hyperlink r:id="rId180">
        <w:r>
          <w:rPr>
            <w:rStyle w:val="Hyperlink"/>
          </w:rPr>
          <w:t xml:space="preserve">Harvard Dataverse data repository</w:t>
        </w:r>
      </w:hyperlink>
      <w:r>
        <w:t xml:space="preserve">.</w:t>
      </w:r>
      <w:r>
        <w:t xml:space="preserve"> </w:t>
      </w:r>
      <w:hyperlink r:id="rId181">
        <w:r>
          <w:rPr>
            <w:rStyle w:val="Hyperlink"/>
          </w:rPr>
          <w:t xml:space="preserve">Dataverse</w:t>
        </w:r>
      </w:hyperlink>
      <w:r>
        <w:t xml:space="preserve"> </w:t>
      </w:r>
      <w:r>
        <w:t xml:space="preserve">[</w:t>
      </w:r>
      <w:hyperlink w:anchor="ref-1GS5Dq9yc">
        <w:r>
          <w:rPr>
            <w:rStyle w:val="Hyperlink"/>
          </w:rPr>
          <w:t xml:space="preserve">86</w:t>
        </w:r>
      </w:hyperlink>
      <w:r>
        <w:t xml:space="preserve">]</w:t>
      </w:r>
      <w:r>
        <w:t xml:space="preserve"> </w:t>
      </w:r>
      <w:r>
        <w:t xml:space="preserve">is a free and open-source software platform to archive, share and cite research data. The Harvard Dataverse repository is the largest of 70 installations worldwide, containing over 100K datasets with about 1M data files. Toward the goal of facilitating collaboration and data discoverability and management within the university, Harvard Data Commons has the following primary objectives:</w:t>
      </w:r>
    </w:p>
    <w:p>
      <w:pPr>
        <w:numPr>
          <w:ilvl w:val="0"/>
          <w:numId w:val="1007"/>
        </w:numPr>
        <w:pStyle w:val="Compact"/>
      </w:pPr>
      <w:r>
        <w:t xml:space="preserve">integrating Harvard Research Computing with Harvard Dataverse by leveraging Globus endpoints</w:t>
      </w:r>
      <w:r>
        <w:t xml:space="preserve"> </w:t>
      </w:r>
      <w:r>
        <w:t xml:space="preserve">[</w:t>
      </w:r>
      <w:hyperlink w:anchor="ref-7yKqnsAx">
        <w:r>
          <w:rPr>
            <w:rStyle w:val="Hyperlink"/>
          </w:rPr>
          <w:t xml:space="preserve">87</w:t>
        </w:r>
      </w:hyperlink>
      <w:r>
        <w:t xml:space="preserve">]</w:t>
      </w:r>
      <w:r>
        <w:t xml:space="preserve"> </w:t>
      </w:r>
      <w:r>
        <w:t xml:space="preserve">that will allow an automatic transfer of large datasets to the repository. In some cases, only the metadata will be transferred while the data stays stored in remote storage;</w:t>
      </w:r>
    </w:p>
    <w:p>
      <w:pPr>
        <w:numPr>
          <w:ilvl w:val="0"/>
          <w:numId w:val="1007"/>
        </w:numPr>
        <w:pStyle w:val="Compact"/>
      </w:pPr>
      <w:r>
        <w:t xml:space="preserve">supporting advanced research workflows and providing packaging options for assets such as code and workflows in the Harvard Dataverse repository to enable reproducibility and reuse, and</w:t>
      </w:r>
    </w:p>
    <w:p>
      <w:pPr>
        <w:numPr>
          <w:ilvl w:val="0"/>
          <w:numId w:val="1007"/>
        </w:numPr>
        <w:pStyle w:val="Compact"/>
      </w:pPr>
      <w:r>
        <w:t xml:space="preserve">integrating repositories supported by Harvard, which are</w:t>
      </w:r>
      <w:r>
        <w:t xml:space="preserve"> </w:t>
      </w:r>
      <w:hyperlink r:id="rId182">
        <w:r>
          <w:rPr>
            <w:rStyle w:val="Hyperlink"/>
          </w:rPr>
          <w:t xml:space="preserve">DASH</w:t>
        </w:r>
      </w:hyperlink>
      <w:r>
        <w:t xml:space="preserve">, the open access institutional repository, the Digital Repository Services (DRS) for preserving digital asset collections, and the Harvard Dataverse.</w:t>
      </w:r>
    </w:p>
    <w:p>
      <w:pPr>
        <w:pStyle w:val="FirstParagraph"/>
      </w:pPr>
      <w:r>
        <w:t xml:space="preserve">Particularly relevant to this paper is the second objective of the Harvard Data Commons, which aims to support the deposit of research artefacts to Harvard Dataverse with sufficient information in the metadata to allow their future reuse (Figure</w:t>
      </w:r>
      <w:r>
        <w:t xml:space="preserve"> </w:t>
      </w:r>
      <w:r>
        <w:t xml:space="preserve">). Considering the requirements of incorporating data, code, and other artefacts from various institutional infrastructures, Harvard Data Commons is currently working on RO-Crate adaptation. The RO-Crate metadata provides the necessary structure to make all research artefacts FAIR. The Dataverse software already has extensive support for metadata, including the Data Documentation Initiative (DDI), Dublin Core, DataCite, and Schema.org. Incorporating RO-Crate, which has the flexibility to describe a wide range of research resources, will facilitate their seamless transition from one infrastructure to the other within the Harvard Data Commons.</w:t>
      </w:r>
    </w:p>
    <w:p>
      <w:pPr>
        <w:pStyle w:val="BodyText"/>
      </w:pPr>
      <w:r>
        <w:t xml:space="preserve">Even though the Harvard Data Commons is specific to Harvard University, the overall vision and the three objectives can be abstracted and applied to other universities or research organisations. The Commons will be designed and implemented using standards and commonly-used approaches to make it interoperable and reusable by others.</w:t>
      </w:r>
    </w:p>
    <w:p>
      <w:pPr>
        <w:pStyle w:val="Heading1"/>
      </w:pPr>
      <w:bookmarkStart w:id="183" w:name="related-work"/>
      <w:r>
        <w:t xml:space="preserve">Related Work</w:t>
      </w:r>
      <w:bookmarkEnd w:id="183"/>
    </w:p>
    <w:p>
      <w:pPr>
        <w:pStyle w:val="FirstParagraph"/>
      </w:pPr>
      <w:r>
        <w:t xml:space="preserve">With the increasing digitisation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88</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of publishing compound objects for scholarly communication has a long history behind it</w:t>
      </w:r>
      <w:r>
        <w:t xml:space="preserve"> </w:t>
      </w:r>
      <w:r>
        <w:t xml:space="preserve">[</w:t>
      </w:r>
      <w:hyperlink w:anchor="ref-D318Yc35">
        <w:r>
          <w:rPr>
            <w:rStyle w:val="Hyperlink"/>
          </w:rPr>
          <w:t xml:space="preserve">89</w:t>
        </w:r>
      </w:hyperlink>
      <w:r>
        <w:t xml:space="preserve">]</w:t>
      </w:r>
      <w:r>
        <w:t xml:space="preserve"> </w:t>
      </w:r>
      <w:r>
        <w:t xml:space="preserve">[</w:t>
      </w:r>
      <w:hyperlink w:anchor="ref-16USoLuIY">
        <w:r>
          <w:rPr>
            <w:rStyle w:val="Hyperlink"/>
          </w:rPr>
          <w:t xml:space="preserve">90</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84" w:name="X11a4f11c185d41e64cb348aa04093ec22c1f1fb"/>
      <w:r>
        <w:t xml:space="preserve">Bundling and Packaging Digital Research Artefacts</w:t>
      </w:r>
      <w:bookmarkEnd w:id="184"/>
    </w:p>
    <w:p>
      <w:pPr>
        <w:pStyle w:val="FirstParagraph"/>
      </w:pPr>
      <w:r>
        <w:t xml:space="preserve">Early work making the case for publishing compound scholarly communication units</w:t>
      </w:r>
      <w:r>
        <w:t xml:space="preserve"> </w:t>
      </w:r>
      <w:r>
        <w:t xml:space="preserve">[</w:t>
      </w:r>
      <w:hyperlink w:anchor="ref-16USoLuIY">
        <w:r>
          <w:rPr>
            <w:rStyle w:val="Hyperlink"/>
          </w:rPr>
          <w:t xml:space="preserve">90</w:t>
        </w:r>
      </w:hyperlink>
      <w:r>
        <w:t xml:space="preserve">]</w:t>
      </w:r>
      <w:r>
        <w:t xml:space="preserve"> </w:t>
      </w:r>
      <w:r>
        <w:t xml:space="preserve">led to the development of the</w:t>
      </w:r>
      <w:r>
        <w:t xml:space="preserve"> </w:t>
      </w:r>
      <w:hyperlink r:id="rId185">
        <w:r>
          <w:rPr>
            <w:rStyle w:val="Hyperlink"/>
          </w:rPr>
          <w:t xml:space="preserve">Object Re-Use and Exchange model</w:t>
        </w:r>
      </w:hyperlink>
      <w:r>
        <w:t xml:space="preserve"> </w:t>
      </w:r>
      <w:r>
        <w:t xml:space="preserve">(OAI-ORE), providing a structured</w:t>
      </w:r>
      <w:r>
        <w:t xml:space="preserve"> </w:t>
      </w:r>
      <w:r>
        <w:rPr>
          <w:b/>
        </w:rPr>
        <w:t xml:space="preserve">resource map</w:t>
      </w:r>
      <w:r>
        <w:t xml:space="preserve"> </w:t>
      </w:r>
      <w:r>
        <w:t xml:space="preserve">of the digital artefacts that together support a scholarly output.</w:t>
      </w:r>
    </w:p>
    <w:p>
      <w:pPr>
        <w:pStyle w:val="BodyText"/>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11</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11</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w:t>
      </w:r>
      <w:r>
        <w:t xml:space="preserve"> </w:t>
      </w:r>
      <w:r>
        <w:t xml:space="preserve">[</w:t>
      </w:r>
      <w:hyperlink w:anchor="ref-6DjakjNS">
        <w:r>
          <w:rPr>
            <w:rStyle w:val="Hyperlink"/>
          </w:rPr>
          <w:t xml:space="preserve">5</w:t>
        </w:r>
      </w:hyperlink>
      <w:r>
        <w:t xml:space="preserve">]</w:t>
      </w:r>
      <w:r>
        <w:t xml:space="preserve">, we can say with hindsight that the initial RO approaches strongly targeted</w:t>
      </w:r>
      <w:r>
        <w:t xml:space="preserve"> </w:t>
      </w:r>
      <w:r>
        <w:rPr>
          <w:i/>
        </w:rPr>
        <w:t xml:space="preserve">Interoperability</w:t>
      </w:r>
      <w:r>
        <w:t xml:space="preserve">, with a particular focus on the reproducibility of</w:t>
      </w:r>
      <w:r>
        <w:t xml:space="preserve"> </w:t>
      </w:r>
      <w:r>
        <w:rPr>
          <w:i/>
        </w:rPr>
        <w:t xml:space="preserve">in-silico experiments</w:t>
      </w:r>
      <w:r>
        <w:t xml:space="preserve"> </w:t>
      </w:r>
      <w:r>
        <w:t xml:space="preserve">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91</w:t>
        </w:r>
      </w:hyperlink>
      <w:r>
        <w:t xml:space="preserve">]</w:t>
      </w:r>
      <w:r>
        <w:t xml:space="preserve"> </w:t>
      </w:r>
      <w:r>
        <w:t xml:space="preserve">was based on RDF ontologies</w:t>
      </w:r>
      <w:r>
        <w:t xml:space="preserve"> </w:t>
      </w:r>
      <w:r>
        <w:t xml:space="preserve">[</w:t>
      </w:r>
      <w:hyperlink w:anchor="ref-1zQ0H831">
        <w:r>
          <w:rPr>
            <w:rStyle w:val="Hyperlink"/>
          </w:rPr>
          <w:t xml:space="preserve">92</w:t>
        </w:r>
      </w:hyperlink>
      <w:r>
        <w:t xml:space="preserve">]</w:t>
      </w:r>
      <w:r>
        <w:t xml:space="preserve">, building on Dublin Core, FOAF, SIOC, Creative Commons and OAI-ORE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93</w:t>
        </w:r>
      </w:hyperlink>
      <w:r>
        <w:t xml:space="preserve">]</w:t>
      </w:r>
      <w:r>
        <w:t xml:space="preserve">.</w:t>
      </w:r>
    </w:p>
    <w:p>
      <w:pPr>
        <w:pStyle w:val="BodyText"/>
      </w:pPr>
      <w:r>
        <w:t xml:space="preserve">This initially workflow-centric approach was further formalized as the Wf4Ever Research Object Model</w:t>
      </w:r>
      <w:r>
        <w:t xml:space="preserve"> </w:t>
      </w:r>
      <w:r>
        <w:t xml:space="preserve">[</w:t>
      </w:r>
      <w:hyperlink w:anchor="ref-eWgJ0fZt">
        <w:r>
          <w:rPr>
            <w:rStyle w:val="Hyperlink"/>
          </w:rPr>
          <w:t xml:space="preserve">12</w:t>
        </w:r>
      </w:hyperlink>
      <w:r>
        <w:t xml:space="preserve">]</w:t>
      </w:r>
      <w:r>
        <w:t xml:space="preserve">, which is a general-purpose research artefact description framework, based on existing ontologies (FOAF, Dublin Core Terms, OAI-ORE and AO/OAC precursors to the W3C Web Annotation Model</w:t>
      </w:r>
      <w:r>
        <w:t xml:space="preserve"> </w:t>
      </w:r>
      <w:r>
        <w:t xml:space="preserve">[</w:t>
      </w:r>
      <w:hyperlink w:anchor="ref-KGZLxbxf">
        <w:r>
          <w:rPr>
            <w:rStyle w:val="Hyperlink"/>
          </w:rPr>
          <w:t xml:space="preserve">94</w:t>
        </w:r>
      </w:hyperlink>
      <w:r>
        <w:t xml:space="preserve">]</w:t>
      </w:r>
      <w:r>
        <w:t xml:space="preserve">), adding specializations for workflow models and executions based on W3C PROV-O</w:t>
      </w:r>
      <w:r>
        <w:t xml:space="preserve"> </w:t>
      </w:r>
      <w:r>
        <w:t xml:space="preserve">[</w:t>
      </w:r>
      <w:hyperlink w:anchor="ref-cLnDUfHN">
        <w:r>
          <w:rPr>
            <w:rStyle w:val="Hyperlink"/>
          </w:rPr>
          <w:t xml:space="preserve">95</w:t>
        </w:r>
      </w:hyperlink>
      <w:r>
        <w:t xml:space="preserve">]</w:t>
      </w:r>
      <w:r>
        <w:t xml:space="preserve">. The Research Object statements are saved in a</w:t>
      </w:r>
      <w:r>
        <w:t xml:space="preserve"> </w:t>
      </w:r>
      <w:r>
        <w:rPr>
          <w:i/>
        </w:rPr>
        <w:t xml:space="preserve">manifest</w:t>
      </w:r>
      <w:r>
        <w:t xml:space="preserve"> </w:t>
      </w:r>
      <w:r>
        <w:t xml:space="preserve">(the OAI-ORE</w:t>
      </w:r>
      <w:r>
        <w:t xml:space="preserve"> </w:t>
      </w:r>
      <w:r>
        <w:rPr>
          <w:i/>
        </w:rPr>
        <w:t xml:space="preserve">resource map</w:t>
      </w:r>
      <w:r>
        <w:t xml:space="preserve">), with additional annotation resources containing user-provided details such as title and description.</w:t>
      </w:r>
    </w:p>
    <w:p>
      <w:pPr>
        <w:pStyle w:val="BodyText"/>
      </w:pPr>
      <w:r>
        <w:t xml:space="preserve">We can claim that one barrier for adoption of the Wf4Eer Research Object model for general packaging digital research artefacts was exactly this re-use of multiple existing vocabularies (FAIR principle I2:</w:t>
      </w:r>
      <w:r>
        <w:t xml:space="preserve"> </w:t>
      </w:r>
      <w:r>
        <w:rPr>
          <w:i/>
        </w:rPr>
        <w:t xml:space="preserve">Meta)data use vocabularies that follow FAIR principles</w:t>
      </w:r>
      <w:r>
        <w:t xml:space="preserve">), itself a challenge</w:t>
      </w:r>
      <w:r>
        <w:t xml:space="preserve"> </w:t>
      </w:r>
      <w:r>
        <w:t xml:space="preserve">[</w:t>
      </w:r>
      <w:hyperlink w:anchor="ref-16Tre0SD9">
        <w:r>
          <w:rPr>
            <w:rStyle w:val="Hyperlink"/>
          </w:rPr>
          <w:t xml:space="preserve">96</w:t>
        </w:r>
      </w:hyperlink>
      <w:r>
        <w:t xml:space="preserve">]</w:t>
      </w:r>
      <w:r>
        <w:t xml:space="preserve">, as developers had to navigate documentation of multiple overlapping ontologies in addition to facing the usual Semantic Web choices for RDF serialization formats, identifier minting and publishing resources on the Web.</w:t>
      </w:r>
    </w:p>
    <w:p>
      <w:pPr>
        <w:pStyle w:val="BodyText"/>
      </w:pPr>
      <w:r>
        <w:t xml:space="preserve">Several later developments for Research Objects improved on this situation, such as ROHub used by Earth Sciences</w:t>
      </w:r>
      <w:r>
        <w:t xml:space="preserve"> </w:t>
      </w:r>
      <w:r>
        <w:t xml:space="preserve">[</w:t>
      </w:r>
      <w:hyperlink w:anchor="ref-tyKVYqu2">
        <w:r>
          <w:rPr>
            <w:rStyle w:val="Hyperlink"/>
          </w:rPr>
          <w:t xml:space="preserve">97</w:t>
        </w:r>
      </w:hyperlink>
      <w:r>
        <w:t xml:space="preserve">]</w:t>
      </w:r>
      <w:r>
        <w:t xml:space="preserve">, which provides a interactive user-interface for making research objects, along with Research Object Bundle</w:t>
      </w:r>
      <w:r>
        <w:t xml:space="preserve"> </w:t>
      </w:r>
      <w:r>
        <w:t xml:space="preserve">[</w:t>
      </w:r>
      <w:hyperlink w:anchor="ref-dijZpInF">
        <w:r>
          <w:rPr>
            <w:rStyle w:val="Hyperlink"/>
          </w:rPr>
          <w:t xml:space="preserve">69</w:t>
        </w:r>
      </w:hyperlink>
      <w:r>
        <w:t xml:space="preserve">]</w:t>
      </w:r>
      <w:r>
        <w:t xml:space="preserve"> </w:t>
      </w:r>
      <w:r>
        <w:t xml:space="preserve">(RO Bundle), which is a ZIP-archive embedding data files and a JSON-LD serialization of the manifest has mapping for a limited set of terms and was used for storing workflow run provenance (TavernaPROV</w:t>
      </w:r>
      <w:r>
        <w:t xml:space="preserve"> </w:t>
      </w:r>
      <w:r>
        <w:t xml:space="preserve">[</w:t>
      </w:r>
      <w:hyperlink w:anchor="ref-W6bDegHu">
        <w:r>
          <w:rPr>
            <w:rStyle w:val="Hyperlink"/>
          </w:rPr>
          <w:t xml:space="preserve">68</w:t>
        </w:r>
      </w:hyperlink>
      <w:r>
        <w:t xml:space="preserve">]</w:t>
      </w:r>
      <w:r>
        <w:t xml:space="preserve">).</w:t>
      </w:r>
    </w:p>
    <w:p>
      <w:pPr>
        <w:pStyle w:val="BodyText"/>
      </w:pPr>
      <w:r>
        <w:t xml:space="preserve">RO-Bundle evolved to</w:t>
      </w:r>
      <w:r>
        <w:t xml:space="preserve"> </w:t>
      </w:r>
      <w:hyperlink r:id="rId186">
        <w:r>
          <w:rPr>
            <w:rStyle w:val="Hyperlink"/>
          </w:rPr>
          <w:t xml:space="preserve">Research Object BagIt archives</w:t>
        </w:r>
      </w:hyperlink>
      <w:r>
        <w:t xml:space="preserve">, a variant of RO Bundle as a BagIt archive</w:t>
      </w:r>
      <w:r>
        <w:t xml:space="preserve"> </w:t>
      </w:r>
      <w:r>
        <w:t xml:space="preserve">[</w:t>
      </w:r>
      <w:hyperlink w:anchor="ref-UQNJggmh">
        <w:r>
          <w:rPr>
            <w:rStyle w:val="Hyperlink"/>
          </w:rPr>
          <w:t xml:space="preserve">24</w:t>
        </w:r>
      </w:hyperlink>
      <w:r>
        <w:t xml:space="preserve">]</w:t>
      </w:r>
      <w:r>
        <w:t xml:space="preserve">, used by Big Data Bags</w:t>
      </w:r>
      <w:r>
        <w:t xml:space="preserve"> </w:t>
      </w:r>
      <w:r>
        <w:t xml:space="preserve">[</w:t>
      </w:r>
      <w:hyperlink w:anchor="ref-nCdDRreI">
        <w:r>
          <w:rPr>
            <w:rStyle w:val="Hyperlink"/>
          </w:rPr>
          <w:t xml:space="preserve">76</w:t>
        </w:r>
      </w:hyperlink>
      <w:r>
        <w:t xml:space="preserve">]</w:t>
      </w:r>
      <w:r>
        <w:t xml:space="preserve">, CWLProv</w:t>
      </w:r>
      <w:r>
        <w:t xml:space="preserve"> </w:t>
      </w:r>
      <w:r>
        <w:t xml:space="preserve">[</w:t>
      </w:r>
      <w:hyperlink w:anchor="ref-4Pd3RTmI">
        <w:r>
          <w:rPr>
            <w:rStyle w:val="Hyperlink"/>
          </w:rPr>
          <w:t xml:space="preserve">32</w:t>
        </w:r>
      </w:hyperlink>
      <w:r>
        <w:t xml:space="preserve">]</w:t>
      </w:r>
      <w:r>
        <w:t xml:space="preserve"> </w:t>
      </w:r>
      <w:r>
        <w:t xml:space="preserve">and WholeTale</w:t>
      </w:r>
      <w:r>
        <w:t xml:space="preserve"> </w:t>
      </w:r>
      <w:r>
        <w:t xml:space="preserve">[</w:t>
      </w:r>
      <w:hyperlink w:anchor="ref-16M9YRYfg">
        <w:r>
          <w:rPr>
            <w:rStyle w:val="Hyperlink"/>
          </w:rPr>
          <w:t xml:space="preserve">98</w:t>
        </w:r>
      </w:hyperlink>
      <w:r>
        <w:t xml:space="preserve">]</w:t>
      </w:r>
      <w:r>
        <w:t xml:space="preserve"> </w:t>
      </w:r>
      <w:r>
        <w:t xml:space="preserve">[</w:t>
      </w:r>
      <w:hyperlink w:anchor="ref-wIuPSf9U">
        <w:r>
          <w:rPr>
            <w:rStyle w:val="Hyperlink"/>
          </w:rPr>
          <w:t xml:space="preserve">99</w:t>
        </w:r>
      </w:hyperlink>
      <w:r>
        <w:t xml:space="preserve">]</w:t>
      </w:r>
      <w:r>
        <w:t xml:space="preserve">.</w:t>
      </w:r>
    </w:p>
    <w:p>
      <w:pPr>
        <w:pStyle w:val="Heading2"/>
      </w:pPr>
      <w:bookmarkStart w:id="187" w:name="fair-digital-objects"/>
      <w:r>
        <w:t xml:space="preserve">FAIR Digital Objects</w:t>
      </w:r>
      <w:bookmarkEnd w:id="187"/>
    </w:p>
    <w:p>
      <w:pPr>
        <w:pStyle w:val="FirstParagraph"/>
      </w:pPr>
      <w:r>
        <w:t xml:space="preserve">FAIR Digital Objects (FDO)</w:t>
      </w:r>
      <w:r>
        <w:t xml:space="preserve"> </w:t>
      </w:r>
      <w:r>
        <w:t xml:space="preserve">[</w:t>
      </w:r>
      <w:hyperlink w:anchor="ref-k5pGkxd5">
        <w:r>
          <w:rPr>
            <w:rStyle w:val="Hyperlink"/>
          </w:rPr>
          <w:t xml:space="preserve">71</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Persistent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88">
        <w:r>
          <w:rPr>
            <w:rStyle w:val="Hyperlink"/>
          </w:rPr>
          <w:t xml:space="preserve">abstract protocol</w:t>
        </w:r>
      </w:hyperlink>
      <w:r>
        <w:t xml:space="preserve">”</w:t>
      </w:r>
      <w:r>
        <w:t xml:space="preserve">, DOs could be implemented in multiple ways. One suggested implementation is the</w:t>
      </w:r>
      <w:r>
        <w:t xml:space="preserve"> </w:t>
      </w:r>
      <w:hyperlink r:id="rId189">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8"/>
        </w:numPr>
        <w:pStyle w:val="Compact"/>
      </w:pPr>
      <w:r>
        <w:t xml:space="preserve">By providing a predictable and extensible serialisation of structured metadata.</w:t>
      </w:r>
    </w:p>
    <w:p>
      <w:pPr>
        <w:numPr>
          <w:ilvl w:val="0"/>
          <w:numId w:val="1008"/>
        </w:numPr>
        <w:pStyle w:val="Compact"/>
      </w:pPr>
      <w:r>
        <w:t xml:space="preserve">By formalising how to aggregate digital objects as collections (and adding their context).</w:t>
      </w:r>
    </w:p>
    <w:p>
      <w:pPr>
        <w:numPr>
          <w:ilvl w:val="0"/>
          <w:numId w:val="1008"/>
        </w:numPr>
        <w:pStyle w:val="Compact"/>
      </w:pPr>
      <w:r>
        <w:t xml:space="preserve">By providing a natural Metadata FDO in the form of the RO-Crate Metadata File.</w:t>
      </w:r>
    </w:p>
    <w:p>
      <w:pPr>
        <w:numPr>
          <w:ilvl w:val="0"/>
          <w:numId w:val="1008"/>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90" w:name="packaging-workflows"/>
      <w:r>
        <w:t xml:space="preserve">Packaging Workflows</w:t>
      </w:r>
      <w:bookmarkEnd w:id="190"/>
    </w:p>
    <w:p>
      <w:pPr>
        <w:pStyle w:val="FirstParagraph"/>
      </w:pPr>
      <w:r>
        <w:t xml:space="preserve">The use of computational workflows, typically combining a chain of open source tools in an analytical pipeline, has gained prominence, in particular in the life sciences. Workflows may have initially been used to improve computational scalability, but they also assist in making computed data results FAIR</w:t>
      </w:r>
      <w:r>
        <w:t xml:space="preserve"> </w:t>
      </w:r>
      <w:r>
        <w:t xml:space="preserve">[</w:t>
      </w:r>
      <w:hyperlink w:anchor="ref-nHPbkJXy">
        <w:r>
          <w:rPr>
            <w:rStyle w:val="Hyperlink"/>
          </w:rPr>
          <w:t xml:space="preserve">4</w:t>
        </w:r>
      </w:hyperlink>
      <w:r>
        <w:t xml:space="preserve">]</w:t>
      </w:r>
      <w:r>
        <w:t xml:space="preserve">, for instance by improving reproducibility</w:t>
      </w:r>
      <w:r>
        <w:t xml:space="preserve"> </w:t>
      </w:r>
      <w:r>
        <w:t xml:space="preserve">[</w:t>
      </w:r>
      <w:hyperlink w:anchor="ref-1D4gyjbRv">
        <w:r>
          <w:rPr>
            <w:rStyle w:val="Hyperlink"/>
          </w:rPr>
          <w:t xml:space="preserve">100</w:t>
        </w:r>
      </w:hyperlink>
      <w:r>
        <w:t xml:space="preserve">]</w:t>
      </w:r>
      <w:r>
        <w:t xml:space="preserve">, but also because programmatic data usage help propagate their metadata and provenance</w:t>
      </w:r>
      <w:r>
        <w:t xml:space="preserve"> </w:t>
      </w:r>
      <w:r>
        <w:t xml:space="preserve">[</w:t>
      </w:r>
      <w:hyperlink w:anchor="ref-TmTSmrSZ">
        <w:r>
          <w:rPr>
            <w:rStyle w:val="Hyperlink"/>
          </w:rPr>
          <w:t xml:space="preserve">101</w:t>
        </w:r>
      </w:hyperlink>
      <w:r>
        <w:t xml:space="preserve">]</w:t>
      </w:r>
      <w:r>
        <w:t xml:space="preserve">. At the same time, workflows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sbRbAxdT">
        <w:r>
          <w:rPr>
            <w:rStyle w:val="Hyperlink"/>
          </w:rPr>
          <w:t xml:space="preserve">3</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102</w:t>
        </w:r>
      </w:hyperlink>
      <w:r>
        <w:t xml:space="preserve">]</w:t>
      </w:r>
      <w:r>
        <w:t xml:space="preserve"> </w:t>
      </w:r>
      <w:r>
        <w:t xml:space="preserve">[</w:t>
      </w:r>
      <w:hyperlink w:anchor="ref-1D4gyjbRv">
        <w:r>
          <w:rPr>
            <w:rStyle w:val="Hyperlink"/>
          </w:rPr>
          <w:t xml:space="preserve">100</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103</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104</w:t>
        </w:r>
      </w:hyperlink>
      <w:r>
        <w:t xml:space="preserve">]</w:t>
      </w:r>
      <w:r>
        <w:t xml:space="preserve"> </w:t>
      </w:r>
      <w:r>
        <w:t xml:space="preserve">and of open source code in GitHub</w:t>
      </w:r>
      <w:r>
        <w:t xml:space="preserve"> </w:t>
      </w:r>
      <w:hyperlink r:id="rId191">
        <w:r>
          <w:rPr>
            <w:rStyle w:val="Hyperlink"/>
          </w:rPr>
          <w:t xml:space="preserve">Finn-Lab/MGS-gut</w:t>
        </w:r>
      </w:hyperlink>
      <w:r>
        <w:t xml:space="preserve"> </w:t>
      </w:r>
      <w:r>
        <w:t xml:space="preserve">[</w:t>
      </w:r>
      <w:hyperlink w:anchor="ref-1BmIQbauY">
        <w:r>
          <w:rPr>
            <w:rStyle w:val="Hyperlink"/>
          </w:rPr>
          <w:t xml:space="preserve">105</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106</w:t>
        </w:r>
      </w:hyperlink>
      <w:r>
        <w:t xml:space="preserve">]</w:t>
      </w:r>
      <w:r>
        <w:t xml:space="preserve">. Indeed, in the absence of a specific requirement and an editorial policy to back it up – such as eliminating the reference limit – authors are effectively discouraged from properly and comprehensively citing software</w:t>
      </w:r>
      <w:r>
        <w:t xml:space="preserve"> </w:t>
      </w:r>
      <w:r>
        <w:t xml:space="preserve">[</w:t>
      </w:r>
      <w:hyperlink w:anchor="ref-ml5o5Q6v">
        <w:r>
          <w:rPr>
            <w:rStyle w:val="Hyperlink"/>
          </w:rPr>
          <w:t xml:space="preserve">107</w:t>
        </w:r>
      </w:hyperlink>
      <w:r>
        <w:t xml:space="preserve">]</w:t>
      </w:r>
      <w:r>
        <w:t xml:space="preserve">.</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108</w:t>
        </w:r>
      </w:hyperlink>
      <w:r>
        <w:t xml:space="preserve">]</w:t>
      </w:r>
      <w:r>
        <w:t xml:space="preserve">[</w:t>
      </w:r>
      <w:hyperlink w:anchor="ref-LrIJVM5a">
        <w:r>
          <w:rPr>
            <w:rStyle w:val="Hyperlink"/>
          </w:rPr>
          <w:t xml:space="preserve">109</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110</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111</w:t>
        </w:r>
      </w:hyperlink>
      <w:r>
        <w:t xml:space="preserve">]</w:t>
      </w:r>
      <w:r>
        <w:t xml:space="preserve"> </w:t>
      </w:r>
      <w:r>
        <w:t xml:space="preserve">and BioContainers</w:t>
      </w:r>
      <w:r>
        <w:t xml:space="preserve"> </w:t>
      </w:r>
      <w:r>
        <w:t xml:space="preserve">[</w:t>
      </w:r>
      <w:hyperlink w:anchor="ref-rJUU3iuR">
        <w:r>
          <w:rPr>
            <w:rStyle w:val="Hyperlink"/>
          </w:rPr>
          <w:t xml:space="preserve">112</w:t>
        </w:r>
      </w:hyperlink>
      <w:r>
        <w:t xml:space="preserve">]</w:t>
      </w:r>
      <w:r>
        <w:t xml:space="preserve">, and support by Linux distributions (e.g. Debian Med</w:t>
      </w:r>
      <w:r>
        <w:t xml:space="preserve"> </w:t>
      </w:r>
      <w:r>
        <w:t xml:space="preserve">[</w:t>
      </w:r>
      <w:hyperlink w:anchor="ref-8DE4ZSsb">
        <w:r>
          <w:rPr>
            <w:rStyle w:val="Hyperlink"/>
          </w:rPr>
          <w:t xml:space="preserve">113</w:t>
        </w:r>
      </w:hyperlink>
      <w:r>
        <w:t xml:space="preserve">]</w:t>
      </w:r>
      <w:r>
        <w:t xml:space="preserve">). As of May 2021, more than 7000 software packages are available [in BioConda alone] (https://anaconda.org/bioconda/), and 9000 containers</w:t>
      </w:r>
      <w:r>
        <w:t xml:space="preserve"> </w:t>
      </w:r>
      <w:hyperlink r:id="rId192">
        <w:r>
          <w:rPr>
            <w:rStyle w:val="Hyperlink"/>
          </w:rPr>
          <w:t xml:space="preserve">in BioContainers</w:t>
        </w:r>
      </w:hyperlink>
      <w:r>
        <w:t xml:space="preserve">. Docker and Conda have gained integration in workflow systems such as Snakemake</w:t>
      </w:r>
      <w:r>
        <w:t xml:space="preserve"> </w:t>
      </w:r>
      <w:r>
        <w:t xml:space="preserve">[</w:t>
      </w:r>
      <w:hyperlink w:anchor="ref-NcYZqBux">
        <w:r>
          <w:rPr>
            <w:rStyle w:val="Hyperlink"/>
          </w:rPr>
          <w:t xml:space="preserve">64</w:t>
        </w:r>
      </w:hyperlink>
      <w:r>
        <w:t xml:space="preserve">]</w:t>
      </w:r>
      <w:r>
        <w:t xml:space="preserve">, Galaxy</w:t>
      </w:r>
      <w:r>
        <w:t xml:space="preserve"> </w:t>
      </w:r>
      <w:r>
        <w:t xml:space="preserve">[</w:t>
      </w:r>
      <w:hyperlink w:anchor="ref-WBsVRA32">
        <w:r>
          <w:rPr>
            <w:rStyle w:val="Hyperlink"/>
          </w:rPr>
          <w:t xml:space="preserve">114</w:t>
        </w:r>
      </w:hyperlink>
      <w:r>
        <w:t xml:space="preserve">]</w:t>
      </w:r>
      <w:r>
        <w:t xml:space="preserve"> </w:t>
      </w:r>
      <w:r>
        <w:t xml:space="preserve">and Nextflow</w:t>
      </w:r>
      <w:r>
        <w:t xml:space="preserve"> </w:t>
      </w:r>
      <w:r>
        <w:t xml:space="preserve">[</w:t>
      </w:r>
      <w:hyperlink w:anchor="ref-4XDvZWxk">
        <w:r>
          <w:rPr>
            <w:rStyle w:val="Hyperlink"/>
          </w:rPr>
          <w:t xml:space="preserve">63</w:t>
        </w:r>
      </w:hyperlink>
      <w:r>
        <w:t xml:space="preserve">]</w:t>
      </w:r>
      <w:r>
        <w:t xml:space="preserve">,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 – but even here there is a reproducibility challenge, for instance</w:t>
      </w:r>
      <w:r>
        <w:t xml:space="preserve"> </w:t>
      </w:r>
      <w:hyperlink r:id="rId193">
        <w:r>
          <w:rPr>
            <w:rStyle w:val="Hyperlink"/>
          </w:rPr>
          <w:t xml:space="preserve">Docker Hub’s retention policy will expire container images after 6 months</w:t>
        </w:r>
      </w:hyperlink>
      <w:r>
        <w:t xml:space="preserve">, or lack of recording versions of transitive dependencies of Conda packages could cause incompatibilities if the packages are subsequently updated. Except for brief metadata in their repositories, these containers and packages do not capture any semantic relationships of their content – rather their opaqueness and wrapping of arbitrary binary tools makes such relationships harder to find.</w:t>
      </w:r>
    </w:p>
    <w:p>
      <w:pPr>
        <w:pStyle w:val="BodyText"/>
      </w:pPr>
      <w:r>
        <w:t xml:space="preserve">From this we see that computational workflows are themselves complex digital objects that need to be recorded not just as files, but in the context of their execution environment, dependencies and analytical purpose in research – as well as other metadata (e.g. version, license, attribution and identifiers).</w:t>
      </w:r>
    </w:p>
    <w:p>
      <w:pPr>
        <w:pStyle w:val="Heading1"/>
      </w:pPr>
      <w:bookmarkStart w:id="194" w:name="conclusion"/>
      <w:r>
        <w:t xml:space="preserve">Conclusion</w:t>
      </w:r>
      <w:bookmarkEnd w:id="194"/>
    </w:p>
    <w:p>
      <w:pPr>
        <w:pStyle w:val="FirstParagraph"/>
      </w:pPr>
      <w:r>
        <w:t xml:space="preserve">RO-Crate provides an approach to packaging digital research artefacts with structured metadata, assisting developers and researchers to produce and consume FAIR archives of their research.</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The adoption of simple web technologies in the RO-Crate specification has helped a rapid development of a wide variety of supporting open source tools and libraries. RO-Crate fits into the larger landscape of open scholarly communication and FAIR Digital Object infrastructure, and can be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BodyText"/>
      </w:pPr>
      <w:r>
        <w:t xml:space="preserve">As a collaborative effort, the RO-Crate future work is lead by the community around it. We currently plan on further outreach, building training material and maturing the reference implementation libraries. In addition, we are exploring ways to support some entity types requested by users, e.g. workflow runs or containers, which do not have a good match in schema.org. Such support could be added, for instance, by integrating other vocabularies or having separated (but linked) metadata files. Furthermore, we want to better understand how the community uses RO-crates in practice and how it contrast with other related efforts as that will help us improve our specification and tools. We plan to gather feedback via user studies either with the Linked Open Data community or as part of EOSC Bring-your-own-Data training events.</w:t>
      </w:r>
    </w:p>
    <w:p>
      <w:pPr>
        <w:pStyle w:val="Heading1"/>
      </w:pPr>
      <w:bookmarkStart w:id="195" w:name="acknowledgements"/>
      <w:r>
        <w:t xml:space="preserve">Acknowledgements</w:t>
      </w:r>
      <w:bookmarkEnd w:id="195"/>
    </w:p>
    <w:p>
      <w:pPr>
        <w:pStyle w:val="FirstParagraph"/>
      </w:pPr>
      <w:r>
        <w:t xml:space="preserve">This work has received funding from the European Commission’s Horizon 2020 research and innovation programme for projects</w:t>
      </w:r>
      <w:r>
        <w:t xml:space="preserve"> </w:t>
      </w:r>
      <w:hyperlink r:id="rId34">
        <w:r>
          <w:rPr>
            <w:rStyle w:val="Hyperlink"/>
          </w:rPr>
          <w:t xml:space="preserve">BioExcel-2</w:t>
        </w:r>
      </w:hyperlink>
      <w:r>
        <w:t xml:space="preserve"> </w:t>
      </w:r>
      <w:r>
        <w:t xml:space="preserve">(H2020-INFRAEDI-2018-1 823830),</w:t>
      </w:r>
      <w:r>
        <w:t xml:space="preserve"> </w:t>
      </w:r>
      <w:hyperlink r:id="rId35">
        <w:r>
          <w:rPr>
            <w:rStyle w:val="Hyperlink"/>
          </w:rPr>
          <w:t xml:space="preserve">IBISBA 1.0</w:t>
        </w:r>
      </w:hyperlink>
      <w:r>
        <w:t xml:space="preserve"> </w:t>
      </w:r>
      <w:r>
        <w:t xml:space="preserve">(H2020-INFRAIA-2017-1-two-stage 730976),</w:t>
      </w:r>
      <w:r>
        <w:t xml:space="preserve"> </w:t>
      </w:r>
      <w:hyperlink r:id="rId81">
        <w:r>
          <w:rPr>
            <w:rStyle w:val="Hyperlink"/>
          </w:rPr>
          <w:t xml:space="preserve">PREP-IBISBA</w:t>
        </w:r>
      </w:hyperlink>
      <w:r>
        <w:t xml:space="preserve"> </w:t>
      </w:r>
      <w:r>
        <w:t xml:space="preserve">(H2020-INFRADEV-2019-2 871118),</w:t>
      </w:r>
      <w:r>
        <w:t xml:space="preserve"> </w:t>
      </w:r>
      <w:hyperlink r:id="rId54">
        <w:r>
          <w:rPr>
            <w:rStyle w:val="Hyperlink"/>
          </w:rPr>
          <w:t xml:space="preserve">EOSC-Life</w:t>
        </w:r>
      </w:hyperlink>
      <w:r>
        <w:t xml:space="preserve"> </w:t>
      </w:r>
      <w:r>
        <w:t xml:space="preserve">(H2020-INFRAEOSC-2018-2 824087),</w:t>
      </w:r>
      <w:r>
        <w:t xml:space="preserve"> </w:t>
      </w:r>
      <w:hyperlink r:id="rId83">
        <w:r>
          <w:rPr>
            <w:rStyle w:val="Hyperlink"/>
          </w:rPr>
          <w:t xml:space="preserve">SyntheSys+</w:t>
        </w:r>
      </w:hyperlink>
      <w:r>
        <w:t xml:space="preserve"> </w:t>
      </w:r>
      <w:r>
        <w:t xml:space="preserve">(H2020-INFRAIA-2018-1 823827).</w:t>
      </w:r>
    </w:p>
    <w:p>
      <w:pPr>
        <w:pStyle w:val="BodyText"/>
      </w:pPr>
      <w:r>
        <w:t xml:space="preserve">Björn Grüning is supported by DataPLANT (</w:t>
      </w:r>
      <w:hyperlink r:id="rId56">
        <w:r>
          <w:rPr>
            <w:rStyle w:val="Hyperlink"/>
          </w:rPr>
          <w:t xml:space="preserve">NFDI 7/1 – 42077441</w:t>
        </w:r>
      </w:hyperlink>
      <w:r>
        <w:t xml:space="preserve">), part of the German National Research Data Infrastructure (NFDI), funded by the Deutsche Forschungsgemeinschaft (DFG).</w:t>
      </w:r>
    </w:p>
    <w:p>
      <w:pPr>
        <w:pStyle w:val="BodyText"/>
      </w:pPr>
      <w:r>
        <w:t xml:space="preserve">Ana Trisovic is funded by the Alfred P. Sloan Foundation</w:t>
      </w:r>
      <w:r>
        <w:t xml:space="preserve"> </w:t>
      </w:r>
      <w:hyperlink r:id="rId71">
        <w:r>
          <w:rPr>
            <w:rStyle w:val="Hyperlink"/>
          </w:rPr>
          <w:t xml:space="preserve">(grant number P-2020-13988)</w:t>
        </w:r>
      </w:hyperlink>
      <w:r>
        <w:t xml:space="preserve">. Harvard Data Commons is supported by an award from Harvard University Information Technology (HUIT).</w:t>
      </w:r>
    </w:p>
    <w:p>
      <w:pPr>
        <w:pStyle w:val="Heading2"/>
      </w:pPr>
      <w:bookmarkStart w:id="196" w:name="contributions"/>
      <w:r>
        <w:t xml:space="preserve">Contributions</w:t>
      </w:r>
      <w:bookmarkEnd w:id="196"/>
    </w:p>
    <w:p>
      <w:pPr>
        <w:pStyle w:val="FirstParagraph"/>
      </w:pPr>
      <w:r>
        <w:t xml:space="preserve">Author contributions to this article and the RO-Crate projet according to the Contributor Roles Taxonomy</w:t>
      </w:r>
      <w:r>
        <w:t xml:space="preserve"> </w:t>
      </w:r>
      <w:hyperlink r:id="rId197">
        <w:r>
          <w:rPr>
            <w:rStyle w:val="Hyperlink"/>
          </w:rPr>
          <w:t xml:space="preserve">CASRAI CrEDiT</w:t>
        </w:r>
      </w:hyperlink>
      <w:r>
        <w:t xml:space="preserve"> </w:t>
      </w:r>
      <w:r>
        <w:t xml:space="preserve">[</w:t>
      </w:r>
      <w:hyperlink w:anchor="ref-ewNBB7el">
        <w:r>
          <w:rPr>
            <w:rStyle w:val="Hyperlink"/>
          </w:rPr>
          <w:t xml:space="preserve">115</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Björn Grüning</w:t>
      </w:r>
    </w:p>
    <w:p>
      <w:pPr>
        <w:pStyle w:val="Definition"/>
      </w:pPr>
      <w:r>
        <w:t xml:space="preserve">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acknowledge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98" w:name="X65f2300635a5fd97b6e4cdfc1c9f62fbd6fe1d1"/>
      <w:r>
        <w:t xml:space="preserve">Formalizing RO-Crate in First Order Logic</w:t>
      </w:r>
      <w:bookmarkEnd w:id="198"/>
    </w:p>
    <w:p>
      <w:pPr>
        <w:pStyle w:val="FirstParagraph"/>
      </w:pPr>
      <w:r>
        <w:t xml:space="preserve">Below is a formalization of the concept of RO-Crate as a set of relations using First Order Logic:</w:t>
      </w:r>
    </w:p>
    <w:p>
      <w:pPr>
        <w:pStyle w:val="Heading2"/>
      </w:pPr>
      <w:bookmarkStart w:id="199" w:name="language"/>
      <w:r>
        <w:t xml:space="preserve">Language</w:t>
      </w:r>
      <w:bookmarkEnd w:id="199"/>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27</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200"/>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201" w:name="minimal-ro-crate"/>
      <w:r>
        <w:t xml:space="preserve">Minimal RO-Crate</w:t>
      </w:r>
      <w:bookmarkEnd w:id="201"/>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202"/>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203">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98">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102">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204" w:name="example-of-formalized-ro-crate"/>
      <w:r>
        <w:t xml:space="preserve">Example of formalized RO-Crate</w:t>
      </w:r>
      <w:bookmarkEnd w:id="204"/>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&lt;https://spdx.org/licenses/CC-BY-4.0&gt;</w:t>
      </w:r>
      <w:r>
        <w:br/>
      </w:r>
      <w:r>
        <w:rPr>
          <w:rStyle w:val="VerbatimChar"/>
        </w:rPr>
        <w:t xml:space="preserve">datePublished(&lt;http://example.com/ro/123/&gt;, “2017")</w:t>
      </w:r>
      <w:r>
        <w:br/>
      </w:r>
      <w:r>
        <w:rPr>
          <w:rStyle w:val="VerbatimChar"/>
        </w:rPr>
        <w:t xml:space="preserve">hasPart(&lt;http://example.com/ro/123/&gt;, &lt;http://example.com/ro/123/survey.csv&gt;)</w:t>
      </w:r>
      <w:r>
        <w:br/>
      </w:r>
      <w:r>
        <w:rPr>
          <w:rStyle w:val="VerbatimChar"/>
        </w:rPr>
        <w:t xml:space="preserve">hasPart(&lt;http://example.com/ro/123/&gt;, &lt;http://example.com/ro/123/interviews/&gt;)</w:t>
      </w:r>
      <w:r>
        <w:br/>
      </w:r>
      <w:r>
        <w:br/>
      </w:r>
      <w:r>
        <w:rPr>
          <w:rStyle w:val="VerbatimChar"/>
        </w:rPr>
        <w:t xml:space="preserve">ContextualEntity(&lt;https://spdx.org/licenses/CC-BY-4.0&gt;)</w:t>
      </w:r>
      <w:r>
        <w:br/>
      </w:r>
      <w:r>
        <w:rPr>
          <w:rStyle w:val="VerbatimChar"/>
        </w:rPr>
        <w:t xml:space="preserve">name(&lt;https://spdx.org/licenses/CC-BY-4.0, </w:t>
      </w:r>
      <w:r>
        <w:br/>
      </w:r>
      <w:r>
        <w:rPr>
          <w:rStyle w:val="VerbatimChar"/>
        </w:rPr>
        <w:t xml:space="preserve">    “Creative Commons Attribution 4.0”)</w:t>
      </w:r>
      <w:r>
        <w:br/>
      </w:r>
      <w:r>
        <w:br/>
      </w:r>
      <w:r>
        <w:rPr>
          <w:rStyle w:val="VerbatimChar"/>
        </w:rPr>
        <w:t xml:space="preserve">ContextualEntity(&lt;https://spdx.org/licenses/CC-BY-NC-4.0&gt;)</w:t>
      </w:r>
      <w:r>
        <w:br/>
      </w:r>
      <w:r>
        <w:rPr>
          <w:rStyle w:val="VerbatimChar"/>
        </w:rPr>
        <w:t xml:space="preserve">name(&lt;https://spdx.org/licenses/CC-BY-NC-4.0, </w:t>
      </w:r>
      <w:r>
        <w:br/>
      </w:r>
      <w:r>
        <w:rPr>
          <w:rStyle w:val="VerbatimChar"/>
        </w:rPr>
        <w:t xml:space="preserve">    “Creative Commons Attribution Non Commercial 4.0”)</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r>
        <w:br/>
      </w:r>
      <w:r>
        <w:rPr>
          <w:rStyle w:val="VerbatimChar"/>
        </w:rPr>
        <w:t xml:space="preserve">license(&lt;http://example.com/ro/123/interviews/&gt;, </w:t>
      </w:r>
      <w:r>
        <w:br/>
      </w:r>
      <w:r>
        <w:rPr>
          <w:rStyle w:val="VerbatimChar"/>
        </w:rPr>
        <w:t xml:space="preserve">    &lt;https://spdx.org/licenses/CC-BY-NC-4.0&gt;</w:t>
      </w:r>
    </w:p>
    <w:p>
      <w:pPr>
        <w:pStyle w:val="FirstParagraph"/>
      </w:pPr>
      <w:r>
        <w:t xml:space="preserve">Notable from this triple-like formalization is that a RO-Crate R is fully represented as a tree at depth 2 helped by the use of</w:t>
      </w:r>
      <w:r>
        <w:t xml:space="preserve"> </w:t>
      </w:r>
      <w:r>
        <w:rPr>
          <w:rStyle w:val="VerbatimChar"/>
        </w:rPr>
        <w:t xml:space="preserve">𝕀𝕣𝕚</w:t>
      </w:r>
      <w:r>
        <w:t xml:space="preserve"> </w:t>
      </w:r>
      <w:r>
        <w:t xml:space="preserve">nodes. For instance the aggregation from the root entity</w:t>
      </w:r>
      <w:r>
        <w:t xml:space="preserve"> </w:t>
      </w:r>
      <w:r>
        <w:rPr>
          <w:rStyle w:val="VerbatimChar"/>
        </w:rPr>
        <w:t xml:space="preserve">hasPart(…interviews/&gt;)</w:t>
      </w:r>
      <w:r>
        <w:t xml:space="preserve"> </w:t>
      </w:r>
      <w:r>
        <w:t xml:space="preserve">is at same level as the data entity’s property</w:t>
      </w:r>
      <w:r>
        <w:t xml:space="preserve"> </w:t>
      </w:r>
      <w:r>
        <w:rPr>
          <w:rStyle w:val="VerbatimChar"/>
        </w:rPr>
        <w:t xml:space="preserve">license(…CC-BY-NC-4.0&gt;)</w:t>
      </w:r>
      <w:r>
        <w:t xml:space="preserve"> </w:t>
      </w:r>
      <w:r>
        <w:t xml:space="preserve">and that contextual entity’s attribute name</w:t>
      </w:r>
      <w:r>
        <w:t xml:space="preserve"> </w:t>
      </w:r>
      <w:r>
        <w:rPr>
          <w:rStyle w:val="VerbatimChar"/>
        </w:rPr>
        <w:t xml:space="preserve">(…Non Commercial 4.0”)</w:t>
      </w:r>
      <w:r>
        <w:t xml:space="preserve">. As shown in section RO-Crate JSON-LD, the RO-Crate Metadata File serialization is an equivalent shallow tree, although at depth 3 to cater for the JSON-LD preamble of</w:t>
      </w:r>
      <w:r>
        <w:t xml:space="preserve"> </w:t>
      </w:r>
      <w:r>
        <w:rPr>
          <w:rStyle w:val="VerbatimChar"/>
        </w:rPr>
        <w:t xml:space="preserve">"@context"</w:t>
      </w:r>
      <w:r>
        <w:t xml:space="preserve"> </w:t>
      </w:r>
      <w:r>
        <w:t xml:space="preserve">and</w:t>
      </w:r>
      <w:r>
        <w:t xml:space="preserve"> </w:t>
      </w:r>
      <w:r>
        <w:rPr>
          <w:rStyle w:val="VerbatimChar"/>
        </w:rPr>
        <w:t xml:space="preserve">"@graph"</w:t>
      </w:r>
      <w:r>
        <w:t xml:space="preserve">.</w:t>
      </w:r>
    </w:p>
    <w:p>
      <w:pPr>
        <w:pStyle w:val="BodyText"/>
      </w:pPr>
      <w:r>
        <w:t xml:space="preserve">In reality many additional attributes and contextual types from schema.org types like</w:t>
      </w:r>
      <w:r>
        <w:t xml:space="preserve"> </w:t>
      </w:r>
      <w:hyperlink r:id="rId205">
        <w:r>
          <w:rPr>
            <w:rStyle w:val="Hyperlink"/>
          </w:rPr>
          <w:t xml:space="preserve">http://schema.org/affiliation</w:t>
        </w:r>
      </w:hyperlink>
      <w:r>
        <w:t xml:space="preserve"> </w:t>
      </w:r>
      <w:r>
        <w:t xml:space="preserve">and</w:t>
      </w:r>
      <w:r>
        <w:t xml:space="preserve"> </w:t>
      </w:r>
      <w:hyperlink r:id="rId206">
        <w:r>
          <w:rPr>
            <w:rStyle w:val="Hyperlink"/>
          </w:rPr>
          <w:t xml:space="preserve">http://schema.org/Organization</w:t>
        </w:r>
      </w:hyperlink>
      <w:r>
        <w:t xml:space="preserve"> </w:t>
      </w:r>
      <w:r>
        <w:t xml:space="preserve">would be used to further describe the RO-Crate and its entities, but as these are optional (</w:t>
      </w:r>
      <w:r>
        <w:rPr>
          <w:i/>
        </w:rPr>
        <w:t xml:space="preserve">SHOULD</w:t>
      </w:r>
      <w:r>
        <w:t xml:space="preserve"> </w:t>
      </w:r>
      <w:r>
        <w:t xml:space="preserve">requirements) they do not form part of this formalization.</w:t>
      </w:r>
    </w:p>
    <w:p>
      <w:pPr>
        <w:pStyle w:val="Heading2"/>
      </w:pPr>
      <w:bookmarkStart w:id="207" w:name="mapping-to-rdf-with-schema.org"/>
      <w:r>
        <w:t xml:space="preserve">Mapping to RDF with schema.org</w:t>
      </w:r>
      <w:bookmarkEnd w:id="207"/>
    </w:p>
    <w:p>
      <w:pPr>
        <w:pStyle w:val="FirstParagraph"/>
      </w:pPr>
      <w:r>
        <w:t xml:space="preserve">A formalized RO-Crate can be mapped to different serializations. Assume a simplified</w:t>
      </w:r>
      <w:r>
        <w:rPr>
          <w:rStyle w:val="FootnoteReference"/>
        </w:rPr>
        <w:footnoteReference w:id="208"/>
      </w:r>
      <w:r>
        <w:t xml:space="preserve"> </w:t>
      </w:r>
      <w:r>
        <w:t xml:space="preserve">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 Extensions may however include such term definitions directly in the RO-Crate.</w:t>
      </w:r>
    </w:p>
    <w:p>
      <w:pPr>
        <w:pStyle w:val="Heading2"/>
      </w:pPr>
      <w:bookmarkStart w:id="209" w:name="ro-crate-1.1-metadata-file-descriptor"/>
      <w:r>
        <w:t xml:space="preserve">RO-Crate 1.1 Metadata File Descriptor</w:t>
      </w:r>
      <w:bookmarkEnd w:id="209"/>
    </w:p>
    <w:p>
      <w:pPr>
        <w:pStyle w:val="FirstParagraph"/>
      </w:pPr>
      <w:r>
        <w:t xml:space="preserve">An important RO-Crate principle is that of being</w:t>
      </w:r>
      <w:r>
        <w:t xml:space="preserve"> </w:t>
      </w:r>
      <w:r>
        <w:rPr>
          <w:b/>
        </w:rPr>
        <w:t xml:space="preserve">self-described</w:t>
      </w:r>
      <w:r>
        <w:t xml:space="preserve">. Therefore the serialization of the RO-Crate into a file should also describe itself in a</w:t>
      </w:r>
      <w:r>
        <w:t xml:space="preserve"> </w:t>
      </w:r>
      <w:hyperlink r:id="rId210">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however in the formal model (and the JSON-LD format) the metadata file descriptor is an additional contextual entity that is not affecting the depth-limit of the RO-Crate.</w:t>
      </w:r>
    </w:p>
    <w:p>
      <w:pPr>
        <w:pStyle w:val="Heading2"/>
      </w:pPr>
      <w:bookmarkStart w:id="211" w:name="X9258aeb284a8d39169a26af7ad1ceadb2d0025a"/>
      <w:r>
        <w:t xml:space="preserve">Forward-chained Production Rules for JSON-LD</w:t>
      </w:r>
      <w:bookmarkEnd w:id="211"/>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212"/>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d</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considered mentioned by the RO-Crate</w:t>
      </w:r>
      <w:r>
        <w:t xml:space="preserve"> </w:t>
      </w:r>
      <w:r>
        <w:rPr>
          <w:rStyle w:val="VerbatimChar"/>
        </w:rPr>
        <w:t xml:space="preserve">R</w:t>
      </w:r>
      <w:r>
        <w:t xml:space="preserve">. For simplicity this rule is one-way; in theory the JSON-LD graph can also contain free-standing contextual entities that have outgoing relations to data- and contextual entities, but these are proposed to be bound to the root data entity with schema.org relation</w:t>
      </w:r>
      <w:r>
        <w:t xml:space="preserve"> </w:t>
      </w:r>
      <w:hyperlink r:id="rId214">
        <w:r>
          <w:rPr>
            <w:rStyle w:val="Hyperlink"/>
          </w:rPr>
          <w:t xml:space="preserve">http://schema.org/mentions</w:t>
        </w:r>
      </w:hyperlink>
      <w:r>
        <w:t xml:space="preserve">.</w:t>
      </w:r>
    </w:p>
    <w:p>
      <w:pPr>
        <w:pStyle w:val="Heading1"/>
      </w:pPr>
      <w:bookmarkStart w:id="215" w:name="ro-crate-community-1"/>
      <w:r>
        <w:t xml:space="preserve">RO-Crate Community</w:t>
      </w:r>
      <w:bookmarkEnd w:id="215"/>
    </w:p>
    <w:p>
      <w:pPr>
        <w:pStyle w:val="FirstParagraph"/>
      </w:pPr>
      <w:r>
        <w:t xml:space="preserve">As of 2021-10-04, the</w:t>
      </w:r>
      <w:r>
        <w:t xml:space="preserve"> </w:t>
      </w:r>
      <w:r>
        <w:rPr>
          <w:i/>
        </w:rPr>
        <w:t xml:space="preserve">RO-Crate</w:t>
      </w:r>
      <w:r>
        <w:t xml:space="preserve"> </w:t>
      </w:r>
      <w:r>
        <w:t xml:space="preserve">Community members are:</w:t>
      </w:r>
    </w:p>
    <w:p>
      <w:pPr>
        <w:numPr>
          <w:ilvl w:val="0"/>
          <w:numId w:val="1009"/>
        </w:numPr>
        <w:pStyle w:val="Compact"/>
      </w:pPr>
      <w:r>
        <w:t xml:space="preserve">Peter Sefton</w:t>
      </w:r>
      <w:r>
        <w:t xml:space="preserve"> </w:t>
      </w:r>
      <w:hyperlink r:id="rId36">
        <w:r>
          <w:rPr>
            <w:rStyle w:val="Hyperlink"/>
          </w:rPr>
          <w:t xml:space="preserve">https://orcid.org/0000-0002-3545-944X</w:t>
        </w:r>
      </w:hyperlink>
      <w:r>
        <w:t xml:space="preserve"> </w:t>
      </w:r>
      <w:r>
        <w:t xml:space="preserve">(co-chair)</w:t>
      </w:r>
    </w:p>
    <w:p>
      <w:pPr>
        <w:numPr>
          <w:ilvl w:val="0"/>
          <w:numId w:val="1009"/>
        </w:numPr>
        <w:pStyle w:val="Compact"/>
      </w:pPr>
      <w:r>
        <w:t xml:space="preserve">Stian Soiland-Reyes</w:t>
      </w:r>
      <w:r>
        <w:t xml:space="preserve"> </w:t>
      </w:r>
      <w:hyperlink r:id="rId28">
        <w:r>
          <w:rPr>
            <w:rStyle w:val="Hyperlink"/>
          </w:rPr>
          <w:t xml:space="preserve">https://orcid.org/0000-0001-9842-9718</w:t>
        </w:r>
      </w:hyperlink>
      <w:r>
        <w:t xml:space="preserve"> </w:t>
      </w:r>
      <w:r>
        <w:t xml:space="preserve">(co-chair)</w:t>
      </w:r>
    </w:p>
    <w:p>
      <w:pPr>
        <w:numPr>
          <w:ilvl w:val="0"/>
          <w:numId w:val="1009"/>
        </w:numPr>
        <w:pStyle w:val="Compact"/>
      </w:pPr>
      <w:r>
        <w:t xml:space="preserve">Eoghan Ó Carragáin</w:t>
      </w:r>
      <w:r>
        <w:t xml:space="preserve"> </w:t>
      </w:r>
      <w:hyperlink r:id="rId63">
        <w:r>
          <w:rPr>
            <w:rStyle w:val="Hyperlink"/>
          </w:rPr>
          <w:t xml:space="preserve">https://orcid.org/0000-0001-8131-2150</w:t>
        </w:r>
      </w:hyperlink>
      <w:r>
        <w:t xml:space="preserve"> </w:t>
      </w:r>
      <w:r>
        <w:t xml:space="preserve">(emeritus chair)</w:t>
      </w:r>
    </w:p>
    <w:p>
      <w:pPr>
        <w:numPr>
          <w:ilvl w:val="0"/>
          <w:numId w:val="1009"/>
        </w:numPr>
        <w:pStyle w:val="Compact"/>
      </w:pPr>
      <w:r>
        <w:t xml:space="preserve">Oscar Corcho</w:t>
      </w:r>
      <w:r>
        <w:t xml:space="preserve"> </w:t>
      </w:r>
      <w:hyperlink r:id="rId216">
        <w:r>
          <w:rPr>
            <w:rStyle w:val="Hyperlink"/>
          </w:rPr>
          <w:t xml:space="preserve">https://orcid.org/0000-0002-9260-0753</w:t>
        </w:r>
      </w:hyperlink>
    </w:p>
    <w:p>
      <w:pPr>
        <w:numPr>
          <w:ilvl w:val="0"/>
          <w:numId w:val="1009"/>
        </w:numPr>
        <w:pStyle w:val="Compact"/>
      </w:pPr>
      <w:r>
        <w:t xml:space="preserve">Daniel Garijo</w:t>
      </w:r>
      <w:r>
        <w:t xml:space="preserve"> </w:t>
      </w:r>
      <w:hyperlink r:id="rId49">
        <w:r>
          <w:rPr>
            <w:rStyle w:val="Hyperlink"/>
          </w:rPr>
          <w:t xml:space="preserve">https://orcid.org/0000-0003-0454-7145</w:t>
        </w:r>
      </w:hyperlink>
    </w:p>
    <w:p>
      <w:pPr>
        <w:numPr>
          <w:ilvl w:val="0"/>
          <w:numId w:val="1009"/>
        </w:numPr>
        <w:pStyle w:val="Compact"/>
      </w:pPr>
      <w:r>
        <w:t xml:space="preserve">Raul Palma</w:t>
      </w:r>
      <w:r>
        <w:t xml:space="preserve"> </w:t>
      </w:r>
      <w:hyperlink r:id="rId217">
        <w:r>
          <w:rPr>
            <w:rStyle w:val="Hyperlink"/>
          </w:rPr>
          <w:t xml:space="preserve">https://orcid.org/0000-0003-4289-4922</w:t>
        </w:r>
      </w:hyperlink>
    </w:p>
    <w:p>
      <w:pPr>
        <w:numPr>
          <w:ilvl w:val="0"/>
          <w:numId w:val="1009"/>
        </w:numPr>
        <w:pStyle w:val="Compact"/>
      </w:pPr>
      <w:r>
        <w:t xml:space="preserve">Frederik Coppens</w:t>
      </w:r>
      <w:r>
        <w:t xml:space="preserve"> </w:t>
      </w:r>
      <w:hyperlink r:id="rId44">
        <w:r>
          <w:rPr>
            <w:rStyle w:val="Hyperlink"/>
          </w:rPr>
          <w:t xml:space="preserve">https://orcid.org/0000-0001-6565-5145</w:t>
        </w:r>
      </w:hyperlink>
    </w:p>
    <w:p>
      <w:pPr>
        <w:numPr>
          <w:ilvl w:val="0"/>
          <w:numId w:val="1009"/>
        </w:numPr>
        <w:pStyle w:val="Compact"/>
      </w:pPr>
      <w:r>
        <w:t xml:space="preserve">Carole Goble</w:t>
      </w:r>
      <w:r>
        <w:t xml:space="preserve"> </w:t>
      </w:r>
      <w:hyperlink r:id="rId77">
        <w:r>
          <w:rPr>
            <w:rStyle w:val="Hyperlink"/>
          </w:rPr>
          <w:t xml:space="preserve">https://orcid.org/0000-0003-1219-2137</w:t>
        </w:r>
      </w:hyperlink>
    </w:p>
    <w:p>
      <w:pPr>
        <w:numPr>
          <w:ilvl w:val="0"/>
          <w:numId w:val="1009"/>
        </w:numPr>
        <w:pStyle w:val="Compact"/>
      </w:pPr>
      <w:r>
        <w:t xml:space="preserve">José María Fernández</w:t>
      </w:r>
      <w:r>
        <w:t xml:space="preserve"> </w:t>
      </w:r>
      <w:hyperlink r:id="rId47">
        <w:r>
          <w:rPr>
            <w:rStyle w:val="Hyperlink"/>
          </w:rPr>
          <w:t xml:space="preserve">https://orcid.org/0000-0002-4806-5140</w:t>
        </w:r>
      </w:hyperlink>
    </w:p>
    <w:p>
      <w:pPr>
        <w:numPr>
          <w:ilvl w:val="0"/>
          <w:numId w:val="1009"/>
        </w:numPr>
        <w:pStyle w:val="Compact"/>
      </w:pPr>
      <w:r>
        <w:t xml:space="preserve">Kyle Chard</w:t>
      </w:r>
      <w:r>
        <w:t xml:space="preserve"> </w:t>
      </w:r>
      <w:hyperlink r:id="rId218">
        <w:r>
          <w:rPr>
            <w:rStyle w:val="Hyperlink"/>
          </w:rPr>
          <w:t xml:space="preserve">https://orcid.org/0000-0002-7370-4805</w:t>
        </w:r>
      </w:hyperlink>
    </w:p>
    <w:p>
      <w:pPr>
        <w:numPr>
          <w:ilvl w:val="0"/>
          <w:numId w:val="1009"/>
        </w:numPr>
        <w:pStyle w:val="Compact"/>
      </w:pPr>
      <w:r>
        <w:t xml:space="preserve">Jose Manuel Gomez-Perez</w:t>
      </w:r>
      <w:r>
        <w:t xml:space="preserve"> </w:t>
      </w:r>
      <w:hyperlink r:id="rId219">
        <w:r>
          <w:rPr>
            <w:rStyle w:val="Hyperlink"/>
          </w:rPr>
          <w:t xml:space="preserve">https://orcid.org/0000-0002-5491-6431</w:t>
        </w:r>
      </w:hyperlink>
    </w:p>
    <w:p>
      <w:pPr>
        <w:numPr>
          <w:ilvl w:val="0"/>
          <w:numId w:val="1009"/>
        </w:numPr>
        <w:pStyle w:val="Compact"/>
      </w:pPr>
      <w:r>
        <w:t xml:space="preserve">Michael R Crusoe</w:t>
      </w:r>
      <w:r>
        <w:t xml:space="preserve"> </w:t>
      </w:r>
      <w:hyperlink r:id="rId220">
        <w:r>
          <w:rPr>
            <w:rStyle w:val="Hyperlink"/>
          </w:rPr>
          <w:t xml:space="preserve">https://orcid.org/0000-0002-2961-9670</w:t>
        </w:r>
      </w:hyperlink>
    </w:p>
    <w:p>
      <w:pPr>
        <w:numPr>
          <w:ilvl w:val="0"/>
          <w:numId w:val="1009"/>
        </w:numPr>
        <w:pStyle w:val="Compact"/>
      </w:pPr>
      <w:r>
        <w:t xml:space="preserve">Ignacio Eguinoa</w:t>
      </w:r>
      <w:r>
        <w:t xml:space="preserve"> </w:t>
      </w:r>
      <w:hyperlink r:id="rId221">
        <w:r>
          <w:rPr>
            <w:rStyle w:val="Hyperlink"/>
          </w:rPr>
          <w:t xml:space="preserve">https://orcid.org/0000-0002-6190-122X</w:t>
        </w:r>
      </w:hyperlink>
    </w:p>
    <w:p>
      <w:pPr>
        <w:numPr>
          <w:ilvl w:val="0"/>
          <w:numId w:val="1009"/>
        </w:numPr>
        <w:pStyle w:val="Compact"/>
      </w:pPr>
      <w:r>
        <w:t xml:space="preserve">Nick Juty</w:t>
      </w:r>
      <w:r>
        <w:t xml:space="preserve"> </w:t>
      </w:r>
      <w:hyperlink r:id="rId222">
        <w:r>
          <w:rPr>
            <w:rStyle w:val="Hyperlink"/>
          </w:rPr>
          <w:t xml:space="preserve">https://orcid.org/0000-0002-2036-8350</w:t>
        </w:r>
      </w:hyperlink>
    </w:p>
    <w:p>
      <w:pPr>
        <w:numPr>
          <w:ilvl w:val="0"/>
          <w:numId w:val="1009"/>
        </w:numPr>
        <w:pStyle w:val="Compact"/>
      </w:pPr>
      <w:r>
        <w:t xml:space="preserve">Kristi Holmes</w:t>
      </w:r>
      <w:r>
        <w:t xml:space="preserve"> </w:t>
      </w:r>
      <w:hyperlink r:id="rId223">
        <w:r>
          <w:rPr>
            <w:rStyle w:val="Hyperlink"/>
          </w:rPr>
          <w:t xml:space="preserve">https://orcid.org/0000-0001-8420-5254</w:t>
        </w:r>
      </w:hyperlink>
    </w:p>
    <w:p>
      <w:pPr>
        <w:numPr>
          <w:ilvl w:val="0"/>
          <w:numId w:val="1009"/>
        </w:numPr>
        <w:pStyle w:val="Compact"/>
      </w:pPr>
      <w:r>
        <w:t xml:space="preserve">Jason A. Clark</w:t>
      </w:r>
      <w:r>
        <w:t xml:space="preserve"> </w:t>
      </w:r>
      <w:hyperlink r:id="rId224">
        <w:r>
          <w:rPr>
            <w:rStyle w:val="Hyperlink"/>
          </w:rPr>
          <w:t xml:space="preserve">https://orcid.org/0000-0002-3588-6257</w:t>
        </w:r>
      </w:hyperlink>
    </w:p>
    <w:p>
      <w:pPr>
        <w:numPr>
          <w:ilvl w:val="0"/>
          <w:numId w:val="1009"/>
        </w:numPr>
        <w:pStyle w:val="Compact"/>
      </w:pPr>
      <w:r>
        <w:t xml:space="preserve">Salvador Capella-Gutierrez</w:t>
      </w:r>
      <w:r>
        <w:t xml:space="preserve"> </w:t>
      </w:r>
      <w:hyperlink r:id="rId225">
        <w:r>
          <w:rPr>
            <w:rStyle w:val="Hyperlink"/>
          </w:rPr>
          <w:t xml:space="preserve">https://orcid.org/0000-0002-0309-604X</w:t>
        </w:r>
      </w:hyperlink>
    </w:p>
    <w:p>
      <w:pPr>
        <w:numPr>
          <w:ilvl w:val="0"/>
          <w:numId w:val="1009"/>
        </w:numPr>
        <w:pStyle w:val="Compact"/>
      </w:pPr>
      <w:r>
        <w:t xml:space="preserve">Alasdair J. G. Gray</w:t>
      </w:r>
      <w:r>
        <w:t xml:space="preserve"> </w:t>
      </w:r>
      <w:hyperlink r:id="rId226">
        <w:r>
          <w:rPr>
            <w:rStyle w:val="Hyperlink"/>
          </w:rPr>
          <w:t xml:space="preserve">https://orcid.org/0000-0002-5711-4872</w:t>
        </w:r>
      </w:hyperlink>
    </w:p>
    <w:p>
      <w:pPr>
        <w:numPr>
          <w:ilvl w:val="0"/>
          <w:numId w:val="1009"/>
        </w:numPr>
        <w:pStyle w:val="Compact"/>
      </w:pPr>
      <w:r>
        <w:t xml:space="preserve">Stuart Owen</w:t>
      </w:r>
      <w:r>
        <w:t xml:space="preserve"> </w:t>
      </w:r>
      <w:hyperlink r:id="rId227">
        <w:r>
          <w:rPr>
            <w:rStyle w:val="Hyperlink"/>
          </w:rPr>
          <w:t xml:space="preserve">https://orcid.org/0000-0003-2130-0865</w:t>
        </w:r>
      </w:hyperlink>
    </w:p>
    <w:p>
      <w:pPr>
        <w:numPr>
          <w:ilvl w:val="0"/>
          <w:numId w:val="1009"/>
        </w:numPr>
        <w:pStyle w:val="Compact"/>
      </w:pPr>
      <w:r>
        <w:t xml:space="preserve">Alan R Williams</w:t>
      </w:r>
      <w:r>
        <w:t xml:space="preserve"> </w:t>
      </w:r>
      <w:hyperlink r:id="rId228">
        <w:r>
          <w:rPr>
            <w:rStyle w:val="Hyperlink"/>
          </w:rPr>
          <w:t xml:space="preserve">https://orcid.org/0000-0003-3156-2105</w:t>
        </w:r>
      </w:hyperlink>
    </w:p>
    <w:p>
      <w:pPr>
        <w:numPr>
          <w:ilvl w:val="0"/>
          <w:numId w:val="1009"/>
        </w:numPr>
        <w:pStyle w:val="Compact"/>
      </w:pPr>
      <w:r>
        <w:t xml:space="preserve">Giacomo Tartari</w:t>
      </w:r>
      <w:r>
        <w:t xml:space="preserve"> </w:t>
      </w:r>
      <w:hyperlink r:id="rId229">
        <w:r>
          <w:rPr>
            <w:rStyle w:val="Hyperlink"/>
          </w:rPr>
          <w:t xml:space="preserve">https://orcid.org/0000-0003-1130-2154</w:t>
        </w:r>
      </w:hyperlink>
    </w:p>
    <w:p>
      <w:pPr>
        <w:numPr>
          <w:ilvl w:val="0"/>
          <w:numId w:val="1009"/>
        </w:numPr>
        <w:pStyle w:val="Compact"/>
      </w:pPr>
      <w:r>
        <w:t xml:space="preserve">Finn Bacall</w:t>
      </w:r>
      <w:r>
        <w:t xml:space="preserve"> </w:t>
      </w:r>
      <w:hyperlink r:id="rId230">
        <w:r>
          <w:rPr>
            <w:rStyle w:val="Hyperlink"/>
          </w:rPr>
          <w:t xml:space="preserve">https://orcid.org/0000-0002-0048-3300</w:t>
        </w:r>
      </w:hyperlink>
    </w:p>
    <w:p>
      <w:pPr>
        <w:numPr>
          <w:ilvl w:val="0"/>
          <w:numId w:val="1009"/>
        </w:numPr>
        <w:pStyle w:val="Compact"/>
      </w:pPr>
      <w:r>
        <w:t xml:space="preserve">Thomas Thelen</w:t>
      </w:r>
      <w:r>
        <w:t xml:space="preserve"> </w:t>
      </w:r>
      <w:hyperlink r:id="rId231">
        <w:r>
          <w:rPr>
            <w:rStyle w:val="Hyperlink"/>
          </w:rPr>
          <w:t xml:space="preserve">https://orcid.org/0000-0002-1756-2128</w:t>
        </w:r>
      </w:hyperlink>
    </w:p>
    <w:p>
      <w:pPr>
        <w:numPr>
          <w:ilvl w:val="0"/>
          <w:numId w:val="1009"/>
        </w:numPr>
        <w:pStyle w:val="Compact"/>
      </w:pPr>
      <w:r>
        <w:t xml:space="preserve">Hervé Ménager</w:t>
      </w:r>
      <w:r>
        <w:t xml:space="preserve"> </w:t>
      </w:r>
      <w:hyperlink r:id="rId232">
        <w:r>
          <w:rPr>
            <w:rStyle w:val="Hyperlink"/>
          </w:rPr>
          <w:t xml:space="preserve">https://orcid.org/0000-0002-7552-1009</w:t>
        </w:r>
      </w:hyperlink>
    </w:p>
    <w:p>
      <w:pPr>
        <w:numPr>
          <w:ilvl w:val="0"/>
          <w:numId w:val="1009"/>
        </w:numPr>
        <w:pStyle w:val="Compact"/>
      </w:pPr>
      <w:r>
        <w:t xml:space="preserve">Laura Rodríguez-Navas</w:t>
      </w:r>
      <w:r>
        <w:t xml:space="preserve"> </w:t>
      </w:r>
      <w:hyperlink r:id="rId233">
        <w:r>
          <w:rPr>
            <w:rStyle w:val="Hyperlink"/>
          </w:rPr>
          <w:t xml:space="preserve">https://orcid.org/0000-0003-4929-1219</w:t>
        </w:r>
      </w:hyperlink>
    </w:p>
    <w:p>
      <w:pPr>
        <w:numPr>
          <w:ilvl w:val="0"/>
          <w:numId w:val="1009"/>
        </w:numPr>
        <w:pStyle w:val="Compact"/>
      </w:pPr>
      <w:r>
        <w:t xml:space="preserve">Paul Walk</w:t>
      </w:r>
      <w:r>
        <w:t xml:space="preserve"> </w:t>
      </w:r>
      <w:hyperlink r:id="rId234">
        <w:r>
          <w:rPr>
            <w:rStyle w:val="Hyperlink"/>
          </w:rPr>
          <w:t xml:space="preserve">https://orcid.org/0000-0003-1541-5631</w:t>
        </w:r>
      </w:hyperlink>
    </w:p>
    <w:p>
      <w:pPr>
        <w:numPr>
          <w:ilvl w:val="0"/>
          <w:numId w:val="1009"/>
        </w:numPr>
        <w:pStyle w:val="Compact"/>
      </w:pPr>
      <w:r>
        <w:t xml:space="preserve">brandon whitehead</w:t>
      </w:r>
      <w:r>
        <w:t xml:space="preserve"> </w:t>
      </w:r>
      <w:hyperlink r:id="rId235">
        <w:r>
          <w:rPr>
            <w:rStyle w:val="Hyperlink"/>
          </w:rPr>
          <w:t xml:space="preserve">https://orcid.org/0000-0002-0337-8610</w:t>
        </w:r>
      </w:hyperlink>
    </w:p>
    <w:p>
      <w:pPr>
        <w:numPr>
          <w:ilvl w:val="0"/>
          <w:numId w:val="1009"/>
        </w:numPr>
        <w:pStyle w:val="Compact"/>
      </w:pPr>
      <w:r>
        <w:t xml:space="preserve">Mark Wilkinson</w:t>
      </w:r>
      <w:r>
        <w:t xml:space="preserve"> </w:t>
      </w:r>
      <w:hyperlink r:id="rId236">
        <w:r>
          <w:rPr>
            <w:rStyle w:val="Hyperlink"/>
          </w:rPr>
          <w:t xml:space="preserve">https://orcid.org/0000-0001-6960-357X</w:t>
        </w:r>
      </w:hyperlink>
    </w:p>
    <w:p>
      <w:pPr>
        <w:numPr>
          <w:ilvl w:val="0"/>
          <w:numId w:val="1009"/>
        </w:numPr>
        <w:pStyle w:val="Compact"/>
      </w:pPr>
      <w:r>
        <w:t xml:space="preserve">Paul Groth</w:t>
      </w:r>
      <w:r>
        <w:t xml:space="preserve"> </w:t>
      </w:r>
      <w:hyperlink r:id="rId74">
        <w:r>
          <w:rPr>
            <w:rStyle w:val="Hyperlink"/>
          </w:rPr>
          <w:t xml:space="preserve">https://orcid.org/0000-0003-0183-6910</w:t>
        </w:r>
      </w:hyperlink>
    </w:p>
    <w:p>
      <w:pPr>
        <w:numPr>
          <w:ilvl w:val="0"/>
          <w:numId w:val="1009"/>
        </w:numPr>
        <w:pStyle w:val="Compact"/>
      </w:pPr>
      <w:r>
        <w:t xml:space="preserve">Erich Bremer</w:t>
      </w:r>
      <w:r>
        <w:t xml:space="preserve"> </w:t>
      </w:r>
      <w:hyperlink r:id="rId237">
        <w:r>
          <w:rPr>
            <w:rStyle w:val="Hyperlink"/>
          </w:rPr>
          <w:t xml:space="preserve">https://orcid.org/0000-0003-0223-1059</w:t>
        </w:r>
      </w:hyperlink>
    </w:p>
    <w:p>
      <w:pPr>
        <w:numPr>
          <w:ilvl w:val="0"/>
          <w:numId w:val="1009"/>
        </w:numPr>
        <w:pStyle w:val="Compact"/>
      </w:pPr>
      <w:r>
        <w:t xml:space="preserve">LJ Garcia Castro</w:t>
      </w:r>
      <w:r>
        <w:t xml:space="preserve"> </w:t>
      </w:r>
      <w:hyperlink r:id="rId41">
        <w:r>
          <w:rPr>
            <w:rStyle w:val="Hyperlink"/>
          </w:rPr>
          <w:t xml:space="preserve">https://orcid.org/0000-0003-3986-0510</w:t>
        </w:r>
      </w:hyperlink>
    </w:p>
    <w:p>
      <w:pPr>
        <w:numPr>
          <w:ilvl w:val="0"/>
          <w:numId w:val="1009"/>
        </w:numPr>
        <w:pStyle w:val="Compact"/>
      </w:pPr>
      <w:r>
        <w:t xml:space="preserve">Karl Sebby</w:t>
      </w:r>
      <w:r>
        <w:t xml:space="preserve"> </w:t>
      </w:r>
      <w:hyperlink r:id="rId238">
        <w:r>
          <w:rPr>
            <w:rStyle w:val="Hyperlink"/>
          </w:rPr>
          <w:t xml:space="preserve">https://orcid.org/0000-0001-6022-9825</w:t>
        </w:r>
      </w:hyperlink>
    </w:p>
    <w:p>
      <w:pPr>
        <w:numPr>
          <w:ilvl w:val="0"/>
          <w:numId w:val="1009"/>
        </w:numPr>
        <w:pStyle w:val="Compact"/>
      </w:pPr>
      <w:r>
        <w:t xml:space="preserve">Alexander Kanitz</w:t>
      </w:r>
      <w:r>
        <w:t xml:space="preserve"> </w:t>
      </w:r>
      <w:hyperlink r:id="rId239">
        <w:r>
          <w:rPr>
            <w:rStyle w:val="Hyperlink"/>
          </w:rPr>
          <w:t xml:space="preserve">https://orcid.org/0000-0002-3468-0652</w:t>
        </w:r>
      </w:hyperlink>
    </w:p>
    <w:p>
      <w:pPr>
        <w:numPr>
          <w:ilvl w:val="0"/>
          <w:numId w:val="1009"/>
        </w:numPr>
        <w:pStyle w:val="Compact"/>
      </w:pPr>
      <w:r>
        <w:t xml:space="preserve">Ana Trisovic</w:t>
      </w:r>
      <w:r>
        <w:t xml:space="preserve"> </w:t>
      </w:r>
      <w:hyperlink r:id="rId68">
        <w:r>
          <w:rPr>
            <w:rStyle w:val="Hyperlink"/>
          </w:rPr>
          <w:t xml:space="preserve">https://orcid.org/0000-0003-1991-0533</w:t>
        </w:r>
      </w:hyperlink>
    </w:p>
    <w:p>
      <w:pPr>
        <w:numPr>
          <w:ilvl w:val="0"/>
          <w:numId w:val="1009"/>
        </w:numPr>
        <w:pStyle w:val="Compact"/>
      </w:pPr>
      <w:r>
        <w:t xml:space="preserve">Gavin Kennedy</w:t>
      </w:r>
      <w:r>
        <w:t xml:space="preserve"> </w:t>
      </w:r>
      <w:hyperlink r:id="rId240">
        <w:r>
          <w:rPr>
            <w:rStyle w:val="Hyperlink"/>
          </w:rPr>
          <w:t xml:space="preserve">https://orcid.org/0000-0003-3910-0474</w:t>
        </w:r>
      </w:hyperlink>
    </w:p>
    <w:p>
      <w:pPr>
        <w:numPr>
          <w:ilvl w:val="0"/>
          <w:numId w:val="1009"/>
        </w:numPr>
        <w:pStyle w:val="Compact"/>
      </w:pPr>
      <w:r>
        <w:t xml:space="preserve">Mark Graves</w:t>
      </w:r>
      <w:r>
        <w:t xml:space="preserve"> </w:t>
      </w:r>
      <w:hyperlink r:id="rId241">
        <w:r>
          <w:rPr>
            <w:rStyle w:val="Hyperlink"/>
          </w:rPr>
          <w:t xml:space="preserve">https://orcid.org/0000-0003-3486-8193</w:t>
        </w:r>
      </w:hyperlink>
    </w:p>
    <w:p>
      <w:pPr>
        <w:numPr>
          <w:ilvl w:val="0"/>
          <w:numId w:val="1009"/>
        </w:numPr>
        <w:pStyle w:val="Compact"/>
      </w:pPr>
      <w:r>
        <w:t xml:space="preserve">Jasper Koehorst</w:t>
      </w:r>
      <w:r>
        <w:t xml:space="preserve"> </w:t>
      </w:r>
      <w:hyperlink r:id="rId242">
        <w:r>
          <w:rPr>
            <w:rStyle w:val="Hyperlink"/>
          </w:rPr>
          <w:t xml:space="preserve">https://orcid.org/0000-0001-8172-8981</w:t>
        </w:r>
      </w:hyperlink>
    </w:p>
    <w:p>
      <w:pPr>
        <w:numPr>
          <w:ilvl w:val="0"/>
          <w:numId w:val="1009"/>
        </w:numPr>
        <w:pStyle w:val="Compact"/>
      </w:pPr>
      <w:r>
        <w:t xml:space="preserve">Simone Leo</w:t>
      </w:r>
      <w:r>
        <w:t xml:space="preserve"> </w:t>
      </w:r>
      <w:hyperlink r:id="rId60">
        <w:r>
          <w:rPr>
            <w:rStyle w:val="Hyperlink"/>
          </w:rPr>
          <w:t xml:space="preserve">https://orcid.org/0000-0001-8271-5429</w:t>
        </w:r>
      </w:hyperlink>
    </w:p>
    <w:p>
      <w:pPr>
        <w:numPr>
          <w:ilvl w:val="0"/>
          <w:numId w:val="1009"/>
        </w:numPr>
        <w:pStyle w:val="Compact"/>
      </w:pPr>
      <w:r>
        <w:t xml:space="preserve">Marc Portier</w:t>
      </w:r>
      <w:r>
        <w:t xml:space="preserve"> </w:t>
      </w:r>
      <w:hyperlink r:id="rId66">
        <w:r>
          <w:rPr>
            <w:rStyle w:val="Hyperlink"/>
          </w:rPr>
          <w:t xml:space="preserve">https://orcid.org/0000-0002-9648-6484</w:t>
        </w:r>
      </w:hyperlink>
    </w:p>
    <w:p>
      <w:pPr>
        <w:numPr>
          <w:ilvl w:val="0"/>
          <w:numId w:val="1009"/>
        </w:numPr>
        <w:pStyle w:val="Compact"/>
      </w:pPr>
      <w:r>
        <w:t xml:space="preserve">Paul Brack</w:t>
      </w:r>
      <w:r>
        <w:t xml:space="preserve"> </w:t>
      </w:r>
      <w:hyperlink r:id="rId243">
        <w:r>
          <w:rPr>
            <w:rStyle w:val="Hyperlink"/>
          </w:rPr>
          <w:t xml:space="preserve">https://orcid.org/0000-0002-5432-2748</w:t>
        </w:r>
      </w:hyperlink>
    </w:p>
    <w:p>
      <w:pPr>
        <w:numPr>
          <w:ilvl w:val="0"/>
          <w:numId w:val="1009"/>
        </w:numPr>
        <w:pStyle w:val="Compact"/>
      </w:pPr>
      <w:r>
        <w:t xml:space="preserve">Milan Ojsteršek</w:t>
      </w:r>
      <w:r>
        <w:t xml:space="preserve"> </w:t>
      </w:r>
      <w:hyperlink r:id="rId244">
        <w:r>
          <w:rPr>
            <w:rStyle w:val="Hyperlink"/>
          </w:rPr>
          <w:t xml:space="preserve">https://orcid.org/0000-0003-1743-8300</w:t>
        </w:r>
      </w:hyperlink>
    </w:p>
    <w:p>
      <w:pPr>
        <w:numPr>
          <w:ilvl w:val="0"/>
          <w:numId w:val="1009"/>
        </w:numPr>
        <w:pStyle w:val="Compact"/>
      </w:pPr>
      <w:r>
        <w:t xml:space="preserve">Bert Droesbeke</w:t>
      </w:r>
      <w:r>
        <w:t xml:space="preserve"> </w:t>
      </w:r>
      <w:hyperlink r:id="rId245">
        <w:r>
          <w:rPr>
            <w:rStyle w:val="Hyperlink"/>
          </w:rPr>
          <w:t xml:space="preserve">https://orcid.org/0000-0003-0522-5674</w:t>
        </w:r>
      </w:hyperlink>
    </w:p>
    <w:p>
      <w:pPr>
        <w:numPr>
          <w:ilvl w:val="0"/>
          <w:numId w:val="1009"/>
        </w:numPr>
        <w:pStyle w:val="Compact"/>
      </w:pPr>
      <w:r>
        <w:t xml:space="preserve">Chenxu Niu</w:t>
      </w:r>
      <w:r>
        <w:t xml:space="preserve"> </w:t>
      </w:r>
      <w:hyperlink r:id="rId246">
        <w:r>
          <w:rPr>
            <w:rStyle w:val="Hyperlink"/>
          </w:rPr>
          <w:t xml:space="preserve">https://github.com/UstcChenxu</w:t>
        </w:r>
      </w:hyperlink>
    </w:p>
    <w:p>
      <w:pPr>
        <w:numPr>
          <w:ilvl w:val="0"/>
          <w:numId w:val="1009"/>
        </w:numPr>
        <w:pStyle w:val="Compact"/>
      </w:pPr>
      <w:r>
        <w:t xml:space="preserve">Kosuke Tanabe</w:t>
      </w:r>
      <w:r>
        <w:t xml:space="preserve"> </w:t>
      </w:r>
      <w:hyperlink r:id="rId247">
        <w:r>
          <w:rPr>
            <w:rStyle w:val="Hyperlink"/>
          </w:rPr>
          <w:t xml:space="preserve">https://orcid.org/0000-0002-9986-7223</w:t>
        </w:r>
      </w:hyperlink>
    </w:p>
    <w:p>
      <w:pPr>
        <w:numPr>
          <w:ilvl w:val="0"/>
          <w:numId w:val="1009"/>
        </w:numPr>
        <w:pStyle w:val="Compact"/>
      </w:pPr>
      <w:r>
        <w:t xml:space="preserve">Tomasz Miksa</w:t>
      </w:r>
      <w:r>
        <w:t xml:space="preserve"> </w:t>
      </w:r>
      <w:hyperlink r:id="rId248">
        <w:r>
          <w:rPr>
            <w:rStyle w:val="Hyperlink"/>
          </w:rPr>
          <w:t xml:space="preserve">https://orcid.org/0000-0002-4929-7875</w:t>
        </w:r>
      </w:hyperlink>
    </w:p>
    <w:p>
      <w:pPr>
        <w:numPr>
          <w:ilvl w:val="0"/>
          <w:numId w:val="1009"/>
        </w:numPr>
        <w:pStyle w:val="Compact"/>
      </w:pPr>
      <w:r>
        <w:t xml:space="preserve">Marco La Rosa</w:t>
      </w:r>
      <w:r>
        <w:t xml:space="preserve"> </w:t>
      </w:r>
      <w:hyperlink r:id="rId59">
        <w:r>
          <w:rPr>
            <w:rStyle w:val="Hyperlink"/>
          </w:rPr>
          <w:t xml:space="preserve">https://orcid.org/0000-0001-5383-6993</w:t>
        </w:r>
      </w:hyperlink>
    </w:p>
    <w:p>
      <w:pPr>
        <w:numPr>
          <w:ilvl w:val="0"/>
          <w:numId w:val="1009"/>
        </w:numPr>
        <w:pStyle w:val="Compact"/>
      </w:pPr>
      <w:r>
        <w:t xml:space="preserve">Cedric Decruw</w:t>
      </w:r>
      <w:r>
        <w:t xml:space="preserve"> </w:t>
      </w:r>
      <w:hyperlink r:id="rId249">
        <w:r>
          <w:rPr>
            <w:rStyle w:val="Hyperlink"/>
          </w:rPr>
          <w:t xml:space="preserve">https://orcid.org/0000-0001-6387-5988</w:t>
        </w:r>
      </w:hyperlink>
    </w:p>
    <w:p>
      <w:pPr>
        <w:numPr>
          <w:ilvl w:val="0"/>
          <w:numId w:val="1009"/>
        </w:numPr>
        <w:pStyle w:val="Compact"/>
      </w:pPr>
      <w:r>
        <w:t xml:space="preserve">Andreas Czerniak</w:t>
      </w:r>
      <w:r>
        <w:t xml:space="preserve"> </w:t>
      </w:r>
      <w:hyperlink r:id="rId250">
        <w:r>
          <w:rPr>
            <w:rStyle w:val="Hyperlink"/>
          </w:rPr>
          <w:t xml:space="preserve">https://orcid.org/0000-0003-3883-4169</w:t>
        </w:r>
      </w:hyperlink>
    </w:p>
    <w:p>
      <w:pPr>
        <w:numPr>
          <w:ilvl w:val="0"/>
          <w:numId w:val="1009"/>
        </w:numPr>
        <w:pStyle w:val="Compact"/>
      </w:pPr>
      <w:r>
        <w:t xml:space="preserve">Jeremy Jay</w:t>
      </w:r>
      <w:r>
        <w:t xml:space="preserve"> </w:t>
      </w:r>
      <w:hyperlink r:id="rId251">
        <w:r>
          <w:rPr>
            <w:rStyle w:val="Hyperlink"/>
          </w:rPr>
          <w:t xml:space="preserve">https://orcid.org/0000-0002-5761-7533</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Ronald Siebes</w:t>
      </w:r>
      <w:r>
        <w:t xml:space="preserve"> </w:t>
      </w:r>
      <w:hyperlink r:id="rId253">
        <w:r>
          <w:rPr>
            <w:rStyle w:val="Hyperlink"/>
          </w:rPr>
          <w:t xml:space="preserve">https://orcid.org/0000-0001-8772-7904</w:t>
        </w:r>
      </w:hyperlink>
    </w:p>
    <w:p>
      <w:pPr>
        <w:numPr>
          <w:ilvl w:val="0"/>
          <w:numId w:val="1009"/>
        </w:numPr>
        <w:pStyle w:val="Compact"/>
      </w:pPr>
      <w:r>
        <w:t xml:space="preserve">Shaun de Witt</w:t>
      </w:r>
      <w:r>
        <w:t xml:space="preserve"> </w:t>
      </w:r>
      <w:hyperlink r:id="rId254">
        <w:r>
          <w:rPr>
            <w:rStyle w:val="Hyperlink"/>
          </w:rPr>
          <w:t xml:space="preserve">https://orcid.org/0000-0003-4196-3658</w:t>
        </w:r>
      </w:hyperlink>
    </w:p>
    <w:p>
      <w:pPr>
        <w:numPr>
          <w:ilvl w:val="0"/>
          <w:numId w:val="1009"/>
        </w:numPr>
        <w:pStyle w:val="Compact"/>
      </w:pPr>
      <w:r>
        <w:t xml:space="preserve">Shady El Damaty</w:t>
      </w:r>
      <w:r>
        <w:t xml:space="preserve"> </w:t>
      </w:r>
      <w:hyperlink r:id="rId255">
        <w:r>
          <w:rPr>
            <w:rStyle w:val="Hyperlink"/>
          </w:rPr>
          <w:t xml:space="preserve">https://orcid.org/0000-0002-2318-4477</w:t>
        </w:r>
      </w:hyperlink>
    </w:p>
    <w:p>
      <w:pPr>
        <w:numPr>
          <w:ilvl w:val="0"/>
          <w:numId w:val="1009"/>
        </w:numPr>
        <w:pStyle w:val="Compact"/>
      </w:pPr>
      <w:r>
        <w:t xml:space="preserve">Douglas Lowe</w:t>
      </w:r>
      <w:r>
        <w:t xml:space="preserve"> </w:t>
      </w:r>
      <w:hyperlink r:id="rId256">
        <w:r>
          <w:rPr>
            <w:rStyle w:val="Hyperlink"/>
          </w:rPr>
          <w:t xml:space="preserve">https://orcid.org/0000-0002-1248-3594</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Xuanqi Li</w:t>
      </w:r>
      <w:r>
        <w:t xml:space="preserve"> </w:t>
      </w:r>
      <w:hyperlink r:id="rId257">
        <w:r>
          <w:rPr>
            <w:rStyle w:val="Hyperlink"/>
          </w:rPr>
          <w:t xml:space="preserve">https://orcid.org/0000-0003-1498-6205</w:t>
        </w:r>
      </w:hyperlink>
    </w:p>
    <w:p>
      <w:pPr>
        <w:pStyle w:val="Heading2"/>
      </w:pPr>
      <w:bookmarkStart w:id="258" w:name="references"/>
      <w:r>
        <w:t xml:space="preserve">References</w:t>
      </w:r>
      <w:bookmarkEnd w:id="258"/>
    </w:p>
    <w:bookmarkStart w:id="555" w:name="refs"/>
    <w:bookmarkStart w:id="260"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259">
        <w:r>
          <w:rPr>
            <w:rStyle w:val="Hyperlink"/>
          </w:rPr>
          <w:t xml:space="preserve">http://ptsefton.com/2021/04/07/rdmpic/</w:t>
        </w:r>
      </w:hyperlink>
    </w:p>
    <w:bookmarkEnd w:id="260"/>
    <w:bookmarkStart w:id="263"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261">
        <w:r>
          <w:rPr>
            <w:rStyle w:val="Hyperlink"/>
          </w:rPr>
          <w:t xml:space="preserve">10.1126/science.aah6168</w:t>
        </w:r>
      </w:hyperlink>
      <w:r>
        <w:t xml:space="preserve"> </w:t>
      </w:r>
      <w:r>
        <w:t xml:space="preserve">· PMID:</w:t>
      </w:r>
      <w:r>
        <w:t xml:space="preserve"> </w:t>
      </w:r>
      <w:hyperlink r:id="rId262">
        <w:r>
          <w:rPr>
            <w:rStyle w:val="Hyperlink"/>
          </w:rPr>
          <w:t xml:space="preserve">27940837</w:t>
        </w:r>
      </w:hyperlink>
    </w:p>
    <w:bookmarkEnd w:id="263"/>
    <w:bookmarkStart w:id="265"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264">
        <w:r>
          <w:rPr>
            <w:rStyle w:val="Hyperlink"/>
          </w:rPr>
          <w:t xml:space="preserve">10.3233/ds-190026</w:t>
        </w:r>
      </w:hyperlink>
    </w:p>
    <w:bookmarkEnd w:id="265"/>
    <w:bookmarkStart w:id="267" w:name="ref-nHPbkJXy"/>
    <w:p>
      <w:pPr>
        <w:pStyle w:val="Bibliography"/>
      </w:pPr>
      <w:r>
        <w:t xml:space="preserve">4.</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266">
        <w:r>
          <w:rPr>
            <w:rStyle w:val="Hyperlink"/>
          </w:rPr>
          <w:t xml:space="preserve">10.1162/dint_a_00033</w:t>
        </w:r>
      </w:hyperlink>
    </w:p>
    <w:bookmarkEnd w:id="267"/>
    <w:bookmarkStart w:id="271" w:name="ref-6DjakjNS"/>
    <w:p>
      <w:pPr>
        <w:pStyle w:val="Bibliography"/>
      </w:pPr>
      <w:r>
        <w:t xml:space="preserve">5.</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268">
        <w:r>
          <w:rPr>
            <w:rStyle w:val="Hyperlink"/>
          </w:rPr>
          <w:t xml:space="preserve">10.1038/sdata.2016.18</w:t>
        </w:r>
      </w:hyperlink>
      <w:r>
        <w:t xml:space="preserve"> </w:t>
      </w:r>
      <w:r>
        <w:t xml:space="preserve">· PMID:</w:t>
      </w:r>
      <w:r>
        <w:t xml:space="preserve"> </w:t>
      </w:r>
      <w:hyperlink r:id="rId269">
        <w:r>
          <w:rPr>
            <w:rStyle w:val="Hyperlink"/>
          </w:rPr>
          <w:t xml:space="preserve">26978244</w:t>
        </w:r>
      </w:hyperlink>
      <w:r>
        <w:t xml:space="preserve"> </w:t>
      </w:r>
      <w:r>
        <w:t xml:space="preserve">· PMCID:</w:t>
      </w:r>
      <w:r>
        <w:t xml:space="preserve"> </w:t>
      </w:r>
      <w:hyperlink r:id="rId270">
        <w:r>
          <w:rPr>
            <w:rStyle w:val="Hyperlink"/>
          </w:rPr>
          <w:t xml:space="preserve">PMC4792175</w:t>
        </w:r>
      </w:hyperlink>
    </w:p>
    <w:bookmarkEnd w:id="271"/>
    <w:bookmarkStart w:id="273" w:name="ref-r3UZD8uu"/>
    <w:p>
      <w:pPr>
        <w:pStyle w:val="Bibliography"/>
      </w:pPr>
      <w:r>
        <w:t xml:space="preserve">6.</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272">
        <w:r>
          <w:rPr>
            <w:rStyle w:val="Hyperlink"/>
          </w:rPr>
          <w:t xml:space="preserve">9781315351148</w:t>
        </w:r>
      </w:hyperlink>
    </w:p>
    <w:bookmarkEnd w:id="273"/>
    <w:bookmarkStart w:id="275" w:name="ref-8xxCWPLQ"/>
    <w:p>
      <w:pPr>
        <w:pStyle w:val="Bibliography"/>
      </w:pPr>
      <w:r>
        <w:t xml:space="preserve">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274">
        <w:r>
          <w:rPr>
            <w:rStyle w:val="Hyperlink"/>
          </w:rPr>
          <w:t xml:space="preserve">10.3897/biss.3.37080</w:t>
        </w:r>
      </w:hyperlink>
    </w:p>
    <w:bookmarkEnd w:id="275"/>
    <w:bookmarkStart w:id="279" w:name="ref-c5hSVgMG"/>
    <w:p>
      <w:pPr>
        <w:pStyle w:val="Bibliography"/>
      </w:pPr>
      <w:r>
        <w:t xml:space="preserve">8.</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276">
        <w:r>
          <w:rPr>
            <w:rStyle w:val="Hyperlink"/>
          </w:rPr>
          <w:t xml:space="preserve">10.1093/nar/gkl971</w:t>
        </w:r>
      </w:hyperlink>
      <w:r>
        <w:t xml:space="preserve"> </w:t>
      </w:r>
      <w:r>
        <w:t xml:space="preserve">· PMID:</w:t>
      </w:r>
      <w:r>
        <w:t xml:space="preserve"> </w:t>
      </w:r>
      <w:hyperlink r:id="rId277">
        <w:r>
          <w:rPr>
            <w:rStyle w:val="Hyperlink"/>
          </w:rPr>
          <w:t xml:space="preserve">17142228</w:t>
        </w:r>
      </w:hyperlink>
      <w:r>
        <w:t xml:space="preserve"> </w:t>
      </w:r>
      <w:r>
        <w:t xml:space="preserve">· PMCID:</w:t>
      </w:r>
      <w:r>
        <w:t xml:space="preserve"> </w:t>
      </w:r>
      <w:hyperlink r:id="rId278">
        <w:r>
          <w:rPr>
            <w:rStyle w:val="Hyperlink"/>
          </w:rPr>
          <w:t xml:space="preserve">PMC1669775</w:t>
        </w:r>
      </w:hyperlink>
    </w:p>
    <w:bookmarkEnd w:id="279"/>
    <w:bookmarkStart w:id="283" w:name="ref-Pf3steOn"/>
    <w:p>
      <w:pPr>
        <w:pStyle w:val="Bibliography"/>
      </w:pPr>
      <w:r>
        <w:t xml:space="preserve">9.</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280">
        <w:r>
          <w:rPr>
            <w:rStyle w:val="Hyperlink"/>
          </w:rPr>
          <w:t xml:space="preserve">10.1371/journal.pcbi.1003285</w:t>
        </w:r>
      </w:hyperlink>
      <w:r>
        <w:t xml:space="preserve"> </w:t>
      </w:r>
      <w:r>
        <w:t xml:space="preserve">· PMID:</w:t>
      </w:r>
      <w:r>
        <w:t xml:space="preserve"> </w:t>
      </w:r>
      <w:hyperlink r:id="rId281">
        <w:r>
          <w:rPr>
            <w:rStyle w:val="Hyperlink"/>
          </w:rPr>
          <w:t xml:space="preserve">24204232</w:t>
        </w:r>
      </w:hyperlink>
      <w:r>
        <w:t xml:space="preserve"> </w:t>
      </w:r>
      <w:r>
        <w:t xml:space="preserve">· PMCID:</w:t>
      </w:r>
      <w:r>
        <w:t xml:space="preserve"> </w:t>
      </w:r>
      <w:hyperlink r:id="rId282">
        <w:r>
          <w:rPr>
            <w:rStyle w:val="Hyperlink"/>
          </w:rPr>
          <w:t xml:space="preserve">PMC3812051</w:t>
        </w:r>
      </w:hyperlink>
    </w:p>
    <w:bookmarkEnd w:id="283"/>
    <w:bookmarkStart w:id="285" w:name="ref-6OzT7zDz"/>
    <w:p>
      <w:pPr>
        <w:pStyle w:val="Bibliography"/>
      </w:pPr>
      <w:r>
        <w:t xml:space="preserve">10.</w:t>
      </w:r>
      <w:r>
        <w:t xml:space="preserve"> </w:t>
      </w:r>
      <w:r>
        <w:rPr>
          <w:b/>
        </w:rPr>
        <w:t xml:space="preserve">Talking datasets – Understanding data sensemaking behaviours</w:t>
      </w:r>
      <w:r>
        <w:t xml:space="preserve"> </w:t>
      </w:r>
      <w:r>
        <w:br/>
      </w:r>
      <w:r>
        <w:t xml:space="preserve">Laura Koesten, Kathleen Gregory, Paul Groth, Elena Simperl</w:t>
      </w:r>
      <w:r>
        <w:br/>
      </w:r>
      <w:r>
        <w:rPr>
          <w:i/>
        </w:rPr>
        <w:t xml:space="preserve">International journal of human-computer studies</w:t>
      </w:r>
      <w:r>
        <w:t xml:space="preserve"> </w:t>
      </w:r>
      <w:r>
        <w:t xml:space="preserve">(2021-02)</w:t>
      </w:r>
      <w:r>
        <w:t xml:space="preserve"> </w:t>
      </w:r>
      <w:r>
        <w:br/>
      </w:r>
      <w:r>
        <w:t xml:space="preserve">DOI:</w:t>
      </w:r>
      <w:r>
        <w:t xml:space="preserve"> </w:t>
      </w:r>
      <w:hyperlink r:id="rId284">
        <w:r>
          <w:rPr>
            <w:rStyle w:val="Hyperlink"/>
          </w:rPr>
          <w:t xml:space="preserve">10.1016/j.ijhcs.2020.102562</w:t>
        </w:r>
      </w:hyperlink>
    </w:p>
    <w:bookmarkEnd w:id="285"/>
    <w:bookmarkStart w:id="287" w:name="ref-sRYUCzCq"/>
    <w:p>
      <w:pPr>
        <w:pStyle w:val="Bibliography"/>
      </w:pPr>
      <w:r>
        <w:t xml:space="preserve">11.</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286">
        <w:r>
          <w:rPr>
            <w:rStyle w:val="Hyperlink"/>
          </w:rPr>
          <w:t xml:space="preserve">10.1016/j.future.2011.08.004</w:t>
        </w:r>
      </w:hyperlink>
    </w:p>
    <w:bookmarkEnd w:id="287"/>
    <w:bookmarkStart w:id="289" w:name="ref-eWgJ0fZt"/>
    <w:p>
      <w:pPr>
        <w:pStyle w:val="Bibliography"/>
      </w:pPr>
      <w:r>
        <w:t xml:space="preserve">12.</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88">
        <w:r>
          <w:rPr>
            <w:rStyle w:val="Hyperlink"/>
          </w:rPr>
          <w:t xml:space="preserve">10.1016/j.websem.2015.01.003</w:t>
        </w:r>
      </w:hyperlink>
    </w:p>
    <w:bookmarkEnd w:id="289"/>
    <w:bookmarkStart w:id="291" w:name="ref-19ead6wt6"/>
    <w:p>
      <w:pPr>
        <w:pStyle w:val="Bibliography"/>
      </w:pPr>
      <w:r>
        <w:t xml:space="preserve">13.</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290">
        <w:r>
          <w:rPr>
            <w:rStyle w:val="Hyperlink"/>
          </w:rPr>
          <w:t xml:space="preserve">10.5281/zenodo.3250687</w:t>
        </w:r>
      </w:hyperlink>
    </w:p>
    <w:bookmarkEnd w:id="291"/>
    <w:bookmarkStart w:id="293" w:name="ref-1GDrMnMDr"/>
    <w:p>
      <w:pPr>
        <w:pStyle w:val="Bibliography"/>
      </w:pPr>
      <w:r>
        <w:t xml:space="preserve">14.</w:t>
      </w:r>
      <w:r>
        <w:t xml:space="preserve"> </w:t>
      </w:r>
      <w:r>
        <w:rPr>
          <w:b/>
        </w:rPr>
        <w:t xml:space="preserve">A comparison of research data management platforms: architecture, flexible metadata and interoperability</w:t>
      </w:r>
      <w:r>
        <w:t xml:space="preserve"> </w:t>
      </w:r>
      <w:r>
        <w:br/>
      </w:r>
      <w:r>
        <w:t xml:space="preserve">Ricardo Carvalho Amorim, João Aguiar Castro, João Rocha da Silva, Cristina Ribeiro</w:t>
      </w:r>
      <w:r>
        <w:br/>
      </w:r>
      <w:r>
        <w:rPr>
          <w:i/>
        </w:rPr>
        <w:t xml:space="preserve">Universal Access in the Information Society</w:t>
      </w:r>
      <w:r>
        <w:t xml:space="preserve"> </w:t>
      </w:r>
      <w:r>
        <w:t xml:space="preserve">(2016-06-11)</w:t>
      </w:r>
      <w:r>
        <w:t xml:space="preserve"> </w:t>
      </w:r>
      <w:r>
        <w:br/>
      </w:r>
      <w:r>
        <w:t xml:space="preserve">DOI:</w:t>
      </w:r>
      <w:r>
        <w:t xml:space="preserve"> </w:t>
      </w:r>
      <w:hyperlink r:id="rId292">
        <w:r>
          <w:rPr>
            <w:rStyle w:val="Hyperlink"/>
          </w:rPr>
          <w:t xml:space="preserve">10.1007/s10209-016-0475-y</w:t>
        </w:r>
      </w:hyperlink>
    </w:p>
    <w:bookmarkEnd w:id="293"/>
    <w:bookmarkStart w:id="295" w:name="ref-qO3xQviT"/>
    <w:p>
      <w:pPr>
        <w:pStyle w:val="Bibliography"/>
      </w:pPr>
      <w:r>
        <w:t xml:space="preserve">15.</w:t>
      </w:r>
      <w:r>
        <w:t xml:space="preserve"> </w:t>
      </w:r>
      <w:r>
        <w:rPr>
          <w:b/>
        </w:rPr>
        <w:t xml:space="preserve">Metadata for Research Data: Current Practices and Trends</w:t>
      </w:r>
      <w:r>
        <w:t xml:space="preserve"> </w:t>
      </w:r>
      <w:r>
        <w:br/>
      </w:r>
      <w:r>
        <w:t xml:space="preserve">Sharon Farnel, Ali Shiri</w:t>
      </w:r>
      <w:r>
        <w:br/>
      </w:r>
      <w:r>
        <w:rPr>
          <w:i/>
        </w:rPr>
        <w:t xml:space="preserve">2014 Proceedings of the International Conference on Dublin Core and Metadata Applications</w:t>
      </w:r>
      <w:r>
        <w:t xml:space="preserve"> </w:t>
      </w:r>
      <w:r>
        <w:t xml:space="preserve">(2014)</w:t>
      </w:r>
      <w:r>
        <w:t xml:space="preserve"> </w:t>
      </w:r>
      <w:hyperlink r:id="rId294">
        <w:r>
          <w:rPr>
            <w:rStyle w:val="Hyperlink"/>
          </w:rPr>
          <w:t xml:space="preserve">https://dcpapers.dublincore.org/pubs/article/view/3714</w:t>
        </w:r>
      </w:hyperlink>
    </w:p>
    <w:bookmarkEnd w:id="295"/>
    <w:bookmarkStart w:id="297" w:name="ref-aCye3KpE"/>
    <w:p>
      <w:pPr>
        <w:pStyle w:val="Bibliography"/>
      </w:pPr>
      <w:r>
        <w:t xml:space="preserve">16.</w:t>
      </w:r>
      <w:r>
        <w:t xml:space="preserve"> </w:t>
      </w:r>
      <w:r>
        <w:rPr>
          <w:b/>
        </w:rPr>
        <w:t xml:space="preserve">EOSC Interoperability Framework</w:t>
      </w:r>
      <w:r>
        <w:t xml:space="preserve"> </w:t>
      </w:r>
      <w:r>
        <w:br/>
      </w:r>
      <w:r>
        <w:t xml:space="preserve">Krzysztof Kurowski, Oscar Corcho, Christine Choirat, Magnus Eriksson, Frederik Coppens, Mark van de Sanden, Milan Ojsteršek</w:t>
      </w:r>
      <w:r>
        <w:br/>
      </w:r>
      <w:r>
        <w:rPr>
          <w:i/>
        </w:rPr>
        <w:t xml:space="preserve">Publications Office of the EU</w:t>
      </w:r>
      <w:r>
        <w:t xml:space="preserve"> </w:t>
      </w:r>
      <w:r>
        <w:t xml:space="preserve">(2021-02-05)</w:t>
      </w:r>
      <w:r>
        <w:t xml:space="preserve"> </w:t>
      </w:r>
      <w:r>
        <w:br/>
      </w:r>
      <w:r>
        <w:t xml:space="preserve">DOI:</w:t>
      </w:r>
      <w:r>
        <w:t xml:space="preserve"> </w:t>
      </w:r>
      <w:hyperlink r:id="rId296">
        <w:r>
          <w:rPr>
            <w:rStyle w:val="Hyperlink"/>
          </w:rPr>
          <w:t xml:space="preserve">10.2777/620649</w:t>
        </w:r>
      </w:hyperlink>
    </w:p>
    <w:bookmarkEnd w:id="297"/>
    <w:bookmarkStart w:id="300" w:name="ref-ce8qTQBF"/>
    <w:p>
      <w:pPr>
        <w:pStyle w:val="Bibliography"/>
      </w:pPr>
      <w:r>
        <w:t xml:space="preserve">17.</w:t>
      </w:r>
      <w:r>
        <w:t xml:space="preserve"> </w:t>
      </w:r>
      <w:r>
        <w:rPr>
          <w:b/>
        </w:rPr>
        <w:t xml:space="preserve">Library of Congress Subject Headings: Principles and Application</w:t>
      </w:r>
      <w:r>
        <w:t xml:space="preserve"> </w:t>
      </w:r>
      <w:r>
        <w:br/>
      </w:r>
      <w:r>
        <w:t xml:space="preserve">Lois Mai Chan</w:t>
      </w:r>
      <w:r>
        <w:br/>
      </w:r>
      <w:r>
        <w:rPr>
          <w:i/>
        </w:rPr>
        <w:t xml:space="preserve">Libraries Unlimited</w:t>
      </w:r>
      <w:r>
        <w:t xml:space="preserve"> </w:t>
      </w:r>
      <w:r>
        <w:t xml:space="preserve">(1995-09-01)</w:t>
      </w:r>
      <w:r>
        <w:t xml:space="preserve"> </w:t>
      </w:r>
      <w:hyperlink r:id="rId298">
        <w:r>
          <w:rPr>
            <w:rStyle w:val="Hyperlink"/>
          </w:rPr>
          <w:t xml:space="preserve">https://eric.ed.gov/?id={ED387146}</w:t>
        </w:r>
      </w:hyperlink>
      <w:r>
        <w:t xml:space="preserve"> </w:t>
      </w:r>
      <w:r>
        <w:br/>
      </w:r>
      <w:r>
        <w:t xml:space="preserve">ISBN:</w:t>
      </w:r>
      <w:r>
        <w:t xml:space="preserve"> </w:t>
      </w:r>
      <w:hyperlink r:id="rId299">
        <w:r>
          <w:rPr>
            <w:rStyle w:val="Hyperlink"/>
          </w:rPr>
          <w:t xml:space="preserve">9781563081910</w:t>
        </w:r>
      </w:hyperlink>
    </w:p>
    <w:bookmarkEnd w:id="300"/>
    <w:bookmarkStart w:id="304" w:name="ref-twn3K6TG"/>
    <w:p>
      <w:pPr>
        <w:pStyle w:val="Bibliography"/>
      </w:pPr>
      <w:r>
        <w:t xml:space="preserve">18.</w:t>
      </w:r>
      <w:r>
        <w:t xml:space="preserve"> </w:t>
      </w:r>
      <w:r>
        <w:rPr>
          <w:b/>
        </w:rPr>
        <w:t xml:space="preserve">National bibliographies in the digital age: guidance and new directions: IFLA working group on guidelines for national bibliographies</w:t>
      </w:r>
      <w:r>
        <w:t xml:space="preserve"> </w:t>
      </w:r>
      <w:r>
        <w:br/>
      </w:r>
      <w:r>
        <w:t xml:space="preserve">Maja Žumer, Ifla (editors)</w:t>
      </w:r>
      <w:r>
        <w:br/>
      </w:r>
      <w:r>
        <w:rPr>
          <w:i/>
        </w:rPr>
        <w:t xml:space="preserve">Walter de Gruyter – K. G. Saur</w:t>
      </w:r>
      <w:r>
        <w:t xml:space="preserve"> </w:t>
      </w:r>
      <w:r>
        <w:t xml:space="preserve">(2009-01-28)</w:t>
      </w:r>
      <w:r>
        <w:t xml:space="preserve"> </w:t>
      </w:r>
      <w:hyperlink r:id="rId301">
        <w:r>
          <w:rPr>
            <w:rStyle w:val="Hyperlink"/>
          </w:rPr>
          <w:t xml:space="preserve">https://www.ifla.org/node/7858</w:t>
        </w:r>
      </w:hyperlink>
      <w:r>
        <w:t xml:space="preserve"> </w:t>
      </w:r>
      <w:r>
        <w:br/>
      </w:r>
      <w:r>
        <w:t xml:space="preserve">DOI:</w:t>
      </w:r>
      <w:r>
        <w:t xml:space="preserve"> </w:t>
      </w:r>
      <w:hyperlink r:id="rId302">
        <w:r>
          <w:rPr>
            <w:rStyle w:val="Hyperlink"/>
          </w:rPr>
          <w:t xml:space="preserve">10.1515/9783598441844</w:t>
        </w:r>
      </w:hyperlink>
      <w:r>
        <w:t xml:space="preserve"> </w:t>
      </w:r>
      <w:r>
        <w:t xml:space="preserve">· ISBN:</w:t>
      </w:r>
      <w:r>
        <w:t xml:space="preserve"> </w:t>
      </w:r>
      <w:hyperlink r:id="rId303">
        <w:r>
          <w:rPr>
            <w:rStyle w:val="Hyperlink"/>
          </w:rPr>
          <w:t xml:space="preserve">9783598441844</w:t>
        </w:r>
      </w:hyperlink>
    </w:p>
    <w:bookmarkEnd w:id="304"/>
    <w:bookmarkStart w:id="306" w:name="ref-xaBY9xom"/>
    <w:p>
      <w:pPr>
        <w:pStyle w:val="Bibliography"/>
      </w:pPr>
      <w:r>
        <w:t xml:space="preserve">19.</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305">
        <w:r>
          <w:rPr>
            <w:rStyle w:val="Hyperlink"/>
          </w:rPr>
          <w:t xml:space="preserve">https://cameronneylon.net/blog/as-a-researcher-im-a-bit-bloody-fed-up-with-data-management/</w:t>
        </w:r>
      </w:hyperlink>
    </w:p>
    <w:bookmarkEnd w:id="306"/>
    <w:bookmarkStart w:id="309" w:name="ref-DfP2RrQB"/>
    <w:p>
      <w:pPr>
        <w:pStyle w:val="Bibliography"/>
      </w:pPr>
      <w:r>
        <w:t xml:space="preserve">20.</w:t>
      </w:r>
      <w:r>
        <w:t xml:space="preserve"> </w:t>
      </w:r>
      <w:r>
        <w:rPr>
          <w:b/>
        </w:rPr>
        <w:t xml:space="preserve">Why is data sharing in collaborative natural resource efforts so hard and what can we do to improve it?</w:t>
      </w:r>
      <w:r>
        <w:t xml:space="preserve"> </w:t>
      </w:r>
      <w:r>
        <w:br/>
      </w:r>
      <w:r>
        <w:t xml:space="preserve">Carol J Volk, Yasmin Lucero, Katie Barnas</w:t>
      </w:r>
      <w:r>
        <w:br/>
      </w:r>
      <w:r>
        <w:rPr>
          <w:i/>
        </w:rPr>
        <w:t xml:space="preserve">Environmental Management</w:t>
      </w:r>
      <w:r>
        <w:t xml:space="preserve"> </w:t>
      </w:r>
      <w:r>
        <w:t xml:space="preserve">(2014-05)</w:t>
      </w:r>
      <w:r>
        <w:t xml:space="preserve"> </w:t>
      </w:r>
      <w:r>
        <w:br/>
      </w:r>
      <w:r>
        <w:t xml:space="preserve">DOI:</w:t>
      </w:r>
      <w:r>
        <w:t xml:space="preserve"> </w:t>
      </w:r>
      <w:hyperlink r:id="rId307">
        <w:r>
          <w:rPr>
            <w:rStyle w:val="Hyperlink"/>
          </w:rPr>
          <w:t xml:space="preserve">10.1007/s00267-014-0258-2</w:t>
        </w:r>
      </w:hyperlink>
      <w:r>
        <w:t xml:space="preserve"> </w:t>
      </w:r>
      <w:r>
        <w:t xml:space="preserve">· PMID:</w:t>
      </w:r>
      <w:r>
        <w:t xml:space="preserve"> </w:t>
      </w:r>
      <w:hyperlink r:id="rId308">
        <w:r>
          <w:rPr>
            <w:rStyle w:val="Hyperlink"/>
          </w:rPr>
          <w:t xml:space="preserve">24604667</w:t>
        </w:r>
      </w:hyperlink>
    </w:p>
    <w:bookmarkEnd w:id="309"/>
    <w:bookmarkStart w:id="313" w:name="ref-WD4Wsy0c"/>
    <w:p>
      <w:pPr>
        <w:pStyle w:val="Bibliography"/>
      </w:pPr>
      <w:r>
        <w:t xml:space="preserve">21.</w:t>
      </w:r>
      <w:r>
        <w:t xml:space="preserve"> </w:t>
      </w:r>
      <w:r>
        <w:rPr>
          <w:b/>
        </w:rPr>
        <w:t xml:space="preserve">COVID-19 pandemic reveals the peril of ignoring metadata standards.</w:t>
      </w:r>
      <w:r>
        <w:t xml:space="preserve"> </w:t>
      </w:r>
      <w:r>
        <w:br/>
      </w:r>
      <w:r>
        <w:t xml:space="preserve">Lynn M Schriml, Maria Chuvochina, Neil Davies, Emiley A Eloe-Fadrosh, Robert D Finn, Philip Hugenholtz, Christopher I Hunter, Bonnie L Hurwitz, Nikos C Kyrpides, Folker Meyer, … Ramona Walls</w:t>
      </w:r>
      <w:r>
        <w:br/>
      </w:r>
      <w:r>
        <w:rPr>
          <w:i/>
        </w:rPr>
        <w:t xml:space="preserve">Scientific data</w:t>
      </w:r>
      <w:r>
        <w:t xml:space="preserve"> </w:t>
      </w:r>
      <w:r>
        <w:t xml:space="preserve">(2020-06-19)</w:t>
      </w:r>
      <w:r>
        <w:t xml:space="preserve"> </w:t>
      </w:r>
      <w:r>
        <w:br/>
      </w:r>
      <w:r>
        <w:t xml:space="preserve">DOI:</w:t>
      </w:r>
      <w:r>
        <w:t xml:space="preserve"> </w:t>
      </w:r>
      <w:hyperlink r:id="rId310">
        <w:r>
          <w:rPr>
            <w:rStyle w:val="Hyperlink"/>
          </w:rPr>
          <w:t xml:space="preserve">10.1038/s41597-020-0524-5</w:t>
        </w:r>
      </w:hyperlink>
      <w:r>
        <w:t xml:space="preserve"> </w:t>
      </w:r>
      <w:r>
        <w:t xml:space="preserve">· PMID:</w:t>
      </w:r>
      <w:r>
        <w:t xml:space="preserve"> </w:t>
      </w:r>
      <w:hyperlink r:id="rId311">
        <w:r>
          <w:rPr>
            <w:rStyle w:val="Hyperlink"/>
          </w:rPr>
          <w:t xml:space="preserve">32561801</w:t>
        </w:r>
      </w:hyperlink>
      <w:r>
        <w:t xml:space="preserve"> </w:t>
      </w:r>
      <w:r>
        <w:t xml:space="preserve">· PMCID:</w:t>
      </w:r>
      <w:r>
        <w:t xml:space="preserve"> </w:t>
      </w:r>
      <w:hyperlink r:id="rId312">
        <w:r>
          <w:rPr>
            <w:rStyle w:val="Hyperlink"/>
          </w:rPr>
          <w:t xml:space="preserve">PMC7305141</w:t>
        </w:r>
      </w:hyperlink>
    </w:p>
    <w:bookmarkEnd w:id="313"/>
    <w:bookmarkStart w:id="317" w:name="ref-GOjoQFmf"/>
    <w:p>
      <w:pPr>
        <w:pStyle w:val="Bibliography"/>
      </w:pPr>
      <w:r>
        <w:t xml:space="preserve">22.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314">
        <w:r>
          <w:rPr>
            <w:rStyle w:val="Hyperlink"/>
          </w:rPr>
          <w:t xml:space="preserve">http://www.morganclaypool.com/doi/abs/10.2200/S00334ED1V01Y201102WBE001</w:t>
        </w:r>
      </w:hyperlink>
      <w:r>
        <w:t xml:space="preserve"> </w:t>
      </w:r>
      <w:r>
        <w:br/>
      </w:r>
      <w:r>
        <w:t xml:space="preserve">DOI:</w:t>
      </w:r>
      <w:r>
        <w:t xml:space="preserve"> </w:t>
      </w:r>
      <w:hyperlink r:id="rId315">
        <w:r>
          <w:rPr>
            <w:rStyle w:val="Hyperlink"/>
          </w:rPr>
          <w:t xml:space="preserve">10.2200/s00334ed1v01y201102wbe001</w:t>
        </w:r>
      </w:hyperlink>
      <w:r>
        <w:t xml:space="preserve"> </w:t>
      </w:r>
      <w:r>
        <w:t xml:space="preserve">· ISBN:</w:t>
      </w:r>
      <w:r>
        <w:t xml:space="preserve"> </w:t>
      </w:r>
      <w:hyperlink r:id="rId316">
        <w:r>
          <w:rPr>
            <w:rStyle w:val="Hyperlink"/>
          </w:rPr>
          <w:t xml:space="preserve">9781608454310</w:t>
        </w:r>
      </w:hyperlink>
    </w:p>
    <w:bookmarkEnd w:id="317"/>
    <w:bookmarkStart w:id="321" w:name="ref-5ln5TkiV"/>
    <w:p>
      <w:pPr>
        <w:pStyle w:val="Bibliography"/>
      </w:pPr>
      <w:r>
        <w:t xml:space="preserve">23.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Mélanie Courtot, John Deck, Michel Dumontier, Donal K Fellows, … Helen Parkinson</w:t>
      </w:r>
      <w:r>
        <w:br/>
      </w:r>
      <w:r>
        <w:rPr>
          <w:i/>
        </w:rPr>
        <w:t xml:space="preserve">PLoS Biology</w:t>
      </w:r>
      <w:r>
        <w:t xml:space="preserve"> </w:t>
      </w:r>
      <w:r>
        <w:t xml:space="preserve">(2017-06-29)</w:t>
      </w:r>
      <w:r>
        <w:t xml:space="preserve"> </w:t>
      </w:r>
      <w:r>
        <w:br/>
      </w:r>
      <w:r>
        <w:t xml:space="preserve">DOI:</w:t>
      </w:r>
      <w:r>
        <w:t xml:space="preserve"> </w:t>
      </w:r>
      <w:hyperlink r:id="rId318">
        <w:r>
          <w:rPr>
            <w:rStyle w:val="Hyperlink"/>
          </w:rPr>
          <w:t xml:space="preserve">10.1371/journal.pbio.2001414</w:t>
        </w:r>
      </w:hyperlink>
      <w:r>
        <w:t xml:space="preserve"> </w:t>
      </w:r>
      <w:r>
        <w:t xml:space="preserve">· PMID:</w:t>
      </w:r>
      <w:r>
        <w:t xml:space="preserve"> </w:t>
      </w:r>
      <w:hyperlink r:id="rId319">
        <w:r>
          <w:rPr>
            <w:rStyle w:val="Hyperlink"/>
          </w:rPr>
          <w:t xml:space="preserve">28662064</w:t>
        </w:r>
      </w:hyperlink>
      <w:r>
        <w:t xml:space="preserve"> </w:t>
      </w:r>
      <w:r>
        <w:t xml:space="preserve">· PMCID:</w:t>
      </w:r>
      <w:r>
        <w:t xml:space="preserve"> </w:t>
      </w:r>
      <w:hyperlink r:id="rId320">
        <w:r>
          <w:rPr>
            <w:rStyle w:val="Hyperlink"/>
          </w:rPr>
          <w:t xml:space="preserve">PMC5490878</w:t>
        </w:r>
      </w:hyperlink>
    </w:p>
    <w:bookmarkEnd w:id="321"/>
    <w:bookmarkStart w:id="324" w:name="ref-UQNJggmh"/>
    <w:p>
      <w:pPr>
        <w:pStyle w:val="Bibliography"/>
      </w:pPr>
      <w:r>
        <w:t xml:space="preserve">24.</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322">
        <w:r>
          <w:rPr>
            <w:rStyle w:val="Hyperlink"/>
          </w:rPr>
          <w:t xml:space="preserve">https://www.rfc-editor.org/info/rfc8493</w:t>
        </w:r>
      </w:hyperlink>
      <w:r>
        <w:t xml:space="preserve"> </w:t>
      </w:r>
      <w:r>
        <w:br/>
      </w:r>
      <w:r>
        <w:t xml:space="preserve">DOI:</w:t>
      </w:r>
      <w:r>
        <w:t xml:space="preserve"> </w:t>
      </w:r>
      <w:hyperlink r:id="rId323">
        <w:r>
          <w:rPr>
            <w:rStyle w:val="Hyperlink"/>
          </w:rPr>
          <w:t xml:space="preserve">10.17487/rfc8493</w:t>
        </w:r>
      </w:hyperlink>
    </w:p>
    <w:bookmarkEnd w:id="324"/>
    <w:bookmarkStart w:id="325" w:name="ref-TivFlCqv"/>
    <w:p>
      <w:pPr>
        <w:pStyle w:val="Bibliography"/>
      </w:pPr>
      <w:r>
        <w:t xml:space="preserve">25.</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73">
        <w:r>
          <w:rPr>
            <w:rStyle w:val="Hyperlink"/>
          </w:rPr>
          <w:t xml:space="preserve">https://ocfl.io/1.0/spec/</w:t>
        </w:r>
      </w:hyperlink>
    </w:p>
    <w:bookmarkEnd w:id="325"/>
    <w:bookmarkStart w:id="329" w:name="ref-OsBEGq7D"/>
    <w:p>
      <w:pPr>
        <w:pStyle w:val="Bibliography"/>
      </w:pPr>
      <w:r>
        <w:t xml:space="preserve">26.</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326">
        <w:r>
          <w:rPr>
            <w:rStyle w:val="Hyperlink"/>
          </w:rPr>
          <w:t xml:space="preserve">http://services.igi-global.com/resolvedoi/resolve.aspx?doi=10.4018/978-1-60960-593-3.ch008</w:t>
        </w:r>
      </w:hyperlink>
      <w:r>
        <w:t xml:space="preserve"> </w:t>
      </w:r>
      <w:r>
        <w:br/>
      </w:r>
      <w:r>
        <w:t xml:space="preserve">DOI:</w:t>
      </w:r>
      <w:r>
        <w:t xml:space="preserve"> </w:t>
      </w:r>
      <w:hyperlink r:id="rId327">
        <w:r>
          <w:rPr>
            <w:rStyle w:val="Hyperlink"/>
          </w:rPr>
          <w:t xml:space="preserve">10.4018/978-1-60960-593-3.ch008</w:t>
        </w:r>
      </w:hyperlink>
      <w:r>
        <w:t xml:space="preserve"> </w:t>
      </w:r>
      <w:r>
        <w:t xml:space="preserve">· ISBN:</w:t>
      </w:r>
      <w:r>
        <w:t xml:space="preserve"> </w:t>
      </w:r>
      <w:hyperlink r:id="rId328">
        <w:r>
          <w:rPr>
            <w:rStyle w:val="Hyperlink"/>
          </w:rPr>
          <w:t xml:space="preserve">9781609605933</w:t>
        </w:r>
      </w:hyperlink>
    </w:p>
    <w:bookmarkEnd w:id="329"/>
    <w:bookmarkStart w:id="332" w:name="ref-rqjuXkEf"/>
    <w:p>
      <w:pPr>
        <w:pStyle w:val="Bibliography"/>
      </w:pPr>
      <w:r>
        <w:t xml:space="preserve">27.</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330">
        <w:r>
          <w:rPr>
            <w:rStyle w:val="Hyperlink"/>
          </w:rPr>
          <w:t xml:space="preserve">https://www.rfc-editor.org/info/rfc3987</w:t>
        </w:r>
      </w:hyperlink>
      <w:r>
        <w:t xml:space="preserve"> </w:t>
      </w:r>
      <w:r>
        <w:br/>
      </w:r>
      <w:r>
        <w:t xml:space="preserve">DOI:</w:t>
      </w:r>
      <w:r>
        <w:t xml:space="preserve"> </w:t>
      </w:r>
      <w:hyperlink r:id="rId331">
        <w:r>
          <w:rPr>
            <w:rStyle w:val="Hyperlink"/>
          </w:rPr>
          <w:t xml:space="preserve">10.17487/rfc3987</w:t>
        </w:r>
      </w:hyperlink>
    </w:p>
    <w:bookmarkEnd w:id="332"/>
    <w:bookmarkStart w:id="334" w:name="ref-wmxlb0Fv"/>
    <w:p>
      <w:pPr>
        <w:pStyle w:val="Bibliography"/>
      </w:pPr>
      <w:r>
        <w:t xml:space="preserve">28.</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333">
        <w:r>
          <w:rPr>
            <w:rStyle w:val="Hyperlink"/>
          </w:rPr>
          <w:t xml:space="preserve">https://www.w3.org/2001/tag/doc/httpRange-14/2007-08-31/HttpRange-14.html</w:t>
        </w:r>
      </w:hyperlink>
    </w:p>
    <w:bookmarkEnd w:id="334"/>
    <w:bookmarkStart w:id="336" w:name="ref-6Lj8VCHS"/>
    <w:p>
      <w:pPr>
        <w:pStyle w:val="Bibliography"/>
      </w:pPr>
      <w:r>
        <w:t xml:space="preserve">29.</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106">
        <w:r>
          <w:rPr>
            <w:rStyle w:val="Hyperlink"/>
          </w:rPr>
          <w:t xml:space="preserve">https://w3id.org/ro/crate/1.1</w:t>
        </w:r>
      </w:hyperlink>
      <w:r>
        <w:t xml:space="preserve"> </w:t>
      </w:r>
      <w:r>
        <w:br/>
      </w:r>
      <w:r>
        <w:t xml:space="preserve">DOI:</w:t>
      </w:r>
      <w:r>
        <w:t xml:space="preserve"> </w:t>
      </w:r>
      <w:hyperlink r:id="rId335">
        <w:r>
          <w:rPr>
            <w:rStyle w:val="Hyperlink"/>
          </w:rPr>
          <w:t xml:space="preserve">10.5281/zenodo.4541002</w:t>
        </w:r>
      </w:hyperlink>
    </w:p>
    <w:bookmarkEnd w:id="336"/>
    <w:bookmarkStart w:id="338" w:name="ref-vC6te3yd"/>
    <w:p>
      <w:pPr>
        <w:pStyle w:val="Bibliography"/>
      </w:pPr>
      <w:r>
        <w:t xml:space="preserve">30.</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337">
        <w:r>
          <w:rPr>
            <w:rStyle w:val="Hyperlink"/>
          </w:rPr>
          <w:t xml:space="preserve">10.1145/2857274.2857276</w:t>
        </w:r>
      </w:hyperlink>
    </w:p>
    <w:bookmarkEnd w:id="338"/>
    <w:bookmarkStart w:id="340" w:name="ref-17q6tYFV2"/>
    <w:p>
      <w:pPr>
        <w:pStyle w:val="Bibliography"/>
      </w:pPr>
      <w:r>
        <w:t xml:space="preserve">31.</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339">
        <w:r>
          <w:rPr>
            <w:rStyle w:val="Hyperlink"/>
          </w:rPr>
          <w:t xml:space="preserve">https://www.w3.org/TR/2014/REC-json-ld-20140116/</w:t>
        </w:r>
      </w:hyperlink>
    </w:p>
    <w:bookmarkEnd w:id="340"/>
    <w:bookmarkStart w:id="344" w:name="ref-4Pd3RTmI"/>
    <w:p>
      <w:pPr>
        <w:pStyle w:val="Bibliography"/>
      </w:pPr>
      <w:r>
        <w:t xml:space="preserve">32.</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341">
        <w:r>
          <w:rPr>
            <w:rStyle w:val="Hyperlink"/>
          </w:rPr>
          <w:t xml:space="preserve">10.1093/gigascience/giz095</w:t>
        </w:r>
      </w:hyperlink>
      <w:r>
        <w:t xml:space="preserve"> </w:t>
      </w:r>
      <w:r>
        <w:t xml:space="preserve">· PMID:</w:t>
      </w:r>
      <w:r>
        <w:t xml:space="preserve"> </w:t>
      </w:r>
      <w:hyperlink r:id="rId342">
        <w:r>
          <w:rPr>
            <w:rStyle w:val="Hyperlink"/>
          </w:rPr>
          <w:t xml:space="preserve">31675414</w:t>
        </w:r>
      </w:hyperlink>
      <w:r>
        <w:t xml:space="preserve"> </w:t>
      </w:r>
      <w:r>
        <w:t xml:space="preserve">· PMCID:</w:t>
      </w:r>
      <w:r>
        <w:t xml:space="preserve"> </w:t>
      </w:r>
      <w:hyperlink r:id="rId343">
        <w:r>
          <w:rPr>
            <w:rStyle w:val="Hyperlink"/>
          </w:rPr>
          <w:t xml:space="preserve">PMC6824458</w:t>
        </w:r>
      </w:hyperlink>
    </w:p>
    <w:bookmarkEnd w:id="344"/>
    <w:bookmarkStart w:id="346" w:name="ref-6UztL3ul"/>
    <w:p>
      <w:pPr>
        <w:pStyle w:val="Bibliography"/>
      </w:pPr>
      <w:r>
        <w:t xml:space="preserve">33.</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345">
        <w:r>
          <w:rPr>
            <w:rStyle w:val="Hyperlink"/>
          </w:rPr>
          <w:t xml:space="preserve">https://github.com/duraspace/pcdm/wiki</w:t>
        </w:r>
      </w:hyperlink>
    </w:p>
    <w:bookmarkEnd w:id="346"/>
    <w:bookmarkStart w:id="348" w:name="ref-vDdtcpOe"/>
    <w:p>
      <w:pPr>
        <w:pStyle w:val="Bibliography"/>
      </w:pPr>
      <w:r>
        <w:t xml:space="preserve">34.</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347">
        <w:r>
          <w:rPr>
            <w:rStyle w:val="Hyperlink"/>
          </w:rPr>
          <w:t xml:space="preserve">https://iswc2017.semanticweb.org/paper-579/</w:t>
        </w:r>
      </w:hyperlink>
    </w:p>
    <w:bookmarkEnd w:id="348"/>
    <w:bookmarkStart w:id="350" w:name="ref-hojAyeKY"/>
    <w:p>
      <w:pPr>
        <w:pStyle w:val="Bibliography"/>
      </w:pPr>
      <w:r>
        <w:t xml:space="preserve">35.</w:t>
      </w:r>
      <w:r>
        <w:t xml:space="preserve"> </w:t>
      </w:r>
      <w:r>
        <w:rPr>
          <w:b/>
        </w:rPr>
        <w:t xml:space="preserve">npm: ro-crate-html-js</w:t>
      </w:r>
      <w:r>
        <w:t xml:space="preserve"> </w:t>
      </w:r>
      <w:hyperlink r:id="rId349">
        <w:r>
          <w:rPr>
            <w:rStyle w:val="Hyperlink"/>
          </w:rPr>
          <w:t xml:space="preserve">https://www.npmjs.com/package/ro-crate-html-js</w:t>
        </w:r>
      </w:hyperlink>
    </w:p>
    <w:bookmarkEnd w:id="350"/>
    <w:bookmarkStart w:id="352" w:name="ref-1Hsf35Rx7"/>
    <w:p>
      <w:pPr>
        <w:pStyle w:val="Bibliography"/>
      </w:pPr>
      <w:r>
        <w:t xml:space="preserve">36.</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351">
        <w:r>
          <w:rPr>
            <w:rStyle w:val="Hyperlink"/>
          </w:rPr>
          <w:t xml:space="preserve">10.5281/zenodo.1445817</w:t>
        </w:r>
      </w:hyperlink>
    </w:p>
    <w:bookmarkEnd w:id="352"/>
    <w:bookmarkStart w:id="356" w:name="ref-U6WvlYl"/>
    <w:p>
      <w:pPr>
        <w:pStyle w:val="Bibliography"/>
      </w:pPr>
      <w:r>
        <w:t xml:space="preserve">37.</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353">
        <w:r>
          <w:rPr>
            <w:rStyle w:val="Hyperlink"/>
          </w:rPr>
          <w:t xml:space="preserve">http://dx.doi.org/10.1016/j.tibtech.2012.02.002</w:t>
        </w:r>
      </w:hyperlink>
      <w:r>
        <w:t xml:space="preserve"> </w:t>
      </w:r>
      <w:r>
        <w:br/>
      </w:r>
      <w:r>
        <w:t xml:space="preserve">DOI:</w:t>
      </w:r>
      <w:r>
        <w:t xml:space="preserve"> </w:t>
      </w:r>
      <w:hyperlink r:id="rId354">
        <w:r>
          <w:rPr>
            <w:rStyle w:val="Hyperlink"/>
          </w:rPr>
          <w:t xml:space="preserve">10.1016/j.tibtech.2012.02.002</w:t>
        </w:r>
      </w:hyperlink>
      <w:r>
        <w:t xml:space="preserve"> </w:t>
      </w:r>
      <w:r>
        <w:t xml:space="preserve">· PMID:</w:t>
      </w:r>
      <w:r>
        <w:t xml:space="preserve"> </w:t>
      </w:r>
      <w:hyperlink r:id="rId355">
        <w:r>
          <w:rPr>
            <w:rStyle w:val="Hyperlink"/>
          </w:rPr>
          <w:t xml:space="preserve">22417641</w:t>
        </w:r>
      </w:hyperlink>
    </w:p>
    <w:bookmarkEnd w:id="356"/>
    <w:bookmarkStart w:id="358" w:name="ref-kjCRcBZ5"/>
    <w:p>
      <w:pPr>
        <w:pStyle w:val="Bibliography"/>
      </w:pPr>
      <w:r>
        <w:t xml:space="preserve">38.</w:t>
      </w:r>
      <w:r>
        <w:t xml:space="preserve"> </w:t>
      </w:r>
      <w:r>
        <w:rPr>
          <w:b/>
        </w:rPr>
        <w:t xml:space="preserve">OpenAIRE</w:t>
      </w:r>
      <w:r>
        <w:t xml:space="preserve"> </w:t>
      </w:r>
      <w:r>
        <w:br/>
      </w:r>
      <w:r>
        <w:t xml:space="preserve">Najla Rettberg, Birgit Schmidt</w:t>
      </w:r>
      <w:r>
        <w:br/>
      </w:r>
      <w:r>
        <w:rPr>
          <w:i/>
        </w:rPr>
        <w:t xml:space="preserve">College &amp; Research Libraries News</w:t>
      </w:r>
      <w:r>
        <w:t xml:space="preserve"> </w:t>
      </w:r>
      <w:r>
        <w:t xml:space="preserve">(2015)</w:t>
      </w:r>
      <w:r>
        <w:t xml:space="preserve"> </w:t>
      </w:r>
      <w:hyperlink r:id="rId357">
        <w:r>
          <w:rPr>
            <w:rStyle w:val="Hyperlink"/>
          </w:rPr>
          <w:t xml:space="preserve">http://resolver.sub.uni-goettingen.de/purl?gs-1/11942</w:t>
        </w:r>
      </w:hyperlink>
    </w:p>
    <w:bookmarkEnd w:id="358"/>
    <w:bookmarkStart w:id="360" w:name="ref-bSpAL6uW"/>
    <w:p>
      <w:pPr>
        <w:pStyle w:val="Bibliography"/>
      </w:pPr>
      <w:r>
        <w:t xml:space="preserve">39.</w:t>
      </w:r>
      <w:r>
        <w:t xml:space="preserve"> </w:t>
      </w:r>
      <w:r>
        <w:rPr>
          <w:b/>
        </w:rPr>
        <w:t xml:space="preserve">Arkisto Platform: Describo</w:t>
      </w:r>
      <w:r>
        <w:t xml:space="preserve"> </w:t>
      </w:r>
      <w:r>
        <w:br/>
      </w:r>
      <w:r>
        <w:t xml:space="preserve">Marco La Rosa, Peter Sefton</w:t>
      </w:r>
      <w:r>
        <w:br/>
      </w:r>
      <w:hyperlink r:id="rId359">
        <w:r>
          <w:rPr>
            <w:rStyle w:val="Hyperlink"/>
          </w:rPr>
          <w:t xml:space="preserve">https://arkisto-platform.github.io/describo/</w:t>
        </w:r>
      </w:hyperlink>
    </w:p>
    <w:bookmarkEnd w:id="360"/>
    <w:bookmarkStart w:id="362" w:name="ref-syXvUAqM"/>
    <w:p>
      <w:pPr>
        <w:pStyle w:val="Bibliography"/>
      </w:pPr>
      <w:r>
        <w:t xml:space="preserve">40.</w:t>
      </w:r>
      <w:r>
        <w:t xml:space="preserve"> </w:t>
      </w:r>
      <w:r>
        <w:rPr>
          <w:b/>
        </w:rPr>
        <w:t xml:space="preserve">WorkflowHub project Project pages for developing and running the WorkflowHub, a registry of scientific workflows</w:t>
      </w:r>
      <w:r>
        <w:t xml:space="preserve"> </w:t>
      </w:r>
      <w:hyperlink r:id="rId361">
        <w:r>
          <w:rPr>
            <w:rStyle w:val="Hyperlink"/>
          </w:rPr>
          <w:t xml:space="preserve">https://about.workflowhub.eu/</w:t>
        </w:r>
      </w:hyperlink>
    </w:p>
    <w:bookmarkEnd w:id="362"/>
    <w:bookmarkStart w:id="364" w:name="ref-2TcRcSoZ"/>
    <w:p>
      <w:pPr>
        <w:pStyle w:val="Bibliography"/>
      </w:pPr>
      <w:r>
        <w:t xml:space="preserve">41.</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r>
        <w:br/>
      </w:r>
      <w:r>
        <w:t xml:space="preserve">DOI:</w:t>
      </w:r>
      <w:r>
        <w:t xml:space="preserve"> </w:t>
      </w:r>
      <w:hyperlink r:id="rId363">
        <w:r>
          <w:rPr>
            <w:rStyle w:val="Hyperlink"/>
          </w:rPr>
          <w:t xml:space="preserve">10.1080/14490854.2020.1796500</w:t>
        </w:r>
      </w:hyperlink>
    </w:p>
    <w:bookmarkEnd w:id="364"/>
    <w:bookmarkStart w:id="367" w:name="ref-T8vTlQ1i"/>
    <w:p>
      <w:pPr>
        <w:pStyle w:val="Bibliography"/>
      </w:pPr>
      <w:r>
        <w:t xml:space="preserve">42.</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365">
        <w:r>
          <w:rPr>
            <w:rStyle w:val="Hyperlink"/>
          </w:rPr>
          <w:t xml:space="preserve">https://w3id.org/ro/crate/1.0</w:t>
        </w:r>
      </w:hyperlink>
      <w:r>
        <w:t xml:space="preserve"> </w:t>
      </w:r>
      <w:r>
        <w:br/>
      </w:r>
      <w:r>
        <w:t xml:space="preserve">DOI:</w:t>
      </w:r>
      <w:r>
        <w:t xml:space="preserve"> </w:t>
      </w:r>
      <w:hyperlink r:id="rId366">
        <w:r>
          <w:rPr>
            <w:rStyle w:val="Hyperlink"/>
          </w:rPr>
          <w:t xml:space="preserve">10.5281/zenodo.3541888</w:t>
        </w:r>
      </w:hyperlink>
    </w:p>
    <w:bookmarkEnd w:id="367"/>
    <w:bookmarkStart w:id="369" w:name="ref-1AdhQs7EG"/>
    <w:p>
      <w:pPr>
        <w:pStyle w:val="Bibliography"/>
      </w:pPr>
      <w:r>
        <w:t xml:space="preserve">43.</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106">
        <w:r>
          <w:rPr>
            <w:rStyle w:val="Hyperlink"/>
          </w:rPr>
          <w:t xml:space="preserve">https://w3id.org/ro/crate/1.1</w:t>
        </w:r>
      </w:hyperlink>
      <w:r>
        <w:t xml:space="preserve"> </w:t>
      </w:r>
      <w:r>
        <w:br/>
      </w:r>
      <w:r>
        <w:t xml:space="preserve">DOI:</w:t>
      </w:r>
      <w:r>
        <w:t xml:space="preserve"> </w:t>
      </w:r>
      <w:hyperlink r:id="rId368">
        <w:r>
          <w:rPr>
            <w:rStyle w:val="Hyperlink"/>
          </w:rPr>
          <w:t xml:space="preserve">10.5281/zenodo.4031327</w:t>
        </w:r>
      </w:hyperlink>
    </w:p>
    <w:bookmarkEnd w:id="369"/>
    <w:bookmarkStart w:id="371" w:name="ref-12b41YCGR"/>
    <w:p>
      <w:pPr>
        <w:pStyle w:val="Bibliography"/>
      </w:pPr>
      <w:r>
        <w:t xml:space="preserve">44.</w:t>
      </w:r>
      <w:r>
        <w:t xml:space="preserve"> </w:t>
      </w:r>
      <w:r>
        <w:rPr>
          <w:b/>
        </w:rPr>
        <w:t xml:space="preserve">Arkisto Platform: Describo Online</w:t>
      </w:r>
      <w:r>
        <w:t xml:space="preserve"> </w:t>
      </w:r>
      <w:r>
        <w:br/>
      </w:r>
      <w:r>
        <w:t xml:space="preserve">Marco La Rosa</w:t>
      </w:r>
      <w:r>
        <w:br/>
      </w:r>
      <w:hyperlink r:id="rId370">
        <w:r>
          <w:rPr>
            <w:rStyle w:val="Hyperlink"/>
          </w:rPr>
          <w:t xml:space="preserve">https://arkisto-platform.github.io/describo-online/</w:t>
        </w:r>
      </w:hyperlink>
    </w:p>
    <w:bookmarkEnd w:id="371"/>
    <w:bookmarkStart w:id="373" w:name="ref-n41B218E"/>
    <w:p>
      <w:pPr>
        <w:pStyle w:val="Bibliography"/>
      </w:pPr>
      <w:r>
        <w:t xml:space="preserve">45.</w:t>
      </w:r>
      <w:r>
        <w:t xml:space="preserve"> </w:t>
      </w:r>
      <w:r>
        <w:rPr>
          <w:b/>
        </w:rPr>
        <w:t xml:space="preserve">npm: ro-crate-excel</w:t>
      </w:r>
      <w:r>
        <w:t xml:space="preserve"> </w:t>
      </w:r>
      <w:r>
        <w:br/>
      </w:r>
      <w:r>
        <w:t xml:space="preserve">Mike Lynch, Peter Sefton</w:t>
      </w:r>
      <w:r>
        <w:br/>
      </w:r>
      <w:hyperlink r:id="rId372">
        <w:r>
          <w:rPr>
            <w:rStyle w:val="Hyperlink"/>
          </w:rPr>
          <w:t xml:space="preserve">https://www.npmjs.com/package/ro-crate-excel</w:t>
        </w:r>
      </w:hyperlink>
    </w:p>
    <w:bookmarkEnd w:id="373"/>
    <w:bookmarkStart w:id="375" w:name="ref-1AS14nqw5"/>
    <w:p>
      <w:pPr>
        <w:pStyle w:val="Bibliography"/>
      </w:pPr>
      <w:r>
        <w:t xml:space="preserve">46.</w:t>
      </w:r>
      <w:r>
        <w:t xml:space="preserve"> </w:t>
      </w:r>
      <w:r>
        <w:rPr>
          <w:b/>
        </w:rPr>
        <w:t xml:space="preserve">GitHub - UTS-eResearch/ro-crate-js: Research Object Crate (RO-Crate) utilities</w:t>
      </w:r>
      <w:r>
        <w:t xml:space="preserve"> </w:t>
      </w:r>
      <w:r>
        <w:br/>
      </w:r>
      <w:r>
        <w:t xml:space="preserve">GitHub</w:t>
      </w:r>
      <w:r>
        <w:br/>
      </w:r>
      <w:hyperlink r:id="rId374">
        <w:r>
          <w:rPr>
            <w:rStyle w:val="Hyperlink"/>
          </w:rPr>
          <w:t xml:space="preserve">https://github.com/UTS-eResearch/ro-crate-js</w:t>
        </w:r>
      </w:hyperlink>
    </w:p>
    <w:bookmarkEnd w:id="375"/>
    <w:bookmarkStart w:id="377" w:name="ref-joQS4Xno"/>
    <w:p>
      <w:pPr>
        <w:pStyle w:val="Bibliography"/>
      </w:pPr>
      <w:r>
        <w:t xml:space="preserve">47.</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376">
        <w:r>
          <w:rPr>
            <w:rStyle w:val="Hyperlink"/>
          </w:rPr>
          <w:t xml:space="preserve">https://github.com/ResearchObject/ro-crate-ruby</w:t>
        </w:r>
      </w:hyperlink>
    </w:p>
    <w:bookmarkEnd w:id="377"/>
    <w:bookmarkStart w:id="379" w:name="ref-18CvIJacO"/>
    <w:p>
      <w:pPr>
        <w:pStyle w:val="Bibliography"/>
      </w:pPr>
      <w:r>
        <w:t xml:space="preserve">48.</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378">
        <w:r>
          <w:rPr>
            <w:rStyle w:val="Hyperlink"/>
          </w:rPr>
          <w:t xml:space="preserve">https://github.com/researchobject/ro-crate-py</w:t>
        </w:r>
      </w:hyperlink>
    </w:p>
    <w:bookmarkEnd w:id="379"/>
    <w:bookmarkStart w:id="381" w:name="ref-10Mf5fVVl"/>
    <w:p>
      <w:pPr>
        <w:pStyle w:val="Bibliography"/>
      </w:pPr>
      <w:r>
        <w:t xml:space="preserve">49.</w:t>
      </w:r>
      <w:r>
        <w:t xml:space="preserve"> </w:t>
      </w:r>
      <w:r>
        <w:rPr>
          <w:b/>
        </w:rPr>
        <w:t xml:space="preserve">LifeMonitor, a testing and monitoring service for scientific workflows</w:t>
      </w:r>
      <w:r>
        <w:t xml:space="preserve"> </w:t>
      </w:r>
      <w:r>
        <w:br/>
      </w:r>
      <w:r>
        <w:t xml:space="preserve">CRS4</w:t>
      </w:r>
      <w:r>
        <w:br/>
      </w:r>
      <w:hyperlink r:id="rId380">
        <w:r>
          <w:rPr>
            <w:rStyle w:val="Hyperlink"/>
          </w:rPr>
          <w:t xml:space="preserve">https://about.lifemonitor.eu/</w:t>
        </w:r>
      </w:hyperlink>
    </w:p>
    <w:bookmarkEnd w:id="381"/>
    <w:bookmarkStart w:id="383" w:name="ref-1GtSNP0ij"/>
    <w:p>
      <w:pPr>
        <w:pStyle w:val="Bibliography"/>
      </w:pPr>
      <w:r>
        <w:t xml:space="preserve">50.</w:t>
      </w:r>
      <w:r>
        <w:t xml:space="preserve"> </w:t>
      </w:r>
      <w:r>
        <w:rPr>
          <w:b/>
        </w:rPr>
        <w:t xml:space="preserve">SCHeMa: Scheduling Scientific Containers on a Cluster of Heterogeneous</w:t>
      </w:r>
      <w:r>
        <w:rPr>
          <w:b/>
        </w:rPr>
        <w:t xml:space="preserve"> </w:t>
      </w:r>
      <w:r>
        <w:rPr>
          <w:b/>
        </w:rPr>
        <w:t xml:space="preserve">Machines</w:t>
      </w:r>
      <w:r>
        <w:t xml:space="preserve"> </w:t>
      </w:r>
      <w:r>
        <w:br/>
      </w:r>
      <w:r>
        <w:t xml:space="preserve">Thanasis Vergoulis, Konstantinos Zagganas, Loukas Kavouras, Martin Reczko, Stelios Sartzetakis, Theodore Dalamagas</w:t>
      </w:r>
      <w:r>
        <w:br/>
      </w:r>
      <w:r>
        <w:rPr>
          <w:i/>
        </w:rPr>
        <w:t xml:space="preserve">arXiv</w:t>
      </w:r>
      <w:r>
        <w:t xml:space="preserve"> </w:t>
      </w:r>
      <w:r>
        <w:t xml:space="preserve">(2021-03-24)</w:t>
      </w:r>
      <w:r>
        <w:t xml:space="preserve"> </w:t>
      </w:r>
      <w:hyperlink r:id="rId382">
        <w:r>
          <w:rPr>
            <w:rStyle w:val="Hyperlink"/>
          </w:rPr>
          <w:t xml:space="preserve">https://arxiv.org/abs/2103.13138v1</w:t>
        </w:r>
      </w:hyperlink>
    </w:p>
    <w:bookmarkEnd w:id="383"/>
    <w:bookmarkStart w:id="386" w:name="ref-1H1OTXp4j"/>
    <w:p>
      <w:pPr>
        <w:pStyle w:val="Bibliography"/>
      </w:pPr>
      <w:r>
        <w:t xml:space="preserve">51.</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hyperlink r:id="rId384">
        <w:r>
          <w:rPr>
            <w:rStyle w:val="Hyperlink"/>
          </w:rPr>
          <w:t xml:space="preserve">https://doi.org/gjx264</w:t>
        </w:r>
      </w:hyperlink>
      <w:r>
        <w:t xml:space="preserve"> </w:t>
      </w:r>
      <w:r>
        <w:br/>
      </w:r>
      <w:r>
        <w:t xml:space="preserve">DOI:</w:t>
      </w:r>
      <w:r>
        <w:t xml:space="preserve"> </w:t>
      </w:r>
      <w:hyperlink r:id="rId385">
        <w:r>
          <w:rPr>
            <w:rStyle w:val="Hyperlink"/>
          </w:rPr>
          <w:t xml:space="preserve">10.5281/zenodo.4671709</w:t>
        </w:r>
      </w:hyperlink>
    </w:p>
    <w:bookmarkEnd w:id="386"/>
    <w:bookmarkStart w:id="388" w:name="ref-6o0SYlZw"/>
    <w:p>
      <w:pPr>
        <w:pStyle w:val="Bibliography"/>
      </w:pPr>
      <w:r>
        <w:t xml:space="preserve">52.</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387">
        <w:r>
          <w:rPr>
            <w:rStyle w:val="Hyperlink"/>
          </w:rPr>
          <w:t xml:space="preserve">https://github.com/workflowhub-eu/galaxy2cwl</w:t>
        </w:r>
      </w:hyperlink>
    </w:p>
    <w:bookmarkEnd w:id="388"/>
    <w:bookmarkStart w:id="390" w:name="ref-DuSSAwkc"/>
    <w:p>
      <w:pPr>
        <w:pStyle w:val="Bibliography"/>
      </w:pPr>
      <w:r>
        <w:t xml:space="preserve">53.</w:t>
      </w:r>
      <w:r>
        <w:t xml:space="preserve"> </w:t>
      </w:r>
      <w:r>
        <w:rPr>
          <w:b/>
        </w:rPr>
        <w:t xml:space="preserve">GitHub - CoEDL/modpdsc</w:t>
      </w:r>
      <w:r>
        <w:t xml:space="preserve"> </w:t>
      </w:r>
      <w:hyperlink r:id="rId389">
        <w:r>
          <w:rPr>
            <w:rStyle w:val="Hyperlink"/>
          </w:rPr>
          <w:t xml:space="preserve">https://github.com/CoEDL/modpdsc/</w:t>
        </w:r>
      </w:hyperlink>
    </w:p>
    <w:bookmarkEnd w:id="390"/>
    <w:bookmarkStart w:id="392" w:name="ref-oKX4gup6"/>
    <w:p>
      <w:pPr>
        <w:pStyle w:val="Bibliography"/>
      </w:pPr>
      <w:r>
        <w:t xml:space="preserve">54.</w:t>
      </w:r>
      <w:r>
        <w:t xml:space="preserve"> </w:t>
      </w:r>
      <w:r>
        <w:rPr>
          <w:b/>
        </w:rPr>
        <w:t xml:space="preserve">Tools: Data Portal &amp; Discovery</w:t>
      </w:r>
      <w:r>
        <w:t xml:space="preserve"> </w:t>
      </w:r>
      <w:hyperlink r:id="rId391">
        <w:r>
          <w:rPr>
            <w:rStyle w:val="Hyperlink"/>
          </w:rPr>
          <w:t xml:space="preserve">https://arkisto-platform.github.io/tools/portal/</w:t>
        </w:r>
      </w:hyperlink>
    </w:p>
    <w:bookmarkEnd w:id="392"/>
    <w:bookmarkStart w:id="394" w:name="ref-nS65dWZ"/>
    <w:p>
      <w:pPr>
        <w:pStyle w:val="Bibliography"/>
      </w:pPr>
      <w:r>
        <w:t xml:space="preserve">55.</w:t>
      </w:r>
      <w:r>
        <w:t xml:space="preserve"> </w:t>
      </w:r>
      <w:r>
        <w:rPr>
          <w:b/>
        </w:rPr>
        <w:t xml:space="preserve">GitHub - CoEDL/ocfl-tools: Tools to process and manipulate an OCFL tree</w:t>
      </w:r>
      <w:r>
        <w:t xml:space="preserve"> </w:t>
      </w:r>
      <w:hyperlink r:id="rId393">
        <w:r>
          <w:rPr>
            <w:rStyle w:val="Hyperlink"/>
          </w:rPr>
          <w:t xml:space="preserve">https://github.com/CoEDL/ocfl-tools</w:t>
        </w:r>
      </w:hyperlink>
    </w:p>
    <w:bookmarkEnd w:id="394"/>
    <w:bookmarkStart w:id="396" w:name="ref-US9dAQOD"/>
    <w:p>
      <w:pPr>
        <w:pStyle w:val="Bibliography"/>
      </w:pPr>
      <w:r>
        <w:t xml:space="preserve">56.</w:t>
      </w:r>
      <w:r>
        <w:t xml:space="preserve"> </w:t>
      </w:r>
      <w:r>
        <w:rPr>
          <w:b/>
        </w:rPr>
        <w:t xml:space="preserve">eScienceLab: RO-Composer</w:t>
      </w:r>
      <w:r>
        <w:t xml:space="preserve"> </w:t>
      </w:r>
      <w:r>
        <w:br/>
      </w:r>
      <w:r>
        <w:t xml:space="preserve">Finn Bacall, Stian Soiland-Reyes, Marina Soares e Silva</w:t>
      </w:r>
      <w:r>
        <w:br/>
      </w:r>
      <w:hyperlink r:id="rId395">
        <w:r>
          <w:rPr>
            <w:rStyle w:val="Hyperlink"/>
          </w:rPr>
          <w:t xml:space="preserve">https://esciencelab.org.uk/projects/ro-composer/</w:t>
        </w:r>
      </w:hyperlink>
    </w:p>
    <w:bookmarkEnd w:id="396"/>
    <w:bookmarkStart w:id="398" w:name="ref-keqQfayg"/>
    <w:p>
      <w:pPr>
        <w:pStyle w:val="Bibliography"/>
      </w:pPr>
      <w:r>
        <w:t xml:space="preserve">57.</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397">
        <w:r>
          <w:rPr>
            <w:rStyle w:val="Hyperlink"/>
          </w:rPr>
          <w:t xml:space="preserve">10.5281/zenodo.3922136</w:t>
        </w:r>
      </w:hyperlink>
    </w:p>
    <w:bookmarkEnd w:id="398"/>
    <w:bookmarkStart w:id="400" w:name="ref-162NBMW8l"/>
    <w:p>
      <w:pPr>
        <w:pStyle w:val="Bibliography"/>
      </w:pPr>
      <w:r>
        <w:t xml:space="preserve">58.</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399">
        <w:r>
          <w:rPr>
            <w:rStyle w:val="Hyperlink"/>
          </w:rPr>
          <w:t xml:space="preserve">10.4126/frl01-006423291</w:t>
        </w:r>
      </w:hyperlink>
    </w:p>
    <w:bookmarkEnd w:id="400"/>
    <w:bookmarkStart w:id="402" w:name="ref-16XFBusSZ"/>
    <w:p>
      <w:pPr>
        <w:pStyle w:val="Bibliography"/>
      </w:pPr>
      <w:r>
        <w:t xml:space="preserve">59.</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401">
        <w:r>
          <w:rPr>
            <w:rStyle w:val="Hyperlink"/>
          </w:rPr>
          <w:t xml:space="preserve">10.5281/zenodo.3903463</w:t>
        </w:r>
      </w:hyperlink>
    </w:p>
    <w:bookmarkEnd w:id="402"/>
    <w:bookmarkStart w:id="404" w:name="ref-kYELZGhL"/>
    <w:p>
      <w:pPr>
        <w:pStyle w:val="Bibliography"/>
      </w:pPr>
      <w:r>
        <w:t xml:space="preserve">60.</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403">
        <w:r>
          <w:rPr>
            <w:rStyle w:val="Hyperlink"/>
          </w:rPr>
          <w:t xml:space="preserve">https://github.com/KockataEPich/CheckMyCrate</w:t>
        </w:r>
      </w:hyperlink>
    </w:p>
    <w:bookmarkEnd w:id="404"/>
    <w:bookmarkStart w:id="408" w:name="ref-l0OIdydM"/>
    <w:p>
      <w:pPr>
        <w:pStyle w:val="Bibliography"/>
      </w:pPr>
      <w:r>
        <w:t xml:space="preserve">61.</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405">
        <w:r>
          <w:rPr>
            <w:rStyle w:val="Hyperlink"/>
          </w:rPr>
          <w:t xml:space="preserve">10.1371/journal.ppat.1008643</w:t>
        </w:r>
      </w:hyperlink>
      <w:r>
        <w:t xml:space="preserve"> </w:t>
      </w:r>
      <w:r>
        <w:t xml:space="preserve">· PMID:</w:t>
      </w:r>
      <w:r>
        <w:t xml:space="preserve"> </w:t>
      </w:r>
      <w:hyperlink r:id="rId406">
        <w:r>
          <w:rPr>
            <w:rStyle w:val="Hyperlink"/>
          </w:rPr>
          <w:t xml:space="preserve">32790776</w:t>
        </w:r>
      </w:hyperlink>
      <w:r>
        <w:t xml:space="preserve"> </w:t>
      </w:r>
      <w:r>
        <w:t xml:space="preserve">· PMCID:</w:t>
      </w:r>
      <w:r>
        <w:t xml:space="preserve"> </w:t>
      </w:r>
      <w:hyperlink r:id="rId407">
        <w:r>
          <w:rPr>
            <w:rStyle w:val="Hyperlink"/>
          </w:rPr>
          <w:t xml:space="preserve">PMC7425854</w:t>
        </w:r>
      </w:hyperlink>
    </w:p>
    <w:bookmarkEnd w:id="408"/>
    <w:bookmarkStart w:id="411" w:name="ref-wq4G2CfQ"/>
    <w:p>
      <w:pPr>
        <w:pStyle w:val="Bibliography"/>
      </w:pPr>
      <w:r>
        <w:t xml:space="preserve">62.</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409">
        <w:r>
          <w:rPr>
            <w:rStyle w:val="Hyperlink"/>
          </w:rPr>
          <w:t xml:space="preserve">10.1038/s41587-020-0439-x</w:t>
        </w:r>
      </w:hyperlink>
      <w:r>
        <w:t xml:space="preserve"> </w:t>
      </w:r>
      <w:r>
        <w:t xml:space="preserve">· PMID:</w:t>
      </w:r>
      <w:r>
        <w:t xml:space="preserve"> </w:t>
      </w:r>
      <w:hyperlink r:id="rId410">
        <w:r>
          <w:rPr>
            <w:rStyle w:val="Hyperlink"/>
          </w:rPr>
          <w:t xml:space="preserve">32055031</w:t>
        </w:r>
      </w:hyperlink>
    </w:p>
    <w:bookmarkEnd w:id="411"/>
    <w:bookmarkStart w:id="414" w:name="ref-4XDvZWxk"/>
    <w:p>
      <w:pPr>
        <w:pStyle w:val="Bibliography"/>
      </w:pPr>
      <w:r>
        <w:t xml:space="preserve">63.</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412">
        <w:r>
          <w:rPr>
            <w:rStyle w:val="Hyperlink"/>
          </w:rPr>
          <w:t xml:space="preserve">10.1038/nbt.3820</w:t>
        </w:r>
      </w:hyperlink>
      <w:r>
        <w:t xml:space="preserve"> </w:t>
      </w:r>
      <w:r>
        <w:t xml:space="preserve">· PMID:</w:t>
      </w:r>
      <w:r>
        <w:t xml:space="preserve"> </w:t>
      </w:r>
      <w:hyperlink r:id="rId413">
        <w:r>
          <w:rPr>
            <w:rStyle w:val="Hyperlink"/>
          </w:rPr>
          <w:t xml:space="preserve">28398311</w:t>
        </w:r>
      </w:hyperlink>
    </w:p>
    <w:bookmarkEnd w:id="414"/>
    <w:bookmarkStart w:id="417" w:name="ref-NcYZqBux"/>
    <w:p>
      <w:pPr>
        <w:pStyle w:val="Bibliography"/>
      </w:pPr>
      <w:r>
        <w:t xml:space="preserve">64.</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415">
        <w:r>
          <w:rPr>
            <w:rStyle w:val="Hyperlink"/>
          </w:rPr>
          <w:t xml:space="preserve">10.1093/bioinformatics/bts480</w:t>
        </w:r>
      </w:hyperlink>
      <w:r>
        <w:t xml:space="preserve"> </w:t>
      </w:r>
      <w:r>
        <w:t xml:space="preserve">· PMID:</w:t>
      </w:r>
      <w:r>
        <w:t xml:space="preserve"> </w:t>
      </w:r>
      <w:hyperlink r:id="rId416">
        <w:r>
          <w:rPr>
            <w:rStyle w:val="Hyperlink"/>
          </w:rPr>
          <w:t xml:space="preserve">22908215</w:t>
        </w:r>
      </w:hyperlink>
    </w:p>
    <w:bookmarkEnd w:id="417"/>
    <w:bookmarkStart w:id="419" w:name="ref-WDH5DsMv"/>
    <w:p>
      <w:pPr>
        <w:pStyle w:val="Bibliography"/>
      </w:pPr>
      <w:r>
        <w:t xml:space="preserve">65.</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418">
        <w:r>
          <w:rPr>
            <w:rStyle w:val="Hyperlink"/>
          </w:rPr>
          <w:t xml:space="preserve">10.5281/zenodo.4705078</w:t>
        </w:r>
      </w:hyperlink>
    </w:p>
    <w:bookmarkEnd w:id="419"/>
    <w:bookmarkStart w:id="421" w:name="ref-10Uayv5us"/>
    <w:p>
      <w:pPr>
        <w:pStyle w:val="Bibliography"/>
      </w:pPr>
      <w:r>
        <w:t xml:space="preserve">66.</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Communications of the ACM</w:t>
      </w:r>
      <w:r>
        <w:t xml:space="preserve"> </w:t>
      </w:r>
      <w:r>
        <w:t xml:space="preserve">(2021)</w:t>
      </w:r>
      <w:r>
        <w:t xml:space="preserve"> </w:t>
      </w:r>
      <w:r>
        <w:br/>
      </w:r>
      <w:r>
        <w:t xml:space="preserve">DOI:</w:t>
      </w:r>
      <w:r>
        <w:t xml:space="preserve"> </w:t>
      </w:r>
      <w:hyperlink r:id="rId420">
        <w:r>
          <w:rPr>
            <w:rStyle w:val="Hyperlink"/>
          </w:rPr>
          <w:t xml:space="preserve">10.1145/3486897</w:t>
        </w:r>
      </w:hyperlink>
    </w:p>
    <w:bookmarkEnd w:id="421"/>
    <w:bookmarkStart w:id="423" w:name="ref-Sdv3iU46"/>
    <w:p>
      <w:pPr>
        <w:pStyle w:val="Bibliography"/>
      </w:pPr>
      <w:r>
        <w:t xml:space="preserve">67.</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422">
        <w:r>
          <w:rPr>
            <w:rStyle w:val="Hyperlink"/>
          </w:rPr>
          <w:t xml:space="preserve">10.5281/zenodo.4605654</w:t>
        </w:r>
      </w:hyperlink>
    </w:p>
    <w:bookmarkEnd w:id="423"/>
    <w:bookmarkStart w:id="425" w:name="ref-W6bDegHu"/>
    <w:p>
      <w:pPr>
        <w:pStyle w:val="Bibliography"/>
      </w:pPr>
      <w:r>
        <w:t xml:space="preserve">68.</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424">
        <w:r>
          <w:rPr>
            <w:rStyle w:val="Hyperlink"/>
          </w:rPr>
          <w:t xml:space="preserve">10.5281/zenodo.51314</w:t>
        </w:r>
      </w:hyperlink>
    </w:p>
    <w:bookmarkEnd w:id="425"/>
    <w:bookmarkStart w:id="428" w:name="ref-dijZpInF"/>
    <w:p>
      <w:pPr>
        <w:pStyle w:val="Bibliography"/>
      </w:pPr>
      <w:r>
        <w:t xml:space="preserve">69.</w:t>
      </w:r>
      <w:r>
        <w:t xml:space="preserve"> </w:t>
      </w:r>
      <w:r>
        <w:rPr>
          <w:b/>
        </w:rPr>
        <w:t xml:space="preserve">Research Object Bundle 1.0</w:t>
      </w:r>
      <w:r>
        <w:t xml:space="preserve"> </w:t>
      </w:r>
      <w:r>
        <w:br/>
      </w:r>
      <w:r>
        <w:t xml:space="preserve">Stian Soiland-Reyes, Matthew Gamble, Robert Haines</w:t>
      </w:r>
      <w:r>
        <w:br/>
      </w:r>
      <w:r>
        <w:t xml:space="preserve">(2014-11)</w:t>
      </w:r>
      <w:r>
        <w:t xml:space="preserve"> </w:t>
      </w:r>
      <w:hyperlink r:id="rId426">
        <w:r>
          <w:rPr>
            <w:rStyle w:val="Hyperlink"/>
          </w:rPr>
          <w:t xml:space="preserve">https://w3id.org/bundle/2014-11-05/</w:t>
        </w:r>
      </w:hyperlink>
      <w:r>
        <w:t xml:space="preserve"> </w:t>
      </w:r>
      <w:r>
        <w:br/>
      </w:r>
      <w:r>
        <w:t xml:space="preserve">DOI:</w:t>
      </w:r>
      <w:r>
        <w:t xml:space="preserve"> </w:t>
      </w:r>
      <w:hyperlink r:id="rId427">
        <w:r>
          <w:rPr>
            <w:rStyle w:val="Hyperlink"/>
          </w:rPr>
          <w:t xml:space="preserve">10.5281/zenodo.12586</w:t>
        </w:r>
      </w:hyperlink>
    </w:p>
    <w:bookmarkEnd w:id="428"/>
    <w:bookmarkStart w:id="430" w:name="ref-8CVxQAro"/>
    <w:p>
      <w:pPr>
        <w:pStyle w:val="Bibliography"/>
      </w:pPr>
      <w:r>
        <w:t xml:space="preserve">70.</w:t>
      </w:r>
      <w:r>
        <w:t xml:space="preserve"> </w:t>
      </w:r>
      <w:r>
        <w:rPr>
          <w:b/>
        </w:rPr>
        <w:t xml:space="preserve">Landscape analysis for the Specimen Data Refinery</w:t>
      </w:r>
      <w:r>
        <w:t xml:space="preserve"> </w:t>
      </w:r>
      <w:r>
        <w:br/>
      </w:r>
      <w:r>
        <w:t xml:space="preserve">Stephanie Walton, Laurence Livermore, Olaf Bánki, Robert Cubey, Robyn Drinkwater, Markus Englund, Carole Goble, Quentin Groom, Christopher Kermorvant, Isabel Rey, … Zhengzhe Wu</w:t>
      </w:r>
      <w:r>
        <w:br/>
      </w:r>
      <w:r>
        <w:rPr>
          <w:i/>
        </w:rPr>
        <w:t xml:space="preserve">Research Ideas and Outcomes</w:t>
      </w:r>
      <w:r>
        <w:t xml:space="preserve"> </w:t>
      </w:r>
      <w:r>
        <w:t xml:space="preserve">(2020-08-14)</w:t>
      </w:r>
      <w:r>
        <w:t xml:space="preserve"> </w:t>
      </w:r>
      <w:r>
        <w:br/>
      </w:r>
      <w:r>
        <w:t xml:space="preserve">DOI:</w:t>
      </w:r>
      <w:r>
        <w:t xml:space="preserve"> </w:t>
      </w:r>
      <w:hyperlink r:id="rId429">
        <w:r>
          <w:rPr>
            <w:rStyle w:val="Hyperlink"/>
          </w:rPr>
          <w:t xml:space="preserve">10.3897/rio.6.e57602</w:t>
        </w:r>
      </w:hyperlink>
    </w:p>
    <w:bookmarkEnd w:id="430"/>
    <w:bookmarkStart w:id="432" w:name="ref-k5pGkxd5"/>
    <w:p>
      <w:pPr>
        <w:pStyle w:val="Bibliography"/>
      </w:pPr>
      <w:r>
        <w:t xml:space="preserve">71.</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431">
        <w:r>
          <w:rPr>
            <w:rStyle w:val="Hyperlink"/>
          </w:rPr>
          <w:t xml:space="preserve">10.3390/publications8020021</w:t>
        </w:r>
      </w:hyperlink>
    </w:p>
    <w:bookmarkEnd w:id="432"/>
    <w:bookmarkStart w:id="434" w:name="ref-HJqdR8JL"/>
    <w:p>
      <w:pPr>
        <w:pStyle w:val="Bibliography"/>
      </w:pPr>
      <w:r>
        <w:t xml:space="preserve">72.</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433">
        <w:r>
          <w:rPr>
            <w:rStyle w:val="Hyperlink"/>
          </w:rPr>
          <w:t xml:space="preserve">10.48546/workflowhub.workflow.56.1</w:t>
        </w:r>
      </w:hyperlink>
    </w:p>
    <w:bookmarkEnd w:id="434"/>
    <w:bookmarkStart w:id="438" w:name="ref-17fJm3JS"/>
    <w:p>
      <w:pPr>
        <w:pStyle w:val="Bibliography"/>
      </w:pPr>
      <w:r>
        <w:t xml:space="preserve">73.</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435">
        <w:r>
          <w:rPr>
            <w:rStyle w:val="Hyperlink"/>
          </w:rPr>
          <w:t xml:space="preserve">10.1371/journal.pbio.3000099</w:t>
        </w:r>
      </w:hyperlink>
      <w:r>
        <w:t xml:space="preserve"> </w:t>
      </w:r>
      <w:r>
        <w:t xml:space="preserve">· PMID:</w:t>
      </w:r>
      <w:r>
        <w:t xml:space="preserve"> </w:t>
      </w:r>
      <w:hyperlink r:id="rId436">
        <w:r>
          <w:rPr>
            <w:rStyle w:val="Hyperlink"/>
          </w:rPr>
          <w:t xml:space="preserve">30596645</w:t>
        </w:r>
      </w:hyperlink>
      <w:r>
        <w:t xml:space="preserve"> </w:t>
      </w:r>
      <w:r>
        <w:t xml:space="preserve">· PMCID:</w:t>
      </w:r>
      <w:r>
        <w:t xml:space="preserve"> </w:t>
      </w:r>
      <w:hyperlink r:id="rId437">
        <w:r>
          <w:rPr>
            <w:rStyle w:val="Hyperlink"/>
          </w:rPr>
          <w:t xml:space="preserve">PMC6338479</w:t>
        </w:r>
      </w:hyperlink>
    </w:p>
    <w:bookmarkEnd w:id="438"/>
    <w:bookmarkStart w:id="441" w:name="ref-R51nz7Xg"/>
    <w:p>
      <w:pPr>
        <w:pStyle w:val="Bibliography"/>
      </w:pPr>
      <w:r>
        <w:t xml:space="preserve">74.</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439">
        <w:r>
          <w:rPr>
            <w:rStyle w:val="Hyperlink"/>
          </w:rPr>
          <w:t xml:space="preserve">10.1109/ieeestd.2020.9094416</w:t>
        </w:r>
      </w:hyperlink>
      <w:r>
        <w:t xml:space="preserve"> </w:t>
      </w:r>
      <w:r>
        <w:t xml:space="preserve">· ISBN:</w:t>
      </w:r>
      <w:r>
        <w:t xml:space="preserve"> </w:t>
      </w:r>
      <w:hyperlink r:id="rId440">
        <w:r>
          <w:rPr>
            <w:rStyle w:val="Hyperlink"/>
          </w:rPr>
          <w:t xml:space="preserve">978-1-5044-6466-6</w:t>
        </w:r>
      </w:hyperlink>
    </w:p>
    <w:bookmarkEnd w:id="441"/>
    <w:bookmarkStart w:id="443" w:name="ref-1H1Z87nyU"/>
    <w:p>
      <w:pPr>
        <w:pStyle w:val="Bibliography"/>
      </w:pPr>
      <w:r>
        <w:t xml:space="preserve">75.</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442">
        <w:r>
          <w:rPr>
            <w:rStyle w:val="Hyperlink"/>
          </w:rPr>
          <w:t xml:space="preserve">10.5281/zenodo.4633732</w:t>
        </w:r>
      </w:hyperlink>
    </w:p>
    <w:bookmarkEnd w:id="443"/>
    <w:bookmarkStart w:id="447" w:name="ref-nCdDRreI"/>
    <w:p>
      <w:pPr>
        <w:pStyle w:val="Bibliography"/>
      </w:pPr>
      <w:r>
        <w:t xml:space="preserve">76.</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444">
        <w:r>
          <w:rPr>
            <w:rStyle w:val="Hyperlink"/>
          </w:rPr>
          <w:t xml:space="preserve">https://static.aminer.org/pdf/fa/bigdata2016/BigD418.pdf</w:t>
        </w:r>
      </w:hyperlink>
      <w:r>
        <w:t xml:space="preserve"> </w:t>
      </w:r>
      <w:r>
        <w:br/>
      </w:r>
      <w:r>
        <w:t xml:space="preserve">DOI:</w:t>
      </w:r>
      <w:r>
        <w:t xml:space="preserve"> </w:t>
      </w:r>
      <w:hyperlink r:id="rId445">
        <w:r>
          <w:rPr>
            <w:rStyle w:val="Hyperlink"/>
          </w:rPr>
          <w:t xml:space="preserve">10.1109/bigdata.2016.7840618</w:t>
        </w:r>
      </w:hyperlink>
      <w:r>
        <w:t xml:space="preserve"> </w:t>
      </w:r>
      <w:r>
        <w:t xml:space="preserve">· ISBN:</w:t>
      </w:r>
      <w:r>
        <w:t xml:space="preserve"> </w:t>
      </w:r>
      <w:hyperlink r:id="rId446">
        <w:r>
          <w:rPr>
            <w:rStyle w:val="Hyperlink"/>
          </w:rPr>
          <w:t xml:space="preserve">978-1-4673-9005-7</w:t>
        </w:r>
      </w:hyperlink>
    </w:p>
    <w:bookmarkEnd w:id="447"/>
    <w:bookmarkStart w:id="451" w:name="ref-1DVC7tcYl"/>
    <w:p>
      <w:pPr>
        <w:pStyle w:val="Bibliography"/>
      </w:pPr>
      <w:r>
        <w:t xml:space="preserve">77.</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448">
        <w:r>
          <w:rPr>
            <w:rStyle w:val="Hyperlink"/>
          </w:rPr>
          <w:t xml:space="preserve">10.1371/journal.pcbi.1006750</w:t>
        </w:r>
      </w:hyperlink>
      <w:r>
        <w:t xml:space="preserve"> </w:t>
      </w:r>
      <w:r>
        <w:t xml:space="preserve">· PMID:</w:t>
      </w:r>
      <w:r>
        <w:t xml:space="preserve"> </w:t>
      </w:r>
      <w:hyperlink r:id="rId449">
        <w:r>
          <w:rPr>
            <w:rStyle w:val="Hyperlink"/>
          </w:rPr>
          <w:t xml:space="preserve">30921316</w:t>
        </w:r>
      </w:hyperlink>
      <w:r>
        <w:t xml:space="preserve"> </w:t>
      </w:r>
      <w:r>
        <w:t xml:space="preserve">· PMCID:</w:t>
      </w:r>
      <w:r>
        <w:t xml:space="preserve"> </w:t>
      </w:r>
      <w:hyperlink r:id="rId450">
        <w:r>
          <w:rPr>
            <w:rStyle w:val="Hyperlink"/>
          </w:rPr>
          <w:t xml:space="preserve">PMC6438441</w:t>
        </w:r>
      </w:hyperlink>
    </w:p>
    <w:bookmarkEnd w:id="451"/>
    <w:bookmarkStart w:id="454" w:name="ref-1ZBdroY0"/>
    <w:p>
      <w:pPr>
        <w:pStyle w:val="Bibliography"/>
      </w:pPr>
      <w:r>
        <w:t xml:space="preserve">78.</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452">
        <w:r>
          <w:rPr>
            <w:rStyle w:val="Hyperlink"/>
          </w:rPr>
          <w:t xml:space="preserve">10.1007/978-3-030-45442-5_15</w:t>
        </w:r>
      </w:hyperlink>
      <w:r>
        <w:t xml:space="preserve"> </w:t>
      </w:r>
      <w:r>
        <w:t xml:space="preserve">· ISBN:</w:t>
      </w:r>
      <w:r>
        <w:t xml:space="preserve"> </w:t>
      </w:r>
      <w:hyperlink r:id="rId453">
        <w:r>
          <w:rPr>
            <w:rStyle w:val="Hyperlink"/>
          </w:rPr>
          <w:t xml:space="preserve">978-3-030-45442-5</w:t>
        </w:r>
      </w:hyperlink>
    </w:p>
    <w:bookmarkEnd w:id="454"/>
    <w:bookmarkStart w:id="456" w:name="ref-T271G9Gd"/>
    <w:p>
      <w:pPr>
        <w:pStyle w:val="Bibliography"/>
      </w:pPr>
      <w:r>
        <w:t xml:space="preserve">79.</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455">
        <w:r>
          <w:rPr>
            <w:rStyle w:val="Hyperlink"/>
          </w:rPr>
          <w:t xml:space="preserve">10.15497/rda00039</w:t>
        </w:r>
      </w:hyperlink>
    </w:p>
    <w:bookmarkEnd w:id="456"/>
    <w:bookmarkStart w:id="459" w:name="ref-1FiTt7FKJ"/>
    <w:p>
      <w:pPr>
        <w:pStyle w:val="Bibliography"/>
      </w:pPr>
      <w:r>
        <w:t xml:space="preserve">80.</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457">
        <w:r>
          <w:rPr>
            <w:rStyle w:val="Hyperlink"/>
          </w:rPr>
          <w:t xml:space="preserve">https://repository.publisso.de/resource/frl:6423289</w:t>
        </w:r>
      </w:hyperlink>
      <w:r>
        <w:t xml:space="preserve"> </w:t>
      </w:r>
      <w:r>
        <w:br/>
      </w:r>
      <w:r>
        <w:t xml:space="preserve">DOI:</w:t>
      </w:r>
      <w:r>
        <w:t xml:space="preserve"> </w:t>
      </w:r>
      <w:hyperlink r:id="rId458">
        <w:r>
          <w:rPr>
            <w:rStyle w:val="Hyperlink"/>
          </w:rPr>
          <w:t xml:space="preserve">10.4126/frl01-006423289</w:t>
        </w:r>
      </w:hyperlink>
    </w:p>
    <w:bookmarkEnd w:id="459"/>
    <w:bookmarkStart w:id="461" w:name="ref-naVrw7g1"/>
    <w:p>
      <w:pPr>
        <w:pStyle w:val="Bibliography"/>
      </w:pPr>
      <w:r>
        <w:t xml:space="preserve">81.</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460">
        <w:r>
          <w:rPr>
            <w:rStyle w:val="Hyperlink"/>
          </w:rPr>
          <w:t xml:space="preserve">https://www.w3.org/TR/2020/REC-vocab-dcat-2-20200204/</w:t>
        </w:r>
      </w:hyperlink>
    </w:p>
    <w:bookmarkEnd w:id="461"/>
    <w:bookmarkStart w:id="463" w:name="ref-7O1j0YRj"/>
    <w:p>
      <w:pPr>
        <w:pStyle w:val="Bibliography"/>
      </w:pPr>
      <w:r>
        <w:t xml:space="preserve">82.</w:t>
      </w:r>
      <w:r>
        <w:t xml:space="preserve"> </w:t>
      </w:r>
      <w:r>
        <w:rPr>
          <w:b/>
        </w:rPr>
        <w:t xml:space="preserve">A case for data commons: toward data science as a service</w:t>
      </w:r>
      <w:r>
        <w:t xml:space="preserve"> </w:t>
      </w:r>
      <w:r>
        <w:br/>
      </w:r>
      <w:r>
        <w:t xml:space="preserve">Robert L Grossman, Allison Heath, Mark Murphy, Maria Patterson, Walt Wells</w:t>
      </w:r>
      <w:r>
        <w:br/>
      </w:r>
      <w:r>
        <w:rPr>
          <w:i/>
        </w:rPr>
        <w:t xml:space="preserve">Computing in science &amp; engineering</w:t>
      </w:r>
      <w:r>
        <w:t xml:space="preserve"> </w:t>
      </w:r>
      <w:r>
        <w:t xml:space="preserve">(2016)</w:t>
      </w:r>
      <w:r>
        <w:t xml:space="preserve"> </w:t>
      </w:r>
      <w:r>
        <w:br/>
      </w:r>
      <w:r>
        <w:t xml:space="preserve">DOI:</w:t>
      </w:r>
      <w:r>
        <w:t xml:space="preserve"> </w:t>
      </w:r>
      <w:hyperlink r:id="rId462">
        <w:r>
          <w:rPr>
            <w:rStyle w:val="Hyperlink"/>
          </w:rPr>
          <w:t xml:space="preserve">10.1109/mcse.2016.92</w:t>
        </w:r>
      </w:hyperlink>
    </w:p>
    <w:bookmarkEnd w:id="463"/>
    <w:bookmarkStart w:id="466" w:name="ref-1EOrDAznb"/>
    <w:p>
      <w:pPr>
        <w:pStyle w:val="Bibliography"/>
      </w:pPr>
      <w:r>
        <w:t xml:space="preserve">83.</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464">
        <w:r>
          <w:rPr>
            <w:rStyle w:val="Hyperlink"/>
          </w:rPr>
          <w:t xml:space="preserve">http://datascience.codata.org/articles/10.5334/dsj-2019-044/</w:t>
        </w:r>
      </w:hyperlink>
      <w:r>
        <w:t xml:space="preserve"> </w:t>
      </w:r>
      <w:r>
        <w:br/>
      </w:r>
      <w:r>
        <w:t xml:space="preserve">DOI:</w:t>
      </w:r>
      <w:r>
        <w:t xml:space="preserve"> </w:t>
      </w:r>
      <w:hyperlink r:id="rId465">
        <w:r>
          <w:rPr>
            <w:rStyle w:val="Hyperlink"/>
          </w:rPr>
          <w:t xml:space="preserve">10.5334/dsj-2019-044</w:t>
        </w:r>
      </w:hyperlink>
    </w:p>
    <w:bookmarkEnd w:id="466"/>
    <w:bookmarkStart w:id="470" w:name="ref-oCofS7oZ"/>
    <w:p>
      <w:pPr>
        <w:pStyle w:val="Bibliography"/>
      </w:pPr>
      <w:r>
        <w:t xml:space="preserve">84.</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467">
        <w:r>
          <w:rPr>
            <w:rStyle w:val="Hyperlink"/>
          </w:rPr>
          <w:t xml:space="preserve">10.1182/blood-2017-03-735654</w:t>
        </w:r>
      </w:hyperlink>
      <w:r>
        <w:t xml:space="preserve"> </w:t>
      </w:r>
      <w:r>
        <w:t xml:space="preserve">· PMID:</w:t>
      </w:r>
      <w:r>
        <w:t xml:space="preserve"> </w:t>
      </w:r>
      <w:hyperlink r:id="rId468">
        <w:r>
          <w:rPr>
            <w:rStyle w:val="Hyperlink"/>
          </w:rPr>
          <w:t xml:space="preserve">28600341</w:t>
        </w:r>
      </w:hyperlink>
      <w:r>
        <w:t xml:space="preserve"> </w:t>
      </w:r>
      <w:r>
        <w:t xml:space="preserve">· PMCID:</w:t>
      </w:r>
      <w:r>
        <w:t xml:space="preserve"> </w:t>
      </w:r>
      <w:hyperlink r:id="rId469">
        <w:r>
          <w:rPr>
            <w:rStyle w:val="Hyperlink"/>
          </w:rPr>
          <w:t xml:space="preserve">PMC5533202</w:t>
        </w:r>
      </w:hyperlink>
    </w:p>
    <w:bookmarkEnd w:id="470"/>
    <w:bookmarkStart w:id="472" w:name="ref-1Hh0kF7qr"/>
    <w:p>
      <w:pPr>
        <w:pStyle w:val="Bibliography"/>
      </w:pPr>
      <w:r>
        <w:t xml:space="preserve">85.</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471">
        <w:r>
          <w:rPr>
            <w:rStyle w:val="Hyperlink"/>
          </w:rPr>
          <w:t xml:space="preserve">10.7557/5.5422</w:t>
        </w:r>
      </w:hyperlink>
    </w:p>
    <w:bookmarkEnd w:id="472"/>
    <w:bookmarkStart w:id="474" w:name="ref-1GS5Dq9yc"/>
    <w:p>
      <w:pPr>
        <w:pStyle w:val="Bibliography"/>
      </w:pPr>
      <w:r>
        <w:t xml:space="preserve">86.</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473">
        <w:r>
          <w:rPr>
            <w:rStyle w:val="Hyperlink"/>
          </w:rPr>
          <w:t xml:space="preserve">10.1045/january2011-crosas</w:t>
        </w:r>
      </w:hyperlink>
    </w:p>
    <w:bookmarkEnd w:id="474"/>
    <w:bookmarkStart w:id="476" w:name="ref-7yKqnsAx"/>
    <w:p>
      <w:pPr>
        <w:pStyle w:val="Bibliography"/>
      </w:pPr>
      <w:r>
        <w:t xml:space="preserve">87.</w:t>
      </w:r>
      <w:r>
        <w:t xml:space="preserve"> </w:t>
      </w:r>
      <w:r>
        <w:rPr>
          <w:b/>
        </w:rPr>
        <w:t xml:space="preserve">Efficient and Secure Transfer, Synchronization, and Sharing of Big Data</w:t>
      </w:r>
      <w:r>
        <w:t xml:space="preserve"> </w:t>
      </w:r>
      <w:r>
        <w:br/>
      </w:r>
      <w:r>
        <w:t xml:space="preserve">Kyle Chard, Steven Tuecke, Ian Foster</w:t>
      </w:r>
      <w:r>
        <w:br/>
      </w:r>
      <w:r>
        <w:rPr>
          <w:i/>
        </w:rPr>
        <w:t xml:space="preserve">IEEE Cloud Computing</w:t>
      </w:r>
      <w:r>
        <w:t xml:space="preserve"> </w:t>
      </w:r>
      <w:r>
        <w:t xml:space="preserve">(2014)</w:t>
      </w:r>
      <w:r>
        <w:t xml:space="preserve"> </w:t>
      </w:r>
      <w:r>
        <w:br/>
      </w:r>
      <w:r>
        <w:t xml:space="preserve">DOI:</w:t>
      </w:r>
      <w:r>
        <w:t xml:space="preserve"> </w:t>
      </w:r>
      <w:hyperlink r:id="rId475">
        <w:r>
          <w:rPr>
            <w:rStyle w:val="Hyperlink"/>
          </w:rPr>
          <w:t xml:space="preserve">10.1109/mcc.2014.52</w:t>
        </w:r>
      </w:hyperlink>
    </w:p>
    <w:bookmarkEnd w:id="476"/>
    <w:bookmarkStart w:id="480" w:name="ref-OkXvEtY"/>
    <w:p>
      <w:pPr>
        <w:pStyle w:val="Bibliography"/>
      </w:pPr>
      <w:r>
        <w:t xml:space="preserve">88.</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477">
        <w:r>
          <w:rPr>
            <w:rStyle w:val="Hyperlink"/>
          </w:rPr>
          <w:t xml:space="preserve">10.1016/j.patter.2020.100136</w:t>
        </w:r>
      </w:hyperlink>
      <w:r>
        <w:t xml:space="preserve"> </w:t>
      </w:r>
      <w:r>
        <w:t xml:space="preserve">· PMID:</w:t>
      </w:r>
      <w:r>
        <w:t xml:space="preserve"> </w:t>
      </w:r>
      <w:hyperlink r:id="rId478">
        <w:r>
          <w:rPr>
            <w:rStyle w:val="Hyperlink"/>
          </w:rPr>
          <w:t xml:space="preserve">33294873</w:t>
        </w:r>
      </w:hyperlink>
      <w:r>
        <w:t xml:space="preserve"> </w:t>
      </w:r>
      <w:r>
        <w:t xml:space="preserve">· PMCID:</w:t>
      </w:r>
      <w:r>
        <w:t xml:space="preserve"> </w:t>
      </w:r>
      <w:hyperlink r:id="rId479">
        <w:r>
          <w:rPr>
            <w:rStyle w:val="Hyperlink"/>
          </w:rPr>
          <w:t xml:space="preserve">PMC7691392</w:t>
        </w:r>
      </w:hyperlink>
    </w:p>
    <w:bookmarkEnd w:id="480"/>
    <w:bookmarkStart w:id="482" w:name="ref-D318Yc35"/>
    <w:p>
      <w:pPr>
        <w:pStyle w:val="Bibliography"/>
      </w:pPr>
      <w:r>
        <w:t xml:space="preserve">89.</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481">
        <w:r>
          <w:rPr>
            <w:rStyle w:val="Hyperlink"/>
          </w:rPr>
          <w:t xml:space="preserve">10.1190/1.1822162</w:t>
        </w:r>
      </w:hyperlink>
    </w:p>
    <w:bookmarkEnd w:id="482"/>
    <w:bookmarkStart w:id="484" w:name="ref-16USoLuIY"/>
    <w:p>
      <w:pPr>
        <w:pStyle w:val="Bibliography"/>
      </w:pPr>
      <w:r>
        <w:t xml:space="preserve">90.</w:t>
      </w:r>
      <w:r>
        <w:t xml:space="preserve"> </w:t>
      </w:r>
      <w:r>
        <w:rPr>
          <w:b/>
        </w:rPr>
        <w:t xml:space="preserve">Interoperability for the Discovery, Use, and Re-Use of Units of Scholarly Communication</w:t>
      </w:r>
      <w:r>
        <w:t xml:space="preserve"> </w:t>
      </w:r>
      <w:r>
        <w:br/>
      </w:r>
      <w:r>
        <w:t xml:space="preserve">Herbert Van de Sompel, Carl Lagoze</w:t>
      </w:r>
      <w:r>
        <w:br/>
      </w:r>
      <w:r>
        <w:rPr>
          <w:i/>
        </w:rPr>
        <w:t xml:space="preserve">CTWatch Quarterly</w:t>
      </w:r>
      <w:r>
        <w:t xml:space="preserve"> </w:t>
      </w:r>
      <w:r>
        <w:t xml:space="preserve">(2007-08)</w:t>
      </w:r>
      <w:r>
        <w:t xml:space="preserve"> </w:t>
      </w:r>
      <w:hyperlink r:id="rId483">
        <w:r>
          <w:rPr>
            <w:rStyle w:val="Hyperlink"/>
          </w:rPr>
          <w:t xml:space="preserve">http://icl.utk.edu/ctwatch/quarterly/articles/2007/08/interoperability-for-the-discovery-use-and-re-use-of-units-of-scholarly-communication/</w:t>
        </w:r>
      </w:hyperlink>
    </w:p>
    <w:bookmarkEnd w:id="484"/>
    <w:bookmarkStart w:id="488" w:name="ref-sTNYjVhY"/>
    <w:p>
      <w:pPr>
        <w:pStyle w:val="Bibliography"/>
      </w:pPr>
      <w:r>
        <w:t xml:space="preserve">91.</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485">
        <w:r>
          <w:rPr>
            <w:rStyle w:val="Hyperlink"/>
          </w:rPr>
          <w:t xml:space="preserve">10.1093/nar/gkq429</w:t>
        </w:r>
      </w:hyperlink>
      <w:r>
        <w:t xml:space="preserve"> </w:t>
      </w:r>
      <w:r>
        <w:t xml:space="preserve">· PMID:</w:t>
      </w:r>
      <w:r>
        <w:t xml:space="preserve"> </w:t>
      </w:r>
      <w:hyperlink r:id="rId486">
        <w:r>
          <w:rPr>
            <w:rStyle w:val="Hyperlink"/>
          </w:rPr>
          <w:t xml:space="preserve">20501605</w:t>
        </w:r>
      </w:hyperlink>
      <w:r>
        <w:t xml:space="preserve"> </w:t>
      </w:r>
      <w:r>
        <w:t xml:space="preserve">· PMCID:</w:t>
      </w:r>
      <w:r>
        <w:t xml:space="preserve"> </w:t>
      </w:r>
      <w:hyperlink r:id="rId487">
        <w:r>
          <w:rPr>
            <w:rStyle w:val="Hyperlink"/>
          </w:rPr>
          <w:t xml:space="preserve">PMC2896080</w:t>
        </w:r>
      </w:hyperlink>
    </w:p>
    <w:bookmarkEnd w:id="488"/>
    <w:bookmarkStart w:id="490" w:name="ref-1zQ0H831"/>
    <w:p>
      <w:pPr>
        <w:pStyle w:val="Bibliography"/>
      </w:pPr>
      <w:r>
        <w:t xml:space="preserve">92.</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489">
        <w:r>
          <w:rPr>
            <w:rStyle w:val="Hyperlink"/>
          </w:rPr>
          <w:t xml:space="preserve">http://ceur-ws.org/Vol-523/Newman.pdf</w:t>
        </w:r>
      </w:hyperlink>
    </w:p>
    <w:bookmarkEnd w:id="490"/>
    <w:bookmarkStart w:id="492" w:name="ref-stokk0es"/>
    <w:p>
      <w:pPr>
        <w:pStyle w:val="Bibliography"/>
      </w:pPr>
      <w:r>
        <w:t xml:space="preserve">93.</w:t>
      </w:r>
      <w:r>
        <w:t xml:space="preserve"> </w:t>
      </w:r>
      <w:r>
        <w:rPr>
          <w:b/>
        </w:rPr>
        <w:t xml:space="preserve">myExperiment Ontology Modules</w:t>
      </w:r>
      <w:r>
        <w:t xml:space="preserve"> </w:t>
      </w:r>
      <w:r>
        <w:t xml:space="preserve">(2009)</w:t>
      </w:r>
      <w:r>
        <w:t xml:space="preserve"> </w:t>
      </w:r>
      <w:hyperlink r:id="rId491">
        <w:r>
          <w:rPr>
            <w:rStyle w:val="Hyperlink"/>
          </w:rPr>
          <w:t xml:space="preserve">http://web.archive.org/web/20091115080336/http%3a%2f%2frdf.myexperiment.org/ontologies</w:t>
        </w:r>
      </w:hyperlink>
    </w:p>
    <w:bookmarkEnd w:id="492"/>
    <w:bookmarkStart w:id="495" w:name="ref-KGZLxbxf"/>
    <w:p>
      <w:pPr>
        <w:pStyle w:val="Bibliography"/>
      </w:pPr>
      <w:r>
        <w:t xml:space="preserve">94.</w:t>
      </w:r>
      <w:r>
        <w:t xml:space="preserve"> </w:t>
      </w:r>
      <w:r>
        <w:rPr>
          <w:b/>
        </w:rPr>
        <w:t xml:space="preserve">Web Annotation as a First-Class Object</w:t>
      </w:r>
      <w:r>
        <w:t xml:space="preserve"> </w:t>
      </w:r>
      <w:r>
        <w:br/>
      </w:r>
      <w:r>
        <w:t xml:space="preserve">Paolo Ciccarese, Stian Soiland-Reyes, Tim Clark</w:t>
      </w:r>
      <w:r>
        <w:br/>
      </w:r>
      <w:r>
        <w:rPr>
          <w:i/>
        </w:rPr>
        <w:t xml:space="preserve">IEEE Internet Computing</w:t>
      </w:r>
      <w:r>
        <w:t xml:space="preserve"> </w:t>
      </w:r>
      <w:r>
        <w:t xml:space="preserve">(2013-11)</w:t>
      </w:r>
      <w:r>
        <w:t xml:space="preserve"> </w:t>
      </w:r>
      <w:hyperlink r:id="rId493">
        <w:r>
          <w:rPr>
            <w:rStyle w:val="Hyperlink"/>
          </w:rPr>
          <w:t xml:space="preserve">https://doi.org/gmgtkn</w:t>
        </w:r>
      </w:hyperlink>
      <w:r>
        <w:t xml:space="preserve"> </w:t>
      </w:r>
      <w:r>
        <w:br/>
      </w:r>
      <w:r>
        <w:t xml:space="preserve">DOI:</w:t>
      </w:r>
      <w:r>
        <w:t xml:space="preserve"> </w:t>
      </w:r>
      <w:hyperlink r:id="rId494">
        <w:r>
          <w:rPr>
            <w:rStyle w:val="Hyperlink"/>
          </w:rPr>
          <w:t xml:space="preserve">10.1109/mic.2013.123</w:t>
        </w:r>
      </w:hyperlink>
    </w:p>
    <w:bookmarkEnd w:id="495"/>
    <w:bookmarkStart w:id="497" w:name="ref-cLnDUfHN"/>
    <w:p>
      <w:pPr>
        <w:pStyle w:val="Bibliography"/>
      </w:pPr>
      <w:r>
        <w:t xml:space="preserve">95.</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496">
        <w:r>
          <w:rPr>
            <w:rStyle w:val="Hyperlink"/>
          </w:rPr>
          <w:t xml:space="preserve">http://www.w3.org/TR/2013/REC-prov-o-20130430/</w:t>
        </w:r>
      </w:hyperlink>
    </w:p>
    <w:bookmarkEnd w:id="497"/>
    <w:bookmarkStart w:id="500" w:name="ref-16Tre0SD9"/>
    <w:p>
      <w:pPr>
        <w:pStyle w:val="Bibliography"/>
      </w:pPr>
      <w:r>
        <w:t xml:space="preserve">96.</w:t>
      </w:r>
      <w:r>
        <w:t xml:space="preserve"> </w:t>
      </w:r>
      <w:r>
        <w:rPr>
          <w:b/>
        </w:rPr>
        <w:t xml:space="preserve">What Is Ontology Reuse?</w:t>
      </w:r>
      <w:r>
        <w:t xml:space="preserve"> </w:t>
      </w:r>
      <w:r>
        <w:br/>
      </w:r>
      <w:r>
        <w:t xml:space="preserve">Megan Katsumi, Michael Grüninger</w:t>
      </w:r>
      <w:r>
        <w:br/>
      </w:r>
      <w:r>
        <w:rPr>
          <w:i/>
        </w:rPr>
        <w:t xml:space="preserve">Formal Ontology in Information Systems</w:t>
      </w:r>
      <w:r>
        <w:t xml:space="preserve"> </w:t>
      </w:r>
      <w:r>
        <w:t xml:space="preserve">(2016)</w:t>
      </w:r>
      <w:r>
        <w:t xml:space="preserve"> </w:t>
      </w:r>
      <w:hyperlink r:id="rId498">
        <w:r>
          <w:rPr>
            <w:rStyle w:val="Hyperlink"/>
          </w:rPr>
          <w:t xml:space="preserve">https://doi.org/10.3233/978-1-61499-660-6-9</w:t>
        </w:r>
      </w:hyperlink>
      <w:r>
        <w:t xml:space="preserve"> </w:t>
      </w:r>
      <w:r>
        <w:br/>
      </w:r>
      <w:r>
        <w:t xml:space="preserve">DOI:</w:t>
      </w:r>
      <w:r>
        <w:t xml:space="preserve"> </w:t>
      </w:r>
      <w:hyperlink r:id="rId498">
        <w:r>
          <w:rPr>
            <w:rStyle w:val="Hyperlink"/>
          </w:rPr>
          <w:t xml:space="preserve">10.3233/978-1-61499-660-6-9</w:t>
        </w:r>
      </w:hyperlink>
      <w:r>
        <w:t xml:space="preserve"> </w:t>
      </w:r>
      <w:r>
        <w:t xml:space="preserve">· ISBN:</w:t>
      </w:r>
      <w:r>
        <w:t xml:space="preserve"> </w:t>
      </w:r>
      <w:hyperlink r:id="rId499">
        <w:r>
          <w:rPr>
            <w:rStyle w:val="Hyperlink"/>
          </w:rPr>
          <w:t xml:space="preserve">978-1-61499-660-6</w:t>
        </w:r>
      </w:hyperlink>
    </w:p>
    <w:bookmarkEnd w:id="500"/>
    <w:bookmarkStart w:id="502" w:name="ref-tyKVYqu2"/>
    <w:p>
      <w:pPr>
        <w:pStyle w:val="Bibliography"/>
      </w:pPr>
      <w:r>
        <w:t xml:space="preserve">97.</w:t>
      </w:r>
      <w:r>
        <w:t xml:space="preserve"> </w:t>
      </w:r>
      <w:r>
        <w:rPr>
          <w:b/>
        </w:rPr>
        <w:t xml:space="preserve">Enabling FAIR research in Earth Science through research objects</w:t>
      </w:r>
      <w:r>
        <w:t xml:space="preserve"> </w:t>
      </w:r>
      <w:r>
        <w:br/>
      </w:r>
      <w:r>
        <w:t xml:space="preserve">Andres Garcia-Silva, Jose Manuel Gomez-Perez, Raul Palma, Marcin Krystek, Simone Mantovani, Federica Foglini, Valentina Grande, Francesco De Leo, Stefano Salvi, Elisa Trasatti, … Ilkay Altintas</w:t>
      </w:r>
      <w:r>
        <w:br/>
      </w:r>
      <w:r>
        <w:rPr>
          <w:i/>
        </w:rPr>
        <w:t xml:space="preserve">Future Generation Computer Systems</w:t>
      </w:r>
      <w:r>
        <w:t xml:space="preserve"> </w:t>
      </w:r>
      <w:r>
        <w:t xml:space="preserve">(2019-09)</w:t>
      </w:r>
      <w:r>
        <w:t xml:space="preserve"> </w:t>
      </w:r>
      <w:r>
        <w:br/>
      </w:r>
      <w:r>
        <w:t xml:space="preserve">DOI:</w:t>
      </w:r>
      <w:r>
        <w:t xml:space="preserve"> </w:t>
      </w:r>
      <w:hyperlink r:id="rId501">
        <w:r>
          <w:rPr>
            <w:rStyle w:val="Hyperlink"/>
          </w:rPr>
          <w:t xml:space="preserve">10.1016/j.future.2019.03.046</w:t>
        </w:r>
      </w:hyperlink>
    </w:p>
    <w:bookmarkEnd w:id="502"/>
    <w:bookmarkStart w:id="504" w:name="ref-16M9YRYfg"/>
    <w:p>
      <w:pPr>
        <w:pStyle w:val="Bibliography"/>
      </w:pPr>
      <w:r>
        <w:t xml:space="preserve">98.</w:t>
      </w:r>
      <w:r>
        <w:t xml:space="preserve"> </w:t>
      </w:r>
      <w:r>
        <w:rPr>
          <w:b/>
        </w:rPr>
        <w:t xml:space="preserve">Toward Enabling Reproducibility for Data-Intensive Research Using the Whole Tale Platform</w:t>
      </w:r>
      <w:r>
        <w:t xml:space="preserve"> </w:t>
      </w:r>
      <w:r>
        <w:br/>
      </w:r>
      <w:r>
        <w:t xml:space="preserve">Chard Kyle, Gaffney Niall, Hategan Mihael, Kowalik Kacper, Ludäscher Bertram, McPhillips Timothy, Nabrzyski Jarek, Stodden Victoria, Taylor Ian, Thelen Thomas, et al.</w:t>
      </w:r>
      <w:r>
        <w:br/>
      </w:r>
      <w:r>
        <w:rPr>
          <w:i/>
        </w:rPr>
        <w:t xml:space="preserve">Advances in Parallel Computing</w:t>
      </w:r>
      <w:r>
        <w:t xml:space="preserve"> </w:t>
      </w:r>
      <w:r>
        <w:t xml:space="preserve">(2020)</w:t>
      </w:r>
      <w:r>
        <w:t xml:space="preserve"> </w:t>
      </w:r>
      <w:r>
        <w:br/>
      </w:r>
      <w:r>
        <w:t xml:space="preserve">DOI:</w:t>
      </w:r>
      <w:r>
        <w:t xml:space="preserve"> </w:t>
      </w:r>
      <w:hyperlink r:id="rId503">
        <w:r>
          <w:rPr>
            <w:rStyle w:val="Hyperlink"/>
          </w:rPr>
          <w:t xml:space="preserve">10.3233/apc200107</w:t>
        </w:r>
      </w:hyperlink>
    </w:p>
    <w:bookmarkEnd w:id="504"/>
    <w:bookmarkStart w:id="508" w:name="ref-wIuPSf9U"/>
    <w:p>
      <w:pPr>
        <w:pStyle w:val="Bibliography"/>
      </w:pPr>
      <w:r>
        <w:t xml:space="preserve">99.</w:t>
      </w:r>
      <w:r>
        <w:t xml:space="preserve"> </w:t>
      </w:r>
      <w:r>
        <w:rPr>
          <w:b/>
        </w:rPr>
        <w:t xml:space="preserve">Application of BagIt-Serialized Research Object Bundles for Packaging and Re-Execution of Computational Analyses</w:t>
      </w:r>
      <w:r>
        <w:t xml:space="preserve"> </w:t>
      </w:r>
      <w:r>
        <w:br/>
      </w:r>
      <w:r>
        <w:t xml:space="preserve">Kyle Chard, Niall Gaffney, Matthew B. Jones, Kacper Kowalik, Bertram Ludascher, Timothy McPhillips, Jarek Nabrzyski, Victoria Stodden, Ian Taylor, Thomas Thelen, … Craig Willis</w:t>
      </w:r>
      <w:r>
        <w:br/>
      </w:r>
      <w:r>
        <w:rPr>
          <w:i/>
        </w:rPr>
        <w:t xml:space="preserve">15th International Conference on eScience (eScience 2019)</w:t>
      </w:r>
      <w:r>
        <w:t xml:space="preserve"> </w:t>
      </w:r>
      <w:r>
        <w:t xml:space="preserve">(2019-09-24)</w:t>
      </w:r>
      <w:r>
        <w:t xml:space="preserve"> </w:t>
      </w:r>
      <w:hyperlink r:id="rId505">
        <w:r>
          <w:rPr>
            <w:rStyle w:val="Hyperlink"/>
          </w:rPr>
          <w:t xml:space="preserve">https://ieeexplore.ieee.org/document/9041738/</w:t>
        </w:r>
      </w:hyperlink>
      <w:r>
        <w:t xml:space="preserve"> </w:t>
      </w:r>
      <w:r>
        <w:br/>
      </w:r>
      <w:r>
        <w:t xml:space="preserve">DOI:</w:t>
      </w:r>
      <w:r>
        <w:t xml:space="preserve"> </w:t>
      </w:r>
      <w:hyperlink r:id="rId506">
        <w:r>
          <w:rPr>
            <w:rStyle w:val="Hyperlink"/>
          </w:rPr>
          <w:t xml:space="preserve">10.1109/escience.2019.00068</w:t>
        </w:r>
      </w:hyperlink>
      <w:r>
        <w:t xml:space="preserve"> </w:t>
      </w:r>
      <w:r>
        <w:t xml:space="preserve">· ISBN:</w:t>
      </w:r>
      <w:r>
        <w:t xml:space="preserve"> </w:t>
      </w:r>
      <w:hyperlink r:id="rId507">
        <w:r>
          <w:rPr>
            <w:rStyle w:val="Hyperlink"/>
          </w:rPr>
          <w:t xml:space="preserve">978-1-7281-2451-3</w:t>
        </w:r>
      </w:hyperlink>
    </w:p>
    <w:bookmarkEnd w:id="508"/>
    <w:bookmarkStart w:id="510" w:name="ref-1D4gyjbRv"/>
    <w:p>
      <w:pPr>
        <w:pStyle w:val="Bibliography"/>
      </w:pPr>
      <w:r>
        <w:t xml:space="preserve">100.</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509">
        <w:r>
          <w:rPr>
            <w:rStyle w:val="Hyperlink"/>
          </w:rPr>
          <w:t xml:space="preserve">10.1016/j.future.2017.01.012</w:t>
        </w:r>
      </w:hyperlink>
    </w:p>
    <w:bookmarkEnd w:id="510"/>
    <w:bookmarkStart w:id="513" w:name="ref-TmTSmrSZ"/>
    <w:p>
      <w:pPr>
        <w:pStyle w:val="Bibliography"/>
      </w:pPr>
      <w:r>
        <w:t xml:space="preserve">101.</w:t>
      </w:r>
      <w:r>
        <w:t xml:space="preserve"> </w:t>
      </w:r>
      <w:r>
        <w:rPr>
          <w:b/>
        </w:rPr>
        <w:t xml:space="preserve">Provenance trails in the Wings/Pegasus system</w:t>
      </w:r>
      <w:r>
        <w:t xml:space="preserve"> </w:t>
      </w:r>
      <w:r>
        <w:br/>
      </w:r>
      <w:r>
        <w:t xml:space="preserve">Jihie Kim, Ewa Deelman, Yolanda Gil, Gaurang Mehta, Varun Ratnakar</w:t>
      </w:r>
      <w:r>
        <w:br/>
      </w:r>
      <w:r>
        <w:rPr>
          <w:i/>
        </w:rPr>
        <w:t xml:space="preserve">Concurrency and Computation: Practice and Experience</w:t>
      </w:r>
      <w:r>
        <w:t xml:space="preserve"> </w:t>
      </w:r>
      <w:r>
        <w:t xml:space="preserve">(2008-04-10)</w:t>
      </w:r>
      <w:r>
        <w:t xml:space="preserve"> </w:t>
      </w:r>
      <w:hyperlink r:id="rId511">
        <w:r>
          <w:rPr>
            <w:rStyle w:val="Hyperlink"/>
          </w:rPr>
          <w:t xml:space="preserve">http://doi.wiley.com/10.1002/cpe.1228</w:t>
        </w:r>
      </w:hyperlink>
      <w:r>
        <w:t xml:space="preserve"> </w:t>
      </w:r>
      <w:r>
        <w:br/>
      </w:r>
      <w:r>
        <w:t xml:space="preserve">DOI:</w:t>
      </w:r>
      <w:r>
        <w:t xml:space="preserve"> </w:t>
      </w:r>
      <w:hyperlink r:id="rId512">
        <w:r>
          <w:rPr>
            <w:rStyle w:val="Hyperlink"/>
          </w:rPr>
          <w:t xml:space="preserve">10.1002/cpe.1228</w:t>
        </w:r>
      </w:hyperlink>
    </w:p>
    <w:bookmarkEnd w:id="513"/>
    <w:bookmarkStart w:id="517" w:name="ref-74cIRMFz"/>
    <w:p>
      <w:pPr>
        <w:pStyle w:val="Bibliography"/>
      </w:pPr>
      <w:r>
        <w:t xml:space="preserve">102.</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514">
        <w:r>
          <w:rPr>
            <w:rStyle w:val="Hyperlink"/>
          </w:rPr>
          <w:t xml:space="preserve">10.1016/j.cels.2018.03.014</w:t>
        </w:r>
      </w:hyperlink>
      <w:r>
        <w:t xml:space="preserve"> </w:t>
      </w:r>
      <w:r>
        <w:t xml:space="preserve">· PMID:</w:t>
      </w:r>
      <w:r>
        <w:t xml:space="preserve"> </w:t>
      </w:r>
      <w:hyperlink r:id="rId515">
        <w:r>
          <w:rPr>
            <w:rStyle w:val="Hyperlink"/>
          </w:rPr>
          <w:t xml:space="preserve">29953862</w:t>
        </w:r>
      </w:hyperlink>
      <w:r>
        <w:t xml:space="preserve"> </w:t>
      </w:r>
      <w:r>
        <w:t xml:space="preserve">· PMCID:</w:t>
      </w:r>
      <w:r>
        <w:t xml:space="preserve"> </w:t>
      </w:r>
      <w:hyperlink r:id="rId516">
        <w:r>
          <w:rPr>
            <w:rStyle w:val="Hyperlink"/>
          </w:rPr>
          <w:t xml:space="preserve">PMC6263957</w:t>
        </w:r>
      </w:hyperlink>
    </w:p>
    <w:bookmarkEnd w:id="517"/>
    <w:bookmarkStart w:id="521" w:name="ref-FG7BdkMW"/>
    <w:p>
      <w:pPr>
        <w:pStyle w:val="Bibliography"/>
      </w:pPr>
      <w:r>
        <w:t xml:space="preserve">103.</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518">
        <w:r>
          <w:rPr>
            <w:rStyle w:val="Hyperlink"/>
          </w:rPr>
          <w:t xml:space="preserve">10.1038/s41586-019-0965-1</w:t>
        </w:r>
      </w:hyperlink>
      <w:r>
        <w:t xml:space="preserve"> </w:t>
      </w:r>
      <w:r>
        <w:t xml:space="preserve">· PMID:</w:t>
      </w:r>
      <w:r>
        <w:t xml:space="preserve"> </w:t>
      </w:r>
      <w:hyperlink r:id="rId519">
        <w:r>
          <w:rPr>
            <w:rStyle w:val="Hyperlink"/>
          </w:rPr>
          <w:t xml:space="preserve">30745586</w:t>
        </w:r>
      </w:hyperlink>
      <w:r>
        <w:t xml:space="preserve"> </w:t>
      </w:r>
      <w:r>
        <w:t xml:space="preserve">· PMCID:</w:t>
      </w:r>
      <w:r>
        <w:t xml:space="preserve"> </w:t>
      </w:r>
      <w:hyperlink r:id="rId520">
        <w:r>
          <w:rPr>
            <w:rStyle w:val="Hyperlink"/>
          </w:rPr>
          <w:t xml:space="preserve">PMC6784870</w:t>
        </w:r>
      </w:hyperlink>
    </w:p>
    <w:bookmarkEnd w:id="521"/>
    <w:bookmarkStart w:id="523" w:name="ref-fNw8iptq"/>
    <w:p>
      <w:pPr>
        <w:pStyle w:val="Bibliography"/>
      </w:pPr>
      <w:r>
        <w:t xml:space="preserve">104.</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522">
        <w:r>
          <w:rPr>
            <w:rStyle w:val="Hyperlink"/>
          </w:rPr>
          <w:t xml:space="preserve">http://ftp.ebi.ac.uk/pub/databases/metagenomics/umgs_analyses/</w:t>
        </w:r>
      </w:hyperlink>
    </w:p>
    <w:bookmarkEnd w:id="523"/>
    <w:bookmarkStart w:id="524" w:name="ref-1BmIQbauY"/>
    <w:p>
      <w:pPr>
        <w:pStyle w:val="Bibliography"/>
      </w:pPr>
      <w:r>
        <w:t xml:space="preserve">105.</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191">
        <w:r>
          <w:rPr>
            <w:rStyle w:val="Hyperlink"/>
          </w:rPr>
          <w:t xml:space="preserve">https://github.com/Finn-Lab/MGS-gut</w:t>
        </w:r>
      </w:hyperlink>
    </w:p>
    <w:bookmarkEnd w:id="524"/>
    <w:bookmarkStart w:id="526" w:name="ref-14UO6fjKC"/>
    <w:p>
      <w:pPr>
        <w:pStyle w:val="Bibliography"/>
      </w:pPr>
      <w:r>
        <w:t xml:space="preserve">106.</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525">
        <w:r>
          <w:rPr>
            <w:rStyle w:val="Hyperlink"/>
          </w:rPr>
          <w:t xml:space="preserve">https://twitter.com/soilandreyes/status/1250721245622079488</w:t>
        </w:r>
      </w:hyperlink>
    </w:p>
    <w:bookmarkEnd w:id="526"/>
    <w:bookmarkStart w:id="528" w:name="ref-ml5o5Q6v"/>
    <w:p>
      <w:pPr>
        <w:pStyle w:val="Bibliography"/>
      </w:pPr>
      <w:r>
        <w:t xml:space="preserve">107.</w:t>
      </w:r>
      <w:r>
        <w:t xml:space="preserve"> </w:t>
      </w:r>
      <w:r>
        <w:rPr>
          <w:b/>
        </w:rPr>
        <w:t xml:space="preserve">Giving software its due</w:t>
      </w:r>
      <w:r>
        <w:t xml:space="preserve"> </w:t>
      </w:r>
      <w:r>
        <w:br/>
      </w:r>
      <w:r>
        <w:t xml:space="preserve">Nature Methods</w:t>
      </w:r>
      <w:r>
        <w:br/>
      </w:r>
      <w:r>
        <w:t xml:space="preserve">(2019)</w:t>
      </w:r>
      <w:r>
        <w:t xml:space="preserve"> </w:t>
      </w:r>
      <w:hyperlink r:id="rId527">
        <w:r>
          <w:rPr>
            <w:rStyle w:val="Hyperlink"/>
          </w:rPr>
          <w:t xml:space="preserve">https://doi.org/10.1038/s41592-019-0350-x</w:t>
        </w:r>
      </w:hyperlink>
      <w:r>
        <w:t xml:space="preserve"> </w:t>
      </w:r>
      <w:r>
        <w:br/>
      </w:r>
      <w:r>
        <w:t xml:space="preserve">DOI:</w:t>
      </w:r>
      <w:r>
        <w:t xml:space="preserve"> </w:t>
      </w:r>
      <w:hyperlink r:id="rId527">
        <w:r>
          <w:rPr>
            <w:rStyle w:val="Hyperlink"/>
          </w:rPr>
          <w:t xml:space="preserve">10.1038/s41592-019-0350-x</w:t>
        </w:r>
      </w:hyperlink>
    </w:p>
    <w:bookmarkEnd w:id="528"/>
    <w:bookmarkStart w:id="532" w:name="ref-jBiuoWG3"/>
    <w:p>
      <w:pPr>
        <w:pStyle w:val="Bibliography"/>
      </w:pPr>
      <w:r>
        <w:t xml:space="preserve">108.</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529">
        <w:r>
          <w:rPr>
            <w:rStyle w:val="Hyperlink"/>
          </w:rPr>
          <w:t xml:space="preserve">10.3389/fninf.2017.00069</w:t>
        </w:r>
      </w:hyperlink>
      <w:r>
        <w:t xml:space="preserve"> </w:t>
      </w:r>
      <w:r>
        <w:t xml:space="preserve">· PMID:</w:t>
      </w:r>
      <w:r>
        <w:t xml:space="preserve"> </w:t>
      </w:r>
      <w:hyperlink r:id="rId530">
        <w:r>
          <w:rPr>
            <w:rStyle w:val="Hyperlink"/>
          </w:rPr>
          <w:t xml:space="preserve">29354046</w:t>
        </w:r>
      </w:hyperlink>
      <w:r>
        <w:t xml:space="preserve"> </w:t>
      </w:r>
      <w:r>
        <w:t xml:space="preserve">· PMCID:</w:t>
      </w:r>
      <w:r>
        <w:t xml:space="preserve"> </w:t>
      </w:r>
      <w:hyperlink r:id="rId531">
        <w:r>
          <w:rPr>
            <w:rStyle w:val="Hyperlink"/>
          </w:rPr>
          <w:t xml:space="preserve">PMC5758530</w:t>
        </w:r>
      </w:hyperlink>
    </w:p>
    <w:bookmarkEnd w:id="532"/>
    <w:bookmarkStart w:id="534" w:name="ref-LrIJVM5a"/>
    <w:p>
      <w:pPr>
        <w:pStyle w:val="Bibliography"/>
      </w:pPr>
      <w:r>
        <w:t xml:space="preserve">109.</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533">
        <w:r>
          <w:rPr>
            <w:rStyle w:val="Hyperlink"/>
          </w:rPr>
          <w:t xml:space="preserve">http://repscience2016.research-infrastructures.eu/img/CaroleGoble-ReproScience2016v2.pdf</w:t>
        </w:r>
      </w:hyperlink>
    </w:p>
    <w:bookmarkEnd w:id="534"/>
    <w:bookmarkStart w:id="536" w:name="ref-a1tub17j"/>
    <w:p>
      <w:pPr>
        <w:pStyle w:val="Bibliography"/>
      </w:pPr>
      <w:r>
        <w:t xml:space="preserve">110.</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535">
        <w:r>
          <w:rPr>
            <w:rStyle w:val="Hyperlink"/>
          </w:rPr>
          <w:t xml:space="preserve">10.1007/s41019-017-0050-4</w:t>
        </w:r>
      </w:hyperlink>
    </w:p>
    <w:bookmarkEnd w:id="536"/>
    <w:bookmarkStart w:id="539" w:name="ref-sYguBb3Q"/>
    <w:p>
      <w:pPr>
        <w:pStyle w:val="Bibliography"/>
      </w:pPr>
      <w:r>
        <w:t xml:space="preserve">111.</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537">
        <w:r>
          <w:rPr>
            <w:rStyle w:val="Hyperlink"/>
          </w:rPr>
          <w:t xml:space="preserve">10.1038/s41592-018-0046-7</w:t>
        </w:r>
      </w:hyperlink>
      <w:r>
        <w:t xml:space="preserve"> </w:t>
      </w:r>
      <w:r>
        <w:t xml:space="preserve">· PMID:</w:t>
      </w:r>
      <w:r>
        <w:t xml:space="preserve"> </w:t>
      </w:r>
      <w:hyperlink r:id="rId538">
        <w:r>
          <w:rPr>
            <w:rStyle w:val="Hyperlink"/>
          </w:rPr>
          <w:t xml:space="preserve">29967506</w:t>
        </w:r>
      </w:hyperlink>
    </w:p>
    <w:bookmarkEnd w:id="539"/>
    <w:bookmarkStart w:id="543" w:name="ref-rJUU3iuR"/>
    <w:p>
      <w:pPr>
        <w:pStyle w:val="Bibliography"/>
      </w:pPr>
      <w:r>
        <w:t xml:space="preserve">112.</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540">
        <w:r>
          <w:rPr>
            <w:rStyle w:val="Hyperlink"/>
          </w:rPr>
          <w:t xml:space="preserve">10.1093/bioinformatics/btx192</w:t>
        </w:r>
      </w:hyperlink>
      <w:r>
        <w:t xml:space="preserve"> </w:t>
      </w:r>
      <w:r>
        <w:t xml:space="preserve">· PMID:</w:t>
      </w:r>
      <w:r>
        <w:t xml:space="preserve"> </w:t>
      </w:r>
      <w:hyperlink r:id="rId541">
        <w:r>
          <w:rPr>
            <w:rStyle w:val="Hyperlink"/>
          </w:rPr>
          <w:t xml:space="preserve">28379341</w:t>
        </w:r>
      </w:hyperlink>
      <w:r>
        <w:t xml:space="preserve"> </w:t>
      </w:r>
      <w:r>
        <w:t xml:space="preserve">· PMCID:</w:t>
      </w:r>
      <w:r>
        <w:t xml:space="preserve"> </w:t>
      </w:r>
      <w:hyperlink r:id="rId542">
        <w:r>
          <w:rPr>
            <w:rStyle w:val="Hyperlink"/>
          </w:rPr>
          <w:t xml:space="preserve">PMC5870671</w:t>
        </w:r>
      </w:hyperlink>
    </w:p>
    <w:bookmarkEnd w:id="543"/>
    <w:bookmarkStart w:id="547" w:name="ref-8DE4ZSsb"/>
    <w:p>
      <w:pPr>
        <w:pStyle w:val="Bibliography"/>
      </w:pPr>
      <w:r>
        <w:t xml:space="preserve">113.</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544">
        <w:r>
          <w:rPr>
            <w:rStyle w:val="Hyperlink"/>
          </w:rPr>
          <w:t xml:space="preserve">10.1186/1471-2105-11-s12-s5</w:t>
        </w:r>
      </w:hyperlink>
      <w:r>
        <w:t xml:space="preserve"> </w:t>
      </w:r>
      <w:r>
        <w:t xml:space="preserve">· PMID:</w:t>
      </w:r>
      <w:r>
        <w:t xml:space="preserve"> </w:t>
      </w:r>
      <w:hyperlink r:id="rId545">
        <w:r>
          <w:rPr>
            <w:rStyle w:val="Hyperlink"/>
          </w:rPr>
          <w:t xml:space="preserve">21210984</w:t>
        </w:r>
      </w:hyperlink>
      <w:r>
        <w:t xml:space="preserve"> </w:t>
      </w:r>
      <w:r>
        <w:t xml:space="preserve">· PMCID:</w:t>
      </w:r>
      <w:r>
        <w:t xml:space="preserve"> </w:t>
      </w:r>
      <w:hyperlink r:id="rId546">
        <w:r>
          <w:rPr>
            <w:rStyle w:val="Hyperlink"/>
          </w:rPr>
          <w:t xml:space="preserve">PMC3040531</w:t>
        </w:r>
      </w:hyperlink>
    </w:p>
    <w:bookmarkEnd w:id="547"/>
    <w:bookmarkStart w:id="551" w:name="ref-WBsVRA32"/>
    <w:p>
      <w:pPr>
        <w:pStyle w:val="Bibliography"/>
      </w:pPr>
      <w:r>
        <w:t xml:space="preserve">114.</w:t>
      </w:r>
      <w:r>
        <w:t xml:space="preserve"> </w:t>
      </w:r>
      <w:r>
        <w:rPr>
          <w:b/>
        </w:rPr>
        <w:t xml:space="preserve">The Galaxy platform for accessible, reproducible and collaborative biomedical analyses: 2018 update.</w:t>
      </w:r>
      <w:r>
        <w:t xml:space="preserve"> </w:t>
      </w:r>
      <w:r>
        <w:br/>
      </w:r>
      <w:r>
        <w:t xml:space="preserve">Enis Afgan, Dannon Baker, Bérénice Batut, Marius van den Beek, Dave Bouvier, Martin Cech, John Chilton, Dave Clements, Nate Coraor, Björn A Grüning, … Daniel Blankenberg</w:t>
      </w:r>
      <w:r>
        <w:br/>
      </w:r>
      <w:r>
        <w:rPr>
          <w:i/>
        </w:rPr>
        <w:t xml:space="preserve">Nucleic Acids Research</w:t>
      </w:r>
      <w:r>
        <w:t xml:space="preserve"> </w:t>
      </w:r>
      <w:r>
        <w:t xml:space="preserve">(2018-07-02)</w:t>
      </w:r>
      <w:r>
        <w:t xml:space="preserve"> </w:t>
      </w:r>
      <w:r>
        <w:br/>
      </w:r>
      <w:r>
        <w:t xml:space="preserve">DOI:</w:t>
      </w:r>
      <w:r>
        <w:t xml:space="preserve"> </w:t>
      </w:r>
      <w:hyperlink r:id="rId548">
        <w:r>
          <w:rPr>
            <w:rStyle w:val="Hyperlink"/>
          </w:rPr>
          <w:t xml:space="preserve">10.1093/nar/gky379</w:t>
        </w:r>
      </w:hyperlink>
      <w:r>
        <w:t xml:space="preserve"> </w:t>
      </w:r>
      <w:r>
        <w:t xml:space="preserve">· PMID:</w:t>
      </w:r>
      <w:r>
        <w:t xml:space="preserve"> </w:t>
      </w:r>
      <w:hyperlink r:id="rId549">
        <w:r>
          <w:rPr>
            <w:rStyle w:val="Hyperlink"/>
          </w:rPr>
          <w:t xml:space="preserve">29790989</w:t>
        </w:r>
      </w:hyperlink>
      <w:r>
        <w:t xml:space="preserve"> </w:t>
      </w:r>
      <w:r>
        <w:t xml:space="preserve">· PMCID:</w:t>
      </w:r>
      <w:r>
        <w:t xml:space="preserve"> </w:t>
      </w:r>
      <w:hyperlink r:id="rId550">
        <w:r>
          <w:rPr>
            <w:rStyle w:val="Hyperlink"/>
          </w:rPr>
          <w:t xml:space="preserve">PMC6030816</w:t>
        </w:r>
      </w:hyperlink>
    </w:p>
    <w:bookmarkEnd w:id="551"/>
    <w:bookmarkStart w:id="554" w:name="ref-ewNBB7el"/>
    <w:p>
      <w:pPr>
        <w:pStyle w:val="Bibliography"/>
      </w:pPr>
      <w:r>
        <w:t xml:space="preserve">115.</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552">
        <w:r>
          <w:rPr>
            <w:rStyle w:val="Hyperlink"/>
          </w:rPr>
          <w:t xml:space="preserve">https://doi.org/gc6v3m</w:t>
        </w:r>
      </w:hyperlink>
      <w:r>
        <w:t xml:space="preserve"> </w:t>
      </w:r>
      <w:r>
        <w:br/>
      </w:r>
      <w:r>
        <w:t xml:space="preserve">DOI:</w:t>
      </w:r>
      <w:r>
        <w:t xml:space="preserve"> </w:t>
      </w:r>
      <w:hyperlink r:id="rId553">
        <w:r>
          <w:rPr>
            <w:rStyle w:val="Hyperlink"/>
          </w:rPr>
          <w:t xml:space="preserve">10.1087/20150211</w:t>
        </w:r>
      </w:hyperlink>
    </w:p>
    <w:bookmarkEnd w:id="554"/>
    <w:bookmarkEnd w:id="55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IRIs</w:t>
      </w:r>
      <w:r>
        <w:t xml:space="preserve">[</w:t>
      </w:r>
      <w:hyperlink w:anchor="ref-rqjuXkEf">
        <w:r>
          <w:rPr>
            <w:rStyle w:val="Hyperlink"/>
          </w:rPr>
          <w:t xml:space="preserve">27</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23">
    <w:p>
      <w:pPr>
        <w:pStyle w:val="FootnoteText"/>
      </w:pPr>
      <w:r>
        <w:rPr>
          <w:rStyle w:val="FootnoteReference"/>
        </w:rPr>
        <w:footnoteRef/>
      </w:r>
      <w:r>
        <w:t xml:space="preserve"> </w:t>
      </w:r>
      <w:r>
        <w:t xml:space="preserve">The avid reader may spot that the RO-Crate Metadata file use the extension</w:t>
      </w:r>
      <w:r>
        <w:t xml:space="preserve"> </w:t>
      </w:r>
      <w:r>
        <w:rPr>
          <w:rStyle w:val="VerbatimChar"/>
        </w:rPr>
        <w:t xml:space="preserve">.json</w:t>
      </w:r>
      <w:r>
        <w:t xml:space="preserve"> </w:t>
      </w:r>
      <w:r>
        <w:t xml:space="preserve">instead of</w:t>
      </w:r>
      <w:r>
        <w:t xml:space="preserve"> </w:t>
      </w:r>
      <w:r>
        <w:rPr>
          <w:rStyle w:val="VerbatimChar"/>
        </w:rPr>
        <w:t xml:space="preserve">.jsonld</w:t>
      </w:r>
      <w:r>
        <w:t xml:space="preserve">, this is to emphasize the developer expectations as a JSON format, while the file’s JSON-LD nature is secondary.</w:t>
      </w:r>
    </w:p>
  </w:footnote>
  <w:footnote w:id="124">
    <w:p>
      <w:pPr>
        <w:pStyle w:val="FootnoteText"/>
      </w:pPr>
      <w:r>
        <w:rPr>
          <w:rStyle w:val="FootnoteReference"/>
        </w:rPr>
        <w:footnoteRef/>
      </w:r>
      <w:r>
        <w:t xml:space="preserve"> </w:t>
      </w:r>
      <w:r>
        <w:t xml:space="preserve">Recommended properties for shown types in Listing 1 also include</w:t>
      </w:r>
      <w:r>
        <w:t xml:space="preserve"> </w:t>
      </w:r>
      <w:r>
        <w:rPr>
          <w:rStyle w:val="VerbatimChar"/>
        </w:rPr>
        <w:t xml:space="preserve">description</w:t>
      </w:r>
      <w:r>
        <w:t xml:space="preserve">,</w:t>
      </w:r>
      <w:r>
        <w:t xml:space="preserve"> </w:t>
      </w:r>
      <w:r>
        <w:rPr>
          <w:rStyle w:val="VerbatimChar"/>
        </w:rPr>
        <w:t xml:space="preserve">datePublished</w:t>
      </w:r>
      <w:r>
        <w:t xml:space="preserve">,</w:t>
      </w:r>
      <w:r>
        <w:t xml:space="preserve"> </w:t>
      </w:r>
      <w:r>
        <w:rPr>
          <w:rStyle w:val="VerbatimChar"/>
        </w:rPr>
        <w:t xml:space="preserve">encodingFormat</w:t>
      </w:r>
      <w:r>
        <w:t xml:space="preserve">,</w:t>
      </w:r>
      <w:r>
        <w:t xml:space="preserve"> </w:t>
      </w:r>
      <w:r>
        <w:rPr>
          <w:rStyle w:val="VerbatimChar"/>
        </w:rPr>
        <w:t xml:space="preserve">encodingFormat</w:t>
      </w:r>
      <w:r>
        <w:t xml:space="preserve">,</w:t>
      </w:r>
      <w:r>
        <w:t xml:space="preserve"> </w:t>
      </w:r>
      <w:r>
        <w:rPr>
          <w:rStyle w:val="VerbatimChar"/>
        </w:rPr>
        <w:t xml:space="preserve">affiliation</w:t>
      </w:r>
      <w:r>
        <w:t xml:space="preserve">,</w:t>
      </w:r>
      <w:r>
        <w:t xml:space="preserve"> </w:t>
      </w:r>
      <w:r>
        <w:rPr>
          <w:rStyle w:val="VerbatimChar"/>
        </w:rPr>
        <w:t xml:space="preserve">contactPoint</w:t>
      </w:r>
      <w:r>
        <w:t xml:space="preserve">,</w:t>
      </w:r>
      <w:r>
        <w:t xml:space="preserve"> </w:t>
      </w:r>
      <w:r>
        <w:rPr>
          <w:rStyle w:val="VerbatimChar"/>
        </w:rPr>
        <w:t xml:space="preserve">publisher</w:t>
      </w:r>
      <w:r>
        <w:t xml:space="preserve">,</w:t>
      </w:r>
      <w:r>
        <w:t xml:space="preserve"> </w:t>
      </w:r>
      <w:r>
        <w:rPr>
          <w:rStyle w:val="VerbatimChar"/>
        </w:rPr>
        <w:t xml:space="preserve">funder</w:t>
      </w:r>
      <w:r>
        <w:t xml:space="preserve">,</w:t>
      </w:r>
      <w:r>
        <w:t xml:space="preserve"> </w:t>
      </w:r>
      <w:r>
        <w:rPr>
          <w:rStyle w:val="VerbatimChar"/>
        </w:rPr>
        <w:t xml:space="preserve">citation</w:t>
      </w:r>
      <w:r>
        <w:t xml:space="preserve">,</w:t>
      </w:r>
      <w:r>
        <w:t xml:space="preserve"> </w:t>
      </w:r>
      <w:r>
        <w:rPr>
          <w:rStyle w:val="VerbatimChar"/>
        </w:rPr>
        <w:t xml:space="preserve">identifier</w:t>
      </w:r>
      <w:r>
        <w:t xml:space="preserve">,</w:t>
      </w:r>
      <w:r>
        <w:t xml:space="preserve"> </w:t>
      </w:r>
      <w:r>
        <w:rPr>
          <w:rStyle w:val="VerbatimChar"/>
        </w:rPr>
        <w:t xml:space="preserve">keywords</w:t>
      </w:r>
      <w:r>
        <w:t xml:space="preserve">,</w:t>
      </w:r>
      <w:r>
        <w:t xml:space="preserve"> </w:t>
      </w:r>
      <w:r>
        <w:rPr>
          <w:rStyle w:val="VerbatimChar"/>
        </w:rPr>
        <w:t xml:space="preserve">subjectOf</w:t>
      </w:r>
      <w:r>
        <w:t xml:space="preserve">; these properties and corresponding contextual entities are excluded here for brevity.</w:t>
      </w:r>
    </w:p>
  </w:footnote>
  <w:footnote w:id="155">
    <w:p>
      <w:pPr>
        <w:pStyle w:val="FootnoteText"/>
      </w:pPr>
      <w:r>
        <w:rPr>
          <w:rStyle w:val="FootnoteReference"/>
        </w:rPr>
        <w:footnoteRef/>
      </w:r>
      <w:r>
        <w:t xml:space="preserve"> </w:t>
      </w:r>
      <w:r>
        <w:t xml:space="preserve">CWLProv and TavernaProv predate RO-Crate, but use RO-Bundle</w:t>
      </w:r>
      <w:r>
        <w:t xml:space="preserve">[</w:t>
      </w:r>
      <w:hyperlink w:anchor="ref-dijZpInF">
        <w:r>
          <w:rPr>
            <w:rStyle w:val="Hyperlink"/>
          </w:rPr>
          <w:t xml:space="preserve">69</w:t>
        </w:r>
      </w:hyperlink>
      <w:r>
        <w:t xml:space="preserve">]</w:t>
      </w:r>
      <w:r>
        <w:t xml:space="preserve">, a similar Research Object packaging method with JSON-LD metadata.</w:t>
      </w:r>
    </w:p>
  </w:footnote>
  <w:footnote w:id="163">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74">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200">
    <w:p>
      <w:pPr>
        <w:pStyle w:val="FootnoteText"/>
      </w:pPr>
      <w:r>
        <w:rPr>
          <w:rStyle w:val="FootnoteReference"/>
        </w:rPr>
        <w:footnoteRef/>
      </w:r>
      <w:r>
        <w:t xml:space="preserve"> </w:t>
      </w:r>
      <w:r>
        <w:t xml:space="preserve">For simplicity, blank nodes are not included in this formalisation, as RO-Crate</w:t>
      </w:r>
      <w:r>
        <w:t xml:space="preserve"> </w:t>
      </w:r>
      <w:hyperlink r:id="rId128">
        <w:r>
          <w:rPr>
            <w:rStyle w:val="Hyperlink"/>
          </w:rPr>
          <w:t xml:space="preserve">recommends the use of IRI identifiers</w:t>
        </w:r>
      </w:hyperlink>
    </w:p>
  </w:footnote>
  <w:footnote w:id="202">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208">
    <w:p>
      <w:pPr>
        <w:pStyle w:val="FootnoteText"/>
      </w:pPr>
      <w:r>
        <w:rPr>
          <w:rStyle w:val="FootnoteReference"/>
        </w:rPr>
        <w:footnoteRef/>
      </w:r>
      <w:r>
        <w:t xml:space="preserve"> </w:t>
      </w:r>
      <w:r>
        <w:t xml:space="preserve">This simplification does not cover the extensive list of literal datatypes built-in to RDF 1.1, only strings and decimal real numbers. Likewise, language of literals are not included.</w:t>
      </w:r>
    </w:p>
  </w:footnote>
  <w:footnote w:id="212">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213">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168" Target="media/rId168.svg" /><Relationship Type="http://schemas.openxmlformats.org/officeDocument/2006/relationships/image" Id="rId90" Target="media/rId90.svg" /><Relationship Type="http://schemas.openxmlformats.org/officeDocument/2006/relationships/image" Id="rId103" Target="media/rId103.svg" /><Relationship Type="http://schemas.openxmlformats.org/officeDocument/2006/relationships/image" Id="rId31" Target="media/rId31.svg" /><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0bc62971ed693146997e223de855279cfdeb041f"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0bc62971ed693146997e223de855279cfdeb041f/"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_rels/footnotes.xml.rels><?xml version="1.0" encoding="UTF-8"?>
<Relationships xmlns="http://schemas.openxmlformats.org/package/2006/relationships"><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0bc62971ed693146997e223de855279cfdeb041f"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0bc62971ed693146997e223de855279cfdeb041f/"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2021-10-11T15:39:21Z</dcterms:created>
  <dcterms:modified xsi:type="dcterms:W3CDTF">2021-10-11T15:39:21Z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