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8.svg" ContentType="image/svg+xml"/>
  <Override PartName="/word/media/rId29.svg" ContentType="image/svg+xml"/>
  <Override PartName="/word/media/rId27.svg" ContentType="image/svg+xml"/>
  <Override PartName="/word/media/rId181.svg" ContentType="image/svg+xml"/>
  <Override PartName="/word/media/rId93.svg" ContentType="image/svg+xml"/>
  <Override PartName="/word/media/rId112.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stain/ro-crate-paper@cf1b1e1</w:t>
        </w:r>
      </w:hyperlink>
      <w:r>
        <w:t xml:space="preserve"> </w:t>
      </w:r>
      <w:r>
        <w:t xml:space="preserve">on November 30,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9" w:name="contextualentities"/>
      <w:r>
        <w:t xml:space="preserve">Data Entities are described using Contextual Entities</w:t>
      </w:r>
      <w:bookmarkEnd w:id="109"/>
    </w:p>
    <w:p>
      <w:pPr>
        <w:pStyle w:val="FirstParagraph"/>
      </w:pPr>
    </w:p>
    <w:p>
      <w:pPr>
        <w:pStyle w:val="BodyText"/>
      </w:pPr>
      <w:r>
        <w:t xml:space="preserve">RO-Crate distinguishes between</w:t>
      </w:r>
      <w:r>
        <w:t xml:space="preserve"> </w:t>
      </w:r>
      <w:hyperlink r:id="rId11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1">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3"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2"/>
                    <a:stretch>
                      <a:fillRect/>
                    </a:stretch>
                  </pic:blipFill>
                  <pic:spPr bwMode="auto">
                    <a:xfrm>
                      <a:off x="0" y="0"/>
                      <a:ext cx="5905500" cy="2952750"/>
                    </a:xfrm>
                    <a:prstGeom prst="rect">
                      <a:avLst/>
                    </a:prstGeom>
                    <a:noFill/>
                    <a:ln w="9525">
                      <a:noFill/>
                      <a:headEnd/>
                      <a:tailEnd/>
                    </a:ln>
                  </pic:spPr>
                </pic:pic>
              </a:graphicData>
            </a:graphic>
          </wp:inline>
        </w:drawing>
      </w:r>
      <w:bookmarkEnd w:id="113"/>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4" w:name="recommendedpractices"/>
      <w:r>
        <w:t xml:space="preserve">Guide through Recommended Practices</w:t>
      </w:r>
      <w:bookmarkEnd w:id="114"/>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5">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6">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7" w:name="simplicity"/>
      <w:r>
        <w:t xml:space="preserve">Ensuring Simplicity</w:t>
      </w:r>
      <w:bookmarkEnd w:id="117"/>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8">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9">
        <w:r>
          <w:rPr>
            <w:rStyle w:val="Hyperlink"/>
          </w:rPr>
          <w:t xml:space="preserve">RDF best practices</w:t>
        </w:r>
      </w:hyperlink>
      <w:r>
        <w:t xml:space="preserve"> </w:t>
      </w:r>
      <w:r>
        <w:t xml:space="preserve">is to establish a vocabulary with a new URI namespace, formalised using</w:t>
      </w:r>
      <w:r>
        <w:t xml:space="preserve"> </w:t>
      </w:r>
      <w:hyperlink r:id="rId120">
        <w:r>
          <w:rPr>
            <w:rStyle w:val="Hyperlink"/>
          </w:rPr>
          <w:t xml:space="preserve">RDF Schema</w:t>
        </w:r>
      </w:hyperlink>
      <w:r>
        <w:t xml:space="preserve"> </w:t>
      </w:r>
      <w:r>
        <w:t xml:space="preserve">or</w:t>
      </w:r>
      <w:r>
        <w:t xml:space="preserve"> </w:t>
      </w:r>
      <w:hyperlink r:id="rId121">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2">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3">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rPr>
          <w:i/>
        </w:rPr>
        <w:t xml:space="preserve">)</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4" w:name="profiles"/>
      <w:r>
        <w:t xml:space="preserve">Extensibility and RO-Crate profiles</w:t>
      </w:r>
      <w:bookmarkEnd w:id="124"/>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5">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6">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7" w:name="implementation"/>
      <w:r>
        <w:t xml:space="preserve">Technical implementation of the RO-Crate model</w:t>
      </w:r>
      <w:bookmarkEnd w:id="127"/>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8">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9" w:name="jsonld"/>
      <w:r>
        <w:t xml:space="preserve">RO-Crate JSON-LD</w:t>
      </w:r>
      <w:bookmarkEnd w:id="129"/>
    </w:p>
    <w:p>
      <w:pPr>
        <w:pStyle w:val="FirstParagraph"/>
      </w:pPr>
    </w:p>
    <w:p>
      <w:pPr>
        <w:pStyle w:val="BodyText"/>
      </w:pPr>
      <w:r>
        <w:t xml:space="preserve">RO-Crate</w:t>
      </w:r>
      <w:r>
        <w:t xml:space="preserve"> </w:t>
      </w:r>
      <w:hyperlink r:id="rId130">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3"/>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5" w:name="flattened-json-ld"/>
      <w:r>
        <w:t xml:space="preserve">Flattened JSON-LD</w:t>
      </w:r>
      <w:bookmarkEnd w:id="135"/>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6">
        <w:r>
          <w:rPr>
            <w:rStyle w:val="Hyperlink"/>
          </w:rPr>
          <w:t xml:space="preserve">compacted form</w:t>
        </w:r>
      </w:hyperlink>
      <w:r>
        <w:t xml:space="preserve"> </w:t>
      </w:r>
      <w:r>
        <w:t xml:space="preserve">which follows this expectation (</w:t>
      </w:r>
      <w:hyperlink r:id="rId13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8">
        <w:r>
          <w:rPr>
            <w:rStyle w:val="Hyperlink"/>
          </w:rPr>
          <w:t xml:space="preserve">consider existing IRIs and identifiers</w:t>
        </w:r>
      </w:hyperlink>
      <w:r>
        <w:t xml:space="preserve">.</w:t>
      </w:r>
    </w:p>
    <w:p>
      <w:pPr>
        <w:pStyle w:val="Heading3"/>
      </w:pPr>
      <w:bookmarkStart w:id="139" w:name="json-ld-context"/>
      <w:r>
        <w:t xml:space="preserve">JSON-LD context</w:t>
      </w:r>
      <w:bookmarkEnd w:id="13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0">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1">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1">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2">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3" w:name="community"/>
      <w:r>
        <w:t xml:space="preserve">RO-Crate Community</w:t>
      </w:r>
      <w:bookmarkEnd w:id="143"/>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4" w:name="people"/>
      <w:r>
        <w:t xml:space="preserve">People</w:t>
      </w:r>
      <w:bookmarkEnd w:id="144"/>
    </w:p>
    <w:p>
      <w:pPr>
        <w:pStyle w:val="FirstParagraph"/>
      </w:pPr>
      <w:r>
        <w:t xml:space="preserve">The initial concept of RO-Crate was formed at the first Workshop on Research Objects (</w:t>
      </w:r>
      <w:hyperlink r:id="rId145">
        <w:r>
          <w:rPr>
            <w:rStyle w:val="Hyperlink"/>
          </w:rPr>
          <w:t xml:space="preserve">RO2018</w:t>
        </w:r>
      </w:hyperlink>
      <w:r>
        <w:t xml:space="preserve">), held as part of the IEEE conference on eScience. This workshop followed up on considerations made at a</w:t>
      </w:r>
      <w:r>
        <w:t xml:space="preserve"> </w:t>
      </w:r>
      <w:hyperlink r:id="rId14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7">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48">
        <w:r>
          <w:rPr>
            <w:rStyle w:val="Hyperlink"/>
          </w:rPr>
          <w:t xml:space="preserve">FAIRplus</w:t>
        </w:r>
      </w:hyperlink>
      <w:r>
        <w:t xml:space="preserve">,</w:t>
      </w:r>
      <w:r>
        <w:t xml:space="preserve"> </w:t>
      </w:r>
      <w:hyperlink r:id="rId149">
        <w:r>
          <w:rPr>
            <w:rStyle w:val="Hyperlink"/>
          </w:rPr>
          <w:t xml:space="preserve">CS3MESH4EOSC</w:t>
        </w:r>
      </w:hyperlink>
      <w:r>
        <w:t xml:space="preserve"> </w:t>
      </w:r>
      <w:r>
        <w:t xml:space="preserve">and</w:t>
      </w:r>
      <w:r>
        <w:t xml:space="preserve"> </w:t>
      </w:r>
      <w:hyperlink r:id="rId150">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1" w:name="norms"/>
      <w:r>
        <w:t xml:space="preserve">Norms</w:t>
      </w:r>
      <w:bookmarkEnd w:id="151"/>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2" w:name="open-platforms"/>
      <w:r>
        <w:t xml:space="preserve">Open Platforms</w:t>
      </w:r>
      <w:bookmarkEnd w:id="15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4">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5" w:name="tooling"/>
      <w:r>
        <w:t xml:space="preserve">RO-Crate Tooling</w:t>
      </w:r>
      <w:bookmarkEnd w:id="15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7" w:name="inuse"/>
      <w:r>
        <w:t xml:space="preserve">Profiles of RO-Crate in use</w:t>
      </w:r>
      <w:bookmarkEnd w:id="157"/>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8">
        <w:r>
          <w:rPr>
            <w:rStyle w:val="Hyperlink"/>
          </w:rPr>
          <w:t xml:space="preserve">FAIR Digital Objects</w:t>
        </w:r>
      </w:hyperlink>
      <w:r>
        <w:t xml:space="preserve">.</w:t>
      </w:r>
      <w:r>
        <w:t xml:space="preserve"> </w:t>
      </w:r>
      <w:hyperlink r:id="rId15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0" w:name="workflows"/>
      <w:r>
        <w:t xml:space="preserve">Bioinformatics workflows</w:t>
      </w:r>
      <w:bookmarkEnd w:id="160"/>
    </w:p>
    <w:p>
      <w:pPr>
        <w:pStyle w:val="FirstParagraph"/>
      </w:pPr>
    </w:p>
    <w:p>
      <w:pPr>
        <w:pStyle w:val="BodyText"/>
      </w:pPr>
      <w:hyperlink r:id="rId16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3" w:name="profile-for-describing-workflows"/>
      <w:r>
        <w:t xml:space="preserve">Profile for describing workflows</w:t>
      </w:r>
      <w:bookmarkEnd w:id="16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4">
        <w:r>
          <w:rPr>
            <w:rStyle w:val="Hyperlink"/>
          </w:rPr>
          <w:t xml:space="preserve">Computational Workflows</w:t>
        </w:r>
      </w:hyperlink>
      <w:r>
        <w:t xml:space="preserve">, which again informed the</w:t>
      </w:r>
      <w:r>
        <w:t xml:space="preserve"> </w:t>
      </w:r>
      <w:hyperlink r:id="rId16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6">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7" w:name="profile-for-recording-workflow-runs"/>
      <w:r>
        <w:t xml:space="preserve">Profile for recording workflow runs</w:t>
      </w:r>
      <w:bookmarkEnd w:id="16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68"/>
      </w:r>
    </w:p>
    <w:p>
      <w:pPr>
        <w:pStyle w:val="BodyText"/>
      </w:pPr>
      <w:r>
        <w:t xml:space="preserve">Simplifying from the CWLProv approach, the planned Workflow Run RO-Crate profile will use a high level</w:t>
      </w:r>
      <w:r>
        <w:t xml:space="preserve"> </w:t>
      </w:r>
      <w:hyperlink r:id="rId16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0">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1" w:name="profile-for-testing-workflows"/>
      <w:r>
        <w:t xml:space="preserve">Profile for testing workflows</w:t>
      </w:r>
      <w:bookmarkEnd w:id="17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1">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3" w:name="regulatorysciences"/>
      <w:r>
        <w:t xml:space="preserve">Regulatory Sciences</w:t>
      </w:r>
      <w:bookmarkEnd w:id="173"/>
    </w:p>
    <w:p>
      <w:pPr>
        <w:pStyle w:val="FirstParagraph"/>
      </w:pPr>
    </w:p>
    <w:p>
      <w:pPr>
        <w:pStyle w:val="BodyText"/>
      </w:pPr>
      <w:hyperlink r:id="rId17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7">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8">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79">
        <w:r>
          <w:rPr>
            <w:rStyle w:val="Hyperlink"/>
          </w:rPr>
          <w:t xml:space="preserve">Docker</w:t>
        </w:r>
      </w:hyperlink>
      <w:r>
        <w:t xml:space="preserve"> </w:t>
      </w:r>
      <w:r>
        <w:t xml:space="preserve">or</w:t>
      </w:r>
      <w:r>
        <w:t xml:space="preserve"> </w:t>
      </w:r>
      <w:hyperlink r:id="rId18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1"/>
                    <a:stretch>
                      <a:fillRect/>
                    </a:stretch>
                  </pic:blipFill>
                  <pic:spPr bwMode="auto">
                    <a:xfrm>
                      <a:off x="0" y="0"/>
                      <a:ext cx="5572125" cy="31337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3" w:name="culturalheritage"/>
      <w:r>
        <w:t xml:space="preserve">Digital Humanities: Cultural Heritage</w:t>
      </w:r>
      <w:bookmarkEnd w:id="183"/>
    </w:p>
    <w:p>
      <w:pPr>
        <w:pStyle w:val="FirstParagraph"/>
      </w:pPr>
    </w:p>
    <w:p>
      <w:pPr>
        <w:pStyle w:val="BodyText"/>
      </w:pPr>
      <w:r>
        <w:t xml:space="preserve">The Pacific And Regional Archive for Digital Sources in Endangered Cultures (</w:t>
      </w:r>
      <w:hyperlink r:id="rId184">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5">
        <w:r>
          <w:rPr>
            <w:rStyle w:val="Hyperlink"/>
          </w:rPr>
          <w:t xml:space="preserve">Modern PARADISEC demonstrator</w:t>
        </w:r>
      </w:hyperlink>
      <w:r>
        <w:t xml:space="preserve"> </w:t>
      </w:r>
      <w:r>
        <w:t xml:space="preserve">has been</w:t>
      </w:r>
      <w:r>
        <w:t xml:space="preserve"> </w:t>
      </w:r>
      <w:hyperlink r:id="rId186">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7">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8"/>
      </w:r>
    </w:p>
    <w:p>
      <w:pPr>
        <w:pStyle w:val="Heading2"/>
      </w:pPr>
      <w:bookmarkStart w:id="190" w:name="dmp"/>
      <w:r>
        <w:t xml:space="preserve">Machine-actionable Data Management Plans</w:t>
      </w:r>
      <w:bookmarkEnd w:id="19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1" w:name="institutionalrepos"/>
      <w:r>
        <w:t xml:space="preserve">Institutional data repositories – Harvard Data Commons</w:t>
      </w:r>
      <w:bookmarkEnd w:id="191"/>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2">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4">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5">
        <w:r>
          <w:rPr>
            <w:rStyle w:val="Hyperlink"/>
          </w:rPr>
          <w:t xml:space="preserve">Harvard Dataverse</w:t>
        </w:r>
      </w:hyperlink>
      <w:r>
        <w:t xml:space="preserve"> </w:t>
      </w:r>
      <w:r>
        <w:t xml:space="preserve">data repository.</w:t>
      </w:r>
      <w:r>
        <w:t xml:space="preserve"> </w:t>
      </w:r>
      <w:hyperlink r:id="rId196">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8"/>
                    <a:stretch>
                      <a:fillRect/>
                    </a:stretch>
                  </pic:blipFill>
                  <pic:spPr bwMode="auto">
                    <a:xfrm>
                      <a:off x="0" y="0"/>
                      <a:ext cx="5695950" cy="2028825"/>
                    </a:xfrm>
                    <a:prstGeom prst="rect">
                      <a:avLst/>
                    </a:prstGeom>
                    <a:noFill/>
                    <a:ln w="9525">
                      <a:noFill/>
                      <a:headEnd/>
                      <a:tailEnd/>
                    </a:ln>
                  </pic:spPr>
                </pic:pic>
              </a:graphicData>
            </a:graphic>
          </wp:inline>
        </w:drawing>
      </w:r>
      <w:bookmarkEnd w:id="19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0" w:name="relatedwork"/>
      <w:r>
        <w:t xml:space="preserve">Related Work</w:t>
      </w:r>
      <w:bookmarkEnd w:id="200"/>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1" w:name="X11a4f11c185d41e64cb348aa04093ec22c1f1fb"/>
      <w:r>
        <w:t xml:space="preserve">Bundling and Packaging Digital Research Artefacts</w:t>
      </w:r>
      <w:bookmarkEnd w:id="20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4" w:name="fair-digital-objects"/>
      <w:r>
        <w:t xml:space="preserve">FAIR Digital Objects</w:t>
      </w:r>
      <w:bookmarkEnd w:id="204"/>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6" w:name="packaging-workflows"/>
      <w:r>
        <w:t xml:space="preserve">Packaging Workflows</w:t>
      </w:r>
      <w:bookmarkEnd w:id="206"/>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7">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w:t>
      </w:r>
      <w:r>
        <w:t xml:space="preserve"> </w:t>
      </w:r>
      <w:hyperlink r:id="rId208">
        <w:r>
          <w:rPr>
            <w:rStyle w:val="Hyperlink"/>
          </w:rPr>
          <w:t xml:space="preserve">in BioConda alone</w:t>
        </w:r>
      </w:hyperlink>
      <w:r>
        <w:t xml:space="preserve">, and 10,000 containers</w:t>
      </w:r>
      <w:r>
        <w:t xml:space="preserve"> </w:t>
      </w:r>
      <w:hyperlink r:id="rId209">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0">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1"/>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2"/>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5">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58">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0">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8"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7">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5">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https://w3id.org/workflowhub/</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5">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7">
        <w:r>
          <w:rPr>
            <w:rStyle w:val="Hyperlink"/>
          </w:rPr>
          <w:t xml:space="preserve">https://zenodo.org/record/3381754</w:t>
        </w:r>
      </w:hyperlink>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7">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8"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6">
        <w:r>
          <w:rPr>
            <w:rStyle w:val="Hyperlink"/>
          </w:rPr>
          <w:t xml:space="preserve">https://www.persistent-identifier.nl/urn:nbn:nl:ui:18-14511</w:t>
        </w:r>
      </w:hyperlink>
      <w:r>
        <w:t xml:space="preserve"> </w:t>
      </w:r>
      <w:r>
        <w:br/>
      </w:r>
      <w:r>
        <w:t xml:space="preserve">DOI:</w:t>
      </w:r>
      <w:r>
        <w:t xml:space="preserve"> </w:t>
      </w:r>
      <w:hyperlink r:id="rId607">
        <w:r>
          <w:rPr>
            <w:rStyle w:val="Hyperlink"/>
          </w:rPr>
          <w:t xml:space="preserve">10.1007/s11042-009-0397-2</w:t>
        </w:r>
      </w:hyperlink>
    </w:p>
    <w:bookmarkEnd w:id="608"/>
    <w:bookmarkStart w:id="611"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9">
        <w:r>
          <w:rPr>
            <w:rStyle w:val="Hyperlink"/>
          </w:rPr>
          <w:t xml:space="preserve">https://data.agu.org/DataCitationCoP/2nd-workshop-data-citation</w:t>
        </w:r>
      </w:hyperlink>
      <w:r>
        <w:t xml:space="preserve"> </w:t>
      </w:r>
      <w:r>
        <w:br/>
      </w:r>
      <w:r>
        <w:t xml:space="preserve">DOI:</w:t>
      </w:r>
      <w:r>
        <w:t xml:space="preserve"> </w:t>
      </w:r>
      <w:hyperlink r:id="rId610">
        <w:r>
          <w:rPr>
            <w:rStyle w:val="Hyperlink"/>
          </w:rPr>
          <w:t xml:space="preserve">10.5281/zenodo.4916734</w:t>
        </w:r>
      </w:hyperlink>
    </w:p>
    <w:bookmarkEnd w:id="611"/>
    <w:bookmarkStart w:id="613"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2">
        <w:r>
          <w:rPr>
            <w:rStyle w:val="Hyperlink"/>
          </w:rPr>
          <w:t xml:space="preserve">10.5281/zenodo.4477164</w:t>
        </w:r>
      </w:hyperlink>
    </w:p>
    <w:bookmarkEnd w:id="613"/>
    <w:bookmarkStart w:id="615"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4">
        <w:r>
          <w:rPr>
            <w:rStyle w:val="Hyperlink"/>
          </w:rPr>
          <w:t xml:space="preserve">10.1087/20150211</w:t>
        </w:r>
      </w:hyperlink>
    </w:p>
    <w:bookmarkEnd w:id="615"/>
    <w:bookmarkStart w:id="617"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6">
        <w:r>
          <w:rPr>
            <w:rStyle w:val="Hyperlink"/>
          </w:rPr>
          <w:t xml:space="preserve">https://www.w3.org/TR/2014/REC-rdf11-concepts-20140225/</w:t>
        </w:r>
      </w:hyperlink>
    </w:p>
    <w:bookmarkEnd w:id="617"/>
    <w:bookmarkEnd w:id="61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2">
        <w:r>
          <w:rPr>
            <w:rStyle w:val="Hyperlink"/>
          </w:rPr>
          <w:t xml:space="preserve">https://github.com/ResearchObject/ro-crate/issues/82</w:t>
        </w:r>
      </w:hyperlink>
    </w:p>
  </w:footnote>
  <w:footnote w:id="133">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4">
        <w:r>
          <w:rPr>
            <w:rStyle w:val="Hyperlink"/>
          </w:rPr>
          <w:t xml:space="preserve">https://www.researchobject.org/2021-packaging-research-artefacts-with-ro-crate/listing1/</w:t>
        </w:r>
      </w:hyperlink>
    </w:p>
  </w:footnote>
  <w:footnote w:id="16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8">
    <w:p>
      <w:pPr>
        <w:pStyle w:val="FootnoteText"/>
      </w:pPr>
      <w:r>
        <w:rPr>
          <w:rStyle w:val="FootnoteReference"/>
        </w:rPr>
        <w:footnoteRef/>
      </w:r>
      <w:r>
        <w:t xml:space="preserve"> </w:t>
      </w:r>
      <w:r>
        <w:t xml:space="preserve">The Endings Project</w:t>
      </w:r>
      <w:r>
        <w:t xml:space="preserve"> </w:t>
      </w:r>
      <w:hyperlink r:id="rId18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1">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2">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38">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8" Target="media/rId19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1" Target="media/rId181.svg" /><Relationship Type="http://schemas.openxmlformats.org/officeDocument/2006/relationships/image" Id="rId93" Target="media/rId93.svg" /><Relationship Type="http://schemas.openxmlformats.org/officeDocument/2006/relationships/image" Id="rId112" Target="media/rId112.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f1b1e13696a32099b9a5be2de791607dbb1f9da"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f1b1e13696a32099b9a5be2de791607dbb1f9da/"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1"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2" Target="http://www.openarchives.org/ore/1.0/primer" TargetMode="External" /><Relationship Type="http://schemas.openxmlformats.org/officeDocument/2006/relationships/hyperlink" Id="rId121"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0"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208" Target="https://anaconda.org/bioconda/" TargetMode="External" /><Relationship Type="http://schemas.openxmlformats.org/officeDocument/2006/relationships/hyperlink" Id="rId192" Target="https://ardc.edu.au" TargetMode="External" /><Relationship Type="http://schemas.openxmlformats.org/officeDocument/2006/relationships/hyperlink" Id="rId186"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7" Target="https://biocompute-objects.github.io/bco-ro-crate/" TargetMode="External" /><Relationship Type="http://schemas.openxmlformats.org/officeDocument/2006/relationships/hyperlink" Id="rId174" Target="https://biocomputeobject.org/" TargetMode="External" /><Relationship Type="http://schemas.openxmlformats.org/officeDocument/2006/relationships/hyperlink" Id="rId20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hackathon-europe.org/" TargetMode="External" /><Relationship Type="http://schemas.openxmlformats.org/officeDocument/2006/relationships/hyperlink" Id="rId164" Target="https://bioschemas.org/profiles/ComputationalWorkflow/1.0-RELEASE/" TargetMode="External" /><Relationship Type="http://schemas.openxmlformats.org/officeDocument/2006/relationships/hyperlink" Id="rId150"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6" Target="https://criminalcharacters.com/" TargetMode="External" /><Relationship Type="http://schemas.openxmlformats.org/officeDocument/2006/relationships/hyperlink" Id="rId149" Target="https://cs3mesh4eosc.eu/" TargetMode="External" /><Relationship Type="http://schemas.openxmlformats.org/officeDocument/2006/relationships/hyperlink" Id="rId197" Target="https://dash.harvard.edu/" TargetMode="External" /><Relationship Type="http://schemas.openxmlformats.org/officeDocument/2006/relationships/hyperlink" Id="rId609"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5" Target="https://dataverse.harvard.edu/" TargetMode="External" /><Relationship Type="http://schemas.openxmlformats.org/officeDocument/2006/relationships/hyperlink" Id="rId196"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0"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7"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4"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477" Target="https://doi.org/10.1109/eScience.2012.6404482" TargetMode="External" /><Relationship Type="http://schemas.openxmlformats.org/officeDocument/2006/relationships/hyperlink" Id="rId558"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2"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10"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2" Target="https://elixir-europe.org/" TargetMode="External" /><Relationship Type="http://schemas.openxmlformats.org/officeDocument/2006/relationships/hyperlink" Id="rId189" Target="https://endings.uvic.ca/" TargetMode="External" /><Relationship Type="http://schemas.openxmlformats.org/officeDocument/2006/relationships/hyperlink" Id="rId147"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5" Target="https://fairdigitalobjectframework.org/" TargetMode="External" /><Relationship Type="http://schemas.openxmlformats.org/officeDocument/2006/relationships/hyperlink" Id="rId158" Target="https://fairdo.org/" TargetMode="External" /><Relationship Type="http://schemas.openxmlformats.org/officeDocument/2006/relationships/hyperlink" Id="rId148"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0" Target="https://github.com/DiSSCo/SDR" TargetMode="External" /><Relationship Type="http://schemas.openxmlformats.org/officeDocument/2006/relationships/hyperlink" Id="rId207"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59" Target="https://github.com/ResearchObject/ro-crate/issues/153" TargetMode="External" /><Relationship Type="http://schemas.openxmlformats.org/officeDocument/2006/relationships/hyperlink" Id="rId118" Target="https://github.com/ResearchObject/ro-crate/issues/71" TargetMode="External" /><Relationship Type="http://schemas.openxmlformats.org/officeDocument/2006/relationships/hyperlink" Id="rId132" Target="https://github.com/ResearchObject/ro-crate/issues/82" TargetMode="External" /><Relationship Type="http://schemas.openxmlformats.org/officeDocument/2006/relationships/hyperlink" Id="rId123"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cf1b1e13696a32099b9a5be2de791607dbb1f9da"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28" Target="https://json-ld.org/" TargetMode="External" /><Relationship Type="http://schemas.openxmlformats.org/officeDocument/2006/relationships/hyperlink" Id="rId106" Target="https://json-ld.org/#developers" TargetMode="External" /><Relationship Type="http://schemas.openxmlformats.org/officeDocument/2006/relationships/hyperlink" Id="rId136" Target="https://json-ld.org/spec/REC/json-ld/20140116/#compacted-document-form" TargetMode="External" /><Relationship Type="http://schemas.openxmlformats.org/officeDocument/2006/relationships/hyperlink" Id="rId172" Target="https://lifemonitor.eu/workflow_testing_ro_crate" TargetMode="External" /><Relationship Type="http://schemas.openxmlformats.org/officeDocument/2006/relationships/hyperlink" Id="rId18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7" Target="https://ocfl.io/1.0/spec/" TargetMode="External" /><Relationship Type="http://schemas.openxmlformats.org/officeDocument/2006/relationships/hyperlink" Id="rId17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6"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6" Target="https://schema.org/" TargetMode="External" /><Relationship Type="http://schemas.openxmlformats.org/officeDocument/2006/relationships/hyperlink" Id="rId142"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cf1b1e13696a32099b9a5be2de791607dbb1f9da/"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3"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5" Target="https://w3id.org/ro/crate/1.1" TargetMode="External" /><Relationship Type="http://schemas.openxmlformats.org/officeDocument/2006/relationships/hyperlink" Id="rId140"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396" Target="https://w3id.org/workflowhub/" TargetMode="External" /><Relationship Type="http://schemas.openxmlformats.org/officeDocument/2006/relationships/hyperlink" Id="rId126" Target="https://w3id.org/workflowhub/workflow-ro-crate/" TargetMode="External" /><Relationship Type="http://schemas.openxmlformats.org/officeDocument/2006/relationships/hyperlink" Id="rId166" Target="https://w3id.org/workflowhub/workflow-ro-crate/1.0" TargetMode="External" /><Relationship Type="http://schemas.openxmlformats.org/officeDocument/2006/relationships/hyperlink" Id="rId161"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79" Target="https://www.docker.com/" TargetMode="External" /><Relationship Type="http://schemas.openxmlformats.org/officeDocument/2006/relationships/hyperlink" Id="rId210"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4" Target="https://www.paradisec.org.au/" TargetMode="External" /><Relationship Type="http://schemas.openxmlformats.org/officeDocument/2006/relationships/hyperlink" Id="rId606" Target="https://www.persistent-identifier.nl/urn:nbn:nl:ui:18-14511" TargetMode="External" /><Relationship Type="http://schemas.openxmlformats.org/officeDocument/2006/relationships/hyperlink" Id="rId194"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134" Target="https://www.researchobject.org/2021-packaging-research-artefacts-with-ro-crate/listing1/" TargetMode="External" /><Relationship Type="http://schemas.openxmlformats.org/officeDocument/2006/relationships/hyperlink" Id="rId178" Target="https://www.researchobject.org/ro-crate/1.1/appendix/implementation-notes.html#adding-ro-crate-to-bagit" TargetMode="External" /><Relationship Type="http://schemas.openxmlformats.org/officeDocument/2006/relationships/hyperlink" Id="rId130" Target="https://www.researchobject.org/ro-crate/1.1/appendix/jsonld.html" TargetMode="External" /><Relationship Type="http://schemas.openxmlformats.org/officeDocument/2006/relationships/hyperlink" Id="rId122" Target="https://www.researchobject.org/ro-crate/1.1/appendix/jsonld.html#adding-new-or-ad-hoc-vocabulary-terms" TargetMode="External" /><Relationship Type="http://schemas.openxmlformats.org/officeDocument/2006/relationships/hyperlink" Id="rId138" Target="https://www.researchobject.org/ro-crate/1.1/appendix/jsonld.html#describing-entities-in-json-ld" TargetMode="External" /><Relationship Type="http://schemas.openxmlformats.org/officeDocument/2006/relationships/hyperlink" Id="rId111"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0" Target="https://www.researchobject.org/ro-crate/1.1/contextual-entities.html#contextual-vs-data-entities" TargetMode="External" /><Relationship Type="http://schemas.openxmlformats.org/officeDocument/2006/relationships/hyperlink" Id="rId169"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5" Target="https://www.researchobject.org/ro-crate/1.1/workflows.html" TargetMode="External" /><Relationship Type="http://schemas.openxmlformats.org/officeDocument/2006/relationships/hyperlink" Id="rId125" Target="https://www.researchobject.org/ro-crate/1.2-DRAFT/profiles"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5"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6" Target="https://www.w3.org/TR/2014/REC-rdf11-concepts-20140225/" TargetMode="External" /><Relationship Type="http://schemas.openxmlformats.org/officeDocument/2006/relationships/hyperlink" Id="rId137"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19" Target="https://www.w3.org/TR/swbp-vocab-pub/" TargetMode="External" /><Relationship Type="http://schemas.openxmlformats.org/officeDocument/2006/relationships/hyperlink" Id="rId557"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2021-11-30T14:05:06Z</dcterms:created>
  <dcterms:modified xsi:type="dcterms:W3CDTF">2021-11-30T14:05:06Z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