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Supplementary material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Table S1.</w:t>
      </w:r>
      <w:r>
        <w:rPr>
          <w:rFonts w:cs="Times New Roman" w:ascii="Times New Roman" w:hAnsi="Times New Roman"/>
          <w:sz w:val="24"/>
          <w:szCs w:val="24"/>
        </w:rPr>
        <w:t xml:space="preserve"> International Classification of Diseases,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Revision diagnosis codes used in selection of traumatic brain injury events and description of injury-related characteristics from NSW Department of Health hospitalisation data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ListTable1Light1"/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3"/>
        <w:gridCol w:w="6104"/>
      </w:tblGrid>
      <w:tr>
        <w:trPr>
          <w:trHeight w:val="4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4" w:space="0" w:color="66666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>ICD-10 Codes</w:t>
            </w:r>
          </w:p>
        </w:tc>
        <w:tc>
          <w:tcPr>
            <w:tcW w:w="6104" w:type="dxa"/>
            <w:tcBorders>
              <w:top w:val="single" w:sz="4" w:space="0" w:color="000000"/>
              <w:bottom w:val="single" w:sz="4" w:space="0" w:color="66666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0CECE" w:themeFill="background2" w:themeFillShade="e6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>Selection criteria</w:t>
            </w:r>
          </w:p>
        </w:tc>
        <w:tc>
          <w:tcPr>
            <w:tcW w:w="6104" w:type="dxa"/>
            <w:tcBorders/>
            <w:shd w:color="auto" w:fill="D0CECE" w:themeFill="background2" w:themeFillShade="e6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 xml:space="preserve">TBI diagnosis codes #1 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  <w:lang w:val="de-DE" w:eastAsia="de-DE"/>
              </w:rPr>
              <w:t>Skull fracture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de-DE" w:eastAsia="de-DE"/>
              </w:rPr>
              <w:t>S02.0- S02.1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Fracture of vault or base of the skull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de-DE" w:eastAsia="de-DE"/>
              </w:rPr>
              <w:t>S02.7- S02.9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Fractures of skull and facial bones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of other or unspecified nature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  <w:lang w:val="de-DE" w:eastAsia="de-DE"/>
              </w:rPr>
              <w:t>Intracranial injury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val="de-DE" w:eastAsia="de-DE"/>
              </w:rPr>
              <w:t>S06.00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Concussion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S06.1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de-DE"/>
              </w:rPr>
              <w:t>Traumatic cerebral oedema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S06.20-S06.28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 xml:space="preserve">Diffuse cerebral/cerebellar contusions or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haematomas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S06.30- S06.38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Focal cerebral/cerebellar contusion or haematoma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S06.4- S06.6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 xml:space="preserve">Epidural/subarachnoid/subdural haemorrhage 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S06.8- S06.9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Intracranial injuries of other or unspecified nature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  <w:lang w:val="de-DE" w:eastAsia="de-DE"/>
              </w:rPr>
              <w:t>Crush injury of the head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S07.1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Crushing injury of skull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>TBI diagnosis codes #2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i/>
                <w:i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  <w:lang w:val="de-DE" w:eastAsia="de-DE"/>
              </w:rPr>
              <w:t>Loss of consciousness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S06.01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LoC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of unspecified duration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S06.02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LoC &lt; 30 min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S06.03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LoC 30 min to 24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S06.04-05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LoC &gt; 24 hours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0CECE" w:themeFill="background2" w:themeFillShade="e6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de-DE" w:eastAsia="de-DE"/>
              </w:rPr>
              <w:t xml:space="preserve">Injury-related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104" w:type="dxa"/>
            <w:tcBorders/>
            <w:shd w:color="auto" w:fill="D0CECE" w:themeFill="background2" w:themeFillShade="e6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Other TBI severity codes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F04.00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F04.01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F04.02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F04.03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PTA of unspecified duration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PTA &lt; 24 hours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PTA 24 hours to 2 weeks</w:t>
            </w:r>
          </w:p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PTA ≥ 2 weeks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External cause codes (E-Codes)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V01-V99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Transport accidents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W00-W19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Falls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X85-Y09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  <w:t>Assaults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W20-W64, X60-X84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accidents</w:t>
            </w:r>
          </w:p>
        </w:tc>
      </w:tr>
      <w:tr>
        <w:trPr>
          <w:trHeight w:val="2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trHeight w:val="233" w:hRule="atLeast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Associated factor codes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F11-F16, F18-F19, X40-4, X60-4, Z72.2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Drug use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F10.0-8, T51.0, T51.9, X45, X65, Y90.1-9, Z72.1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Alcohol use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eastAsia="Calibri" w:cs="Times New Roman"/>
                <w:b w:val="false"/>
                <w:b w:val="false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sz w:val="24"/>
                <w:szCs w:val="24"/>
                <w:lang w:eastAsia="en-AU"/>
              </w:rPr>
              <w:t>Y92.30-9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Sport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eastAsia="Calibri" w:cs="Times New Roman"/>
                <w:b w:val="false"/>
                <w:b w:val="false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sz w:val="24"/>
                <w:szCs w:val="24"/>
                <w:lang w:eastAsia="en-AU"/>
              </w:rPr>
              <w:t>U50-U72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Recreation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Associated injury codes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de-DE" w:eastAsia="de-D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S10-T14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de-DE"/>
              </w:rPr>
              <w:t>Other mechanical trauma</w:t>
            </w:r>
          </w:p>
        </w:tc>
      </w:tr>
      <w:tr>
        <w:trPr/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T80-88</w:t>
            </w:r>
          </w:p>
        </w:tc>
        <w:tc>
          <w:tcPr>
            <w:tcW w:w="61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0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de-DE"/>
              </w:rPr>
              <w:t>Complications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  <w:lang w:eastAsia="de-DE"/>
              </w:rPr>
              <w:t>T15-T79, T89</w:t>
            </w:r>
          </w:p>
        </w:tc>
        <w:tc>
          <w:tcPr>
            <w:tcW w:w="610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de-DE"/>
              </w:rPr>
              <w:t>Other injuries</w:t>
            </w:r>
          </w:p>
        </w:tc>
      </w:tr>
    </w:tbl>
    <w:p>
      <w:pPr>
        <w:pStyle w:val="Normal"/>
        <w:spacing w:lineRule="auto" w:line="360"/>
        <w:ind w:left="90" w:hanging="90"/>
        <w:rPr/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Table S2.</w:t>
      </w:r>
      <w:r>
        <w:rPr>
          <w:rFonts w:cs="Times New Roman" w:ascii="Times New Roman" w:hAnsi="Times New Roman"/>
          <w:sz w:val="24"/>
          <w:szCs w:val="24"/>
        </w:rPr>
        <w:t xml:space="preserve"> Associations between remoteness and socio-economic disadvantage in the NSW general population – 2006 Census (</w:t>
      </w:r>
      <w:r>
        <w:rPr>
          <w:rFonts w:cs="Times New Roman" w:ascii="Times New Roman" w:hAnsi="Times New Roman"/>
          <w:sz w:val="24"/>
          <w:szCs w:val="24"/>
          <w:lang w:eastAsia="en-AU"/>
        </w:rPr>
        <w:t>n=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en-AU"/>
        </w:rPr>
        <w:t>6,463,300</w:t>
      </w:r>
      <w:r>
        <w:rPr>
          <w:rFonts w:cs="Times New Roman" w:ascii="Times New Roman" w:hAnsi="Times New Roman"/>
          <w:sz w:val="24"/>
          <w:szCs w:val="24"/>
        </w:rPr>
        <w:t>) and TBI sample (</w:t>
      </w:r>
      <w:r>
        <w:rPr>
          <w:rFonts w:cs="Times New Roman" w:ascii="Times New Roman" w:hAnsi="Times New Roman"/>
          <w:sz w:val="24"/>
          <w:szCs w:val="24"/>
          <w:lang w:eastAsia="en-AU"/>
        </w:rPr>
        <w:t>n=6720</w:t>
      </w:r>
      <w:r>
        <w:rPr>
          <w:rFonts w:cs="Times New Roman" w:ascii="Times New Roman" w:hAnsi="Times New Roman"/>
          <w:sz w:val="24"/>
          <w:szCs w:val="24"/>
        </w:rPr>
        <w:t xml:space="preserve">) 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W w:w="129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0"/>
        <w:gridCol w:w="1710"/>
        <w:gridCol w:w="1709"/>
        <w:gridCol w:w="1440"/>
        <w:gridCol w:w="1621"/>
        <w:gridCol w:w="1632"/>
        <w:gridCol w:w="1132"/>
        <w:gridCol w:w="1061"/>
        <w:gridCol w:w="1123"/>
      </w:tblGrid>
      <w:tr>
        <w:trPr>
          <w:trHeight w:val="350" w:hRule="atLeast"/>
        </w:trPr>
        <w:tc>
          <w:tcPr>
            <w:tcW w:w="153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480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NSW 2006 Census</w:t>
            </w:r>
          </w:p>
        </w:tc>
        <w:tc>
          <w:tcPr>
            <w:tcW w:w="494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Hospitalised TBI 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480" w:type="dxa"/>
            <w:gridSpan w:val="4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(n=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6,463,300)*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948" w:type="dxa"/>
            <w:gridSpan w:val="4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(n=6720)*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Metro</w:t>
            </w:r>
          </w:p>
        </w:tc>
        <w:tc>
          <w:tcPr>
            <w:tcW w:w="17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44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Remote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632" w:type="dxa"/>
            <w:tcBorders>
              <w:lef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Metro</w:t>
            </w:r>
          </w:p>
        </w:tc>
        <w:tc>
          <w:tcPr>
            <w:tcW w:w="1132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061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Remote</w:t>
            </w:r>
          </w:p>
        </w:tc>
        <w:tc>
          <w:tcPr>
            <w:tcW w:w="1123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061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12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Low disadvantage</w:t>
            </w:r>
          </w:p>
        </w:tc>
        <w:tc>
          <w:tcPr>
            <w:tcW w:w="17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2014733 (31.2)</w:t>
            </w:r>
          </w:p>
        </w:tc>
        <w:tc>
          <w:tcPr>
            <w:tcW w:w="17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126476 (2)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399 (0.01)</w:t>
            </w:r>
          </w:p>
        </w:tc>
        <w:tc>
          <w:tcPr>
            <w:tcW w:w="1621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2141608 (33.1)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1862 (27.7)</w:t>
            </w:r>
          </w:p>
        </w:tc>
        <w:tc>
          <w:tcPr>
            <w:tcW w:w="113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 (1.1)</w:t>
            </w:r>
          </w:p>
        </w:tc>
        <w:tc>
          <w:tcPr>
            <w:tcW w:w="10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 (0)</w:t>
            </w:r>
          </w:p>
        </w:tc>
        <w:tc>
          <w:tcPr>
            <w:tcW w:w="112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2171 (33.1)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Moderate disadvantage</w:t>
            </w:r>
          </w:p>
        </w:tc>
        <w:tc>
          <w:tcPr>
            <w:tcW w:w="1710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1639838 (25.4)</w:t>
            </w:r>
          </w:p>
        </w:tc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790711 (12.2)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6743 (0.1)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2437292 (37.7)</w:t>
            </w:r>
          </w:p>
        </w:tc>
        <w:tc>
          <w:tcPr>
            <w:tcW w:w="163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1563 (23.3)</w:t>
            </w:r>
          </w:p>
        </w:tc>
        <w:tc>
          <w:tcPr>
            <w:tcW w:w="113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1028 (15.3)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 (0.3)</w:t>
            </w:r>
          </w:p>
        </w:tc>
        <w:tc>
          <w:tcPr>
            <w:tcW w:w="11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2613 (37.7)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disadvantage</w:t>
            </w:r>
          </w:p>
        </w:tc>
        <w:tc>
          <w:tcPr>
            <w:tcW w:w="1710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1066361 (16.5)</w:t>
            </w:r>
          </w:p>
        </w:tc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789877 (12.2)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28162 (0.4)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1884400 (29.2)</w:t>
            </w:r>
          </w:p>
        </w:tc>
        <w:tc>
          <w:tcPr>
            <w:tcW w:w="163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1056 (15.7)</w:t>
            </w:r>
          </w:p>
        </w:tc>
        <w:tc>
          <w:tcPr>
            <w:tcW w:w="113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1021 (15.2)</w:t>
            </w:r>
          </w:p>
        </w:tc>
        <w:tc>
          <w:tcPr>
            <w:tcW w:w="106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94 (1.4)</w:t>
            </w:r>
          </w:p>
        </w:tc>
        <w:tc>
          <w:tcPr>
            <w:tcW w:w="112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1936 (29.2)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4720932 (73.1)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1707064 (26.4)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35304 (0.5)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6463300 (100)</w:t>
            </w:r>
          </w:p>
        </w:tc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4481 (66.7)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2123 (31.6)</w:t>
            </w:r>
          </w:p>
        </w:tc>
        <w:tc>
          <w:tcPr>
            <w:tcW w:w="10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116 (1.7)</w:t>
            </w:r>
          </w:p>
        </w:tc>
        <w:tc>
          <w:tcPr>
            <w:tcW w:w="1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6720 (100)</w:t>
            </w:r>
          </w:p>
        </w:tc>
      </w:tr>
    </w:tbl>
    <w:p>
      <w:pPr>
        <w:pStyle w:val="Normal"/>
        <w:spacing w:lineRule="auto" w:line="240" w:before="0" w:after="0"/>
        <w:ind w:left="90" w:hanging="9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*Subsamples based on available </w:t>
      </w:r>
      <w:r>
        <w:rPr>
          <w:rFonts w:cs="Times New Roman" w:ascii="Times New Roman" w:hAnsi="Times New Roman"/>
          <w:sz w:val="24"/>
          <w:szCs w:val="24"/>
          <w:lang w:eastAsia="en-AU"/>
        </w:rPr>
        <w:t>residential postcodes and ABS scores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Table S3. </w:t>
      </w:r>
      <w:r>
        <w:rPr>
          <w:rFonts w:cs="Times New Roman" w:ascii="Times New Roman" w:hAnsi="Times New Roman"/>
          <w:sz w:val="24"/>
          <w:szCs w:val="24"/>
        </w:rPr>
        <w:t>Associations between remoteness and socio-economic disadvantage in the NSW Aboriginal and Torres Strait Islander population – 2006 Census (</w:t>
      </w:r>
      <w:r>
        <w:rPr>
          <w:rFonts w:cs="Times New Roman" w:ascii="Times New Roman" w:hAnsi="Times New Roman"/>
          <w:sz w:val="24"/>
          <w:szCs w:val="24"/>
          <w:lang w:eastAsia="en-AU"/>
        </w:rPr>
        <w:t>n=</w:t>
      </w:r>
      <w:r>
        <w:rPr>
          <w:rFonts w:cs="Times New Roman" w:ascii="Times New Roman" w:hAnsi="Times New Roman"/>
          <w:sz w:val="24"/>
          <w:szCs w:val="24"/>
        </w:rPr>
        <w:t xml:space="preserve"> 135,299) and TBI Aboriginal and Torres Strait Islander subsample (</w:t>
      </w:r>
      <w:r>
        <w:rPr>
          <w:rFonts w:cs="Times New Roman" w:ascii="Times New Roman" w:hAnsi="Times New Roman"/>
          <w:sz w:val="24"/>
          <w:szCs w:val="24"/>
          <w:lang w:eastAsia="en-AU"/>
        </w:rPr>
        <w:t>n=</w:t>
      </w:r>
      <w:r>
        <w:rPr>
          <w:rFonts w:cs="Times New Roman" w:ascii="Times New Roman" w:hAnsi="Times New Roman"/>
          <w:sz w:val="24"/>
          <w:szCs w:val="24"/>
        </w:rPr>
        <w:t xml:space="preserve">255) 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29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0"/>
        <w:gridCol w:w="1710"/>
        <w:gridCol w:w="1709"/>
        <w:gridCol w:w="1440"/>
        <w:gridCol w:w="1620"/>
        <w:gridCol w:w="1260"/>
        <w:gridCol w:w="1261"/>
        <w:gridCol w:w="1171"/>
        <w:gridCol w:w="1258"/>
      </w:tblGrid>
      <w:tr>
        <w:trPr>
          <w:trHeight w:val="350" w:hRule="atLeast"/>
        </w:trPr>
        <w:tc>
          <w:tcPr>
            <w:tcW w:w="153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479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NSW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Aboriginal and Torres Strait Islander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2006 Census </w:t>
            </w:r>
          </w:p>
        </w:tc>
        <w:tc>
          <w:tcPr>
            <w:tcW w:w="49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TBI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Aboriginal and Torres Strait Islander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479" w:type="dxa"/>
            <w:gridSpan w:val="4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(n=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135,299)*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950" w:type="dxa"/>
            <w:gridSpan w:val="4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(n=255)*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Metro</w:t>
            </w:r>
          </w:p>
        </w:tc>
        <w:tc>
          <w:tcPr>
            <w:tcW w:w="17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44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Remote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lef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Metro</w:t>
            </w:r>
          </w:p>
        </w:tc>
        <w:tc>
          <w:tcPr>
            <w:tcW w:w="1261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Rural</w:t>
            </w:r>
          </w:p>
        </w:tc>
        <w:tc>
          <w:tcPr>
            <w:tcW w:w="1171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Remote</w:t>
            </w:r>
          </w:p>
        </w:tc>
        <w:tc>
          <w:tcPr>
            <w:tcW w:w="1258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eastAsia="en-AU"/>
              </w:rPr>
              <w:t>N (%)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Low disadvantage</w:t>
            </w:r>
          </w:p>
        </w:tc>
        <w:tc>
          <w:tcPr>
            <w:tcW w:w="17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10658 (7.9)</w:t>
            </w:r>
          </w:p>
        </w:tc>
        <w:tc>
          <w:tcPr>
            <w:tcW w:w="170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1570 (1.2)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110 (0.1)</w:t>
            </w:r>
          </w:p>
        </w:tc>
        <w:tc>
          <w:tcPr>
            <w:tcW w:w="162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12338 (9.1)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 (3.9)</w:t>
            </w:r>
          </w:p>
        </w:tc>
        <w:tc>
          <w:tcPr>
            <w:tcW w:w="12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 (0)</w:t>
            </w:r>
          </w:p>
        </w:tc>
        <w:tc>
          <w:tcPr>
            <w:tcW w:w="117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 (0)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 (3.9)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Moderate disadvantage</w:t>
            </w:r>
          </w:p>
        </w:tc>
        <w:tc>
          <w:tcPr>
            <w:tcW w:w="1710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27043 (20)</w:t>
            </w:r>
          </w:p>
        </w:tc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27829 (20.6)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681 (0.5)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55553 (41.1)</w:t>
            </w:r>
          </w:p>
        </w:tc>
        <w:tc>
          <w:tcPr>
            <w:tcW w:w="126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 (17.3)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 (19.6)</w:t>
            </w:r>
          </w:p>
        </w:tc>
        <w:tc>
          <w:tcPr>
            <w:tcW w:w="117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 (1.2)</w:t>
            </w:r>
          </w:p>
        </w:tc>
        <w:tc>
          <w:tcPr>
            <w:tcW w:w="12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97 (38)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disadvantage</w:t>
            </w:r>
          </w:p>
        </w:tc>
        <w:tc>
          <w:tcPr>
            <w:tcW w:w="1710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20543 (15.2)</w:t>
            </w:r>
          </w:p>
        </w:tc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40757 (30.1)</w:t>
            </w:r>
          </w:p>
        </w:tc>
        <w:tc>
          <w:tcPr>
            <w:tcW w:w="14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6108 (4.5)</w:t>
            </w:r>
          </w:p>
        </w:tc>
        <w:tc>
          <w:tcPr>
            <w:tcW w:w="162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67408 (49.8)</w:t>
            </w:r>
          </w:p>
        </w:tc>
        <w:tc>
          <w:tcPr>
            <w:tcW w:w="126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 (11)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95 (37.3)</w:t>
            </w:r>
          </w:p>
        </w:tc>
        <w:tc>
          <w:tcPr>
            <w:tcW w:w="117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 (9.8)</w:t>
            </w:r>
          </w:p>
        </w:tc>
        <w:tc>
          <w:tcPr>
            <w:tcW w:w="12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148 (58)</w:t>
            </w:r>
          </w:p>
        </w:tc>
      </w:tr>
      <w:tr>
        <w:trPr>
          <w:trHeight w:val="300" w:hRule="atLeast"/>
        </w:trPr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58244 (43)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70156 (51.9)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6899 (5.1)</w:t>
            </w: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135299 (100)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82 (32.2)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145 (56.9)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 (11)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255 (100)</w:t>
            </w:r>
          </w:p>
        </w:tc>
      </w:tr>
    </w:tbl>
    <w:p>
      <w:pPr>
        <w:pStyle w:val="Normal"/>
        <w:spacing w:lineRule="auto" w:line="240" w:before="0" w:after="0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*Subsamples based on available </w:t>
      </w:r>
      <w:r>
        <w:rPr>
          <w:rFonts w:cs="Times New Roman" w:ascii="Times New Roman" w:hAnsi="Times New Roman"/>
          <w:sz w:val="24"/>
          <w:szCs w:val="24"/>
          <w:lang w:eastAsia="en-AU"/>
        </w:rPr>
        <w:t>residential postcodes and ABS scores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0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i/>
          <w:sz w:val="24"/>
          <w:szCs w:val="24"/>
        </w:rPr>
        <w:t>Table S4.</w:t>
      </w:r>
      <w:r>
        <w:rPr>
          <w:rFonts w:cs="Times New Roman" w:ascii="Times New Roman" w:hAnsi="Times New Roman"/>
          <w:sz w:val="24"/>
          <w:szCs w:val="24"/>
        </w:rPr>
        <w:t xml:space="preserve"> Substance use by seasonality in first-time hospitalised TBI in NSW (n=6827) </w:t>
      </w:r>
    </w:p>
    <w:tbl>
      <w:tblPr>
        <w:tblW w:w="33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0"/>
        <w:gridCol w:w="1569"/>
      </w:tblGrid>
      <w:tr>
        <w:trPr>
          <w:tblHeader w:val="true"/>
          <w:trHeight w:val="350" w:hRule="atLeast"/>
        </w:trPr>
        <w:tc>
          <w:tcPr>
            <w:tcW w:w="17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Substance use</w:t>
            </w:r>
          </w:p>
        </w:tc>
      </w:tr>
      <w:tr>
        <w:trPr>
          <w:tblHeader w:val="true"/>
          <w:trHeight w:val="260" w:hRule="atLeast"/>
        </w:trPr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(n=1269)</w:t>
            </w:r>
          </w:p>
        </w:tc>
      </w:tr>
      <w:tr>
        <w:trPr>
          <w:tblHeader w:val="true"/>
          <w:trHeight w:val="108" w:hRule="atLeast"/>
        </w:trPr>
        <w:tc>
          <w:tcPr>
            <w:tcW w:w="17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en-AU"/>
              </w:rPr>
              <w:t>N (%)</w:t>
            </w:r>
          </w:p>
        </w:tc>
      </w:tr>
      <w:tr>
        <w:trPr/>
        <w:tc>
          <w:tcPr>
            <w:tcW w:w="175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Day of injury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Monday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145 (11.4)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Tuesday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101 (8)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Wednesday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114 (9)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Thursday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145 (11.4)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Friday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199 (15.7)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Saturday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306 (24.1)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Sunday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259 (20.4)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Month of injury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Dec-Feb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328 (25.8)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March-May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331 (26.1)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June-August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281 (22.1)</w:t>
            </w:r>
          </w:p>
        </w:tc>
      </w:tr>
      <w:tr>
        <w:trPr/>
        <w:tc>
          <w:tcPr>
            <w:tcW w:w="175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142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  <w:t>Sept-Nov</w:t>
            </w:r>
          </w:p>
        </w:tc>
        <w:tc>
          <w:tcPr>
            <w:tcW w:w="15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329 (25.9)</w:t>
            </w:r>
          </w:p>
        </w:tc>
      </w:tr>
      <w:tr>
        <w:trPr/>
        <w:tc>
          <w:tcPr>
            <w:tcW w:w="175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hanging="18"/>
              <w:rPr>
                <w:rFonts w:ascii="Times New Roman" w:hAnsi="Times New Roman" w:eastAsia="Calibri" w:cs="Times New Roman"/>
                <w:sz w:val="24"/>
                <w:szCs w:val="24"/>
                <w:lang w:eastAsia="en-A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AU"/>
              </w:rPr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90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3189388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</w:rPr>
          <w:t xml:space="preserve"> </w:t>
        </w: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5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466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cb4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b4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570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6ed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4930"/>
    <w:pPr>
      <w:keepNext w:val="true"/>
      <w:keepLines/>
      <w:spacing w:before="4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0cb4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0cb4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62570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62570"/>
    <w:rPr>
      <w:rFonts w:eastAsia="ＭＳ 明朝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d8799b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f1ed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4f1ed0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1416ed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6f0406"/>
    <w:rPr>
      <w:color w:val="0000FF"/>
      <w:u w:val="single"/>
    </w:rPr>
  </w:style>
  <w:style w:type="character" w:styleId="Authorname" w:customStyle="1">
    <w:name w:val="author-name"/>
    <w:basedOn w:val="DefaultParagraphFont"/>
    <w:qFormat/>
    <w:rsid w:val="00e65533"/>
    <w:rPr/>
  </w:style>
  <w:style w:type="character" w:styleId="Super" w:customStyle="1">
    <w:name w:val="super"/>
    <w:basedOn w:val="DefaultParagraphFont"/>
    <w:qFormat/>
    <w:rsid w:val="00c85c3e"/>
    <w:rPr/>
  </w:style>
  <w:style w:type="character" w:styleId="Printonly" w:customStyle="1">
    <w:name w:val="print-only"/>
    <w:basedOn w:val="DefaultParagraphFont"/>
    <w:qFormat/>
    <w:rsid w:val="00c85c3e"/>
    <w:rPr/>
  </w:style>
  <w:style w:type="character" w:styleId="BookTitle">
    <w:name w:val="Book Title"/>
    <w:basedOn w:val="DefaultParagraphFont"/>
    <w:uiPriority w:val="33"/>
    <w:qFormat/>
    <w:rsid w:val="009e62e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96c48"/>
    <w:rPr>
      <w:i/>
      <w:iCs/>
    </w:rPr>
  </w:style>
  <w:style w:type="character" w:styleId="EndNoteBibliographyTitleChar" w:customStyle="1">
    <w:name w:val="EndNote Bibliography Title Char"/>
    <w:basedOn w:val="DefaultParagraphFont"/>
    <w:link w:val="EndNoteBibliographyTitle"/>
    <w:qFormat/>
    <w:rsid w:val="00ab1100"/>
    <w:rPr>
      <w:rFonts w:ascii="Times New Roman" w:hAnsi="Times New Roman" w:cs="Times New Roman"/>
      <w:sz w:val="24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ab1100"/>
    <w:rPr>
      <w:rFonts w:ascii="Times New Roman" w:hAnsi="Times New Roman" w:cs="Times New Roman"/>
      <w:sz w:val="24"/>
    </w:rPr>
  </w:style>
  <w:style w:type="character" w:styleId="Annotationreference">
    <w:name w:val="annotation reference"/>
    <w:uiPriority w:val="99"/>
    <w:semiHidden/>
    <w:unhideWhenUsed/>
    <w:qFormat/>
    <w:rsid w:val="006a529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a5297"/>
    <w:rPr>
      <w:rFonts w:ascii="Calibri" w:hAnsi="Calibri" w:eastAsia="Calibri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5297"/>
    <w:rPr>
      <w:rFonts w:ascii="Segoe UI" w:hAnsi="Segoe UI" w:cs="Segoe UI"/>
      <w:sz w:val="18"/>
      <w:szCs w:val="18"/>
    </w:rPr>
  </w:style>
  <w:style w:type="character" w:styleId="Citationref" w:customStyle="1">
    <w:name w:val="citationref"/>
    <w:basedOn w:val="DefaultParagraphFont"/>
    <w:qFormat/>
    <w:rsid w:val="00be128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57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57c7"/>
    <w:rPr/>
  </w:style>
  <w:style w:type="character" w:styleId="Heading5Char" w:customStyle="1">
    <w:name w:val="Heading 5 Char"/>
    <w:basedOn w:val="DefaultParagraphFont"/>
    <w:link w:val="Heading5"/>
    <w:uiPriority w:val="9"/>
    <w:qFormat/>
    <w:rsid w:val="00044930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1eee"/>
    <w:rPr>
      <w:rFonts w:ascii="Calibri" w:hAnsi="Calibri" w:eastAsia="Calibri" w:cs="Times New Roman"/>
      <w:b/>
      <w:bCs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8739c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85ce3"/>
    <w:rPr>
      <w:color w:val="808080"/>
    </w:rPr>
  </w:style>
  <w:style w:type="character" w:styleId="Refjournal" w:customStyle="1">
    <w:name w:val="ref-journal"/>
    <w:basedOn w:val="DefaultParagraphFont"/>
    <w:qFormat/>
    <w:rsid w:val="006072c8"/>
    <w:rPr/>
  </w:style>
  <w:style w:type="character" w:styleId="Refvol" w:customStyle="1">
    <w:name w:val="ref-vol"/>
    <w:basedOn w:val="DefaultParagraphFont"/>
    <w:qFormat/>
    <w:rsid w:val="006072c8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b37585"/>
    <w:rPr>
      <w:rFonts w:ascii="Lucida Grande" w:hAnsi="Lucida Grande" w:cs="Lucida Gran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70"/>
    <w:pPr/>
    <w:rPr>
      <w:rFonts w:eastAsia="ＭＳ 明朝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1ed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f1e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ab1100"/>
    <w:pPr>
      <w:spacing w:before="0" w:after="0"/>
      <w:jc w:val="center"/>
    </w:pPr>
    <w:rPr>
      <w:rFonts w:ascii="Times New Roman" w:hAnsi="Times New Roman" w:cs="Times New Roman"/>
      <w:sz w:val="24"/>
    </w:rPr>
  </w:style>
  <w:style w:type="paragraph" w:styleId="EndNoteBibliography" w:customStyle="1">
    <w:name w:val="EndNote Bibliography"/>
    <w:basedOn w:val="Normal"/>
    <w:link w:val="EndNoteBibliographyChar"/>
    <w:qFormat/>
    <w:rsid w:val="00ab1100"/>
    <w:pPr>
      <w:spacing w:lineRule="auto" w:line="360"/>
    </w:pPr>
    <w:rPr>
      <w:rFonts w:ascii="Times New Roman" w:hAnsi="Times New Roman" w:cs="Times New Roman"/>
      <w:sz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a5297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529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" w:customStyle="1">
    <w:name w:val="para"/>
    <w:basedOn w:val="Normal"/>
    <w:qFormat/>
    <w:rsid w:val="00be12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535da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7f36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037f3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37f3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37f36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57c7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57c7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657c7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Oa1" w:customStyle="1">
    <w:name w:val="oa1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24" w:space="0" w:color="FFFFFF"/>
        <w:right w:val="single" w:sz="8" w:space="2" w:color="FFFFFF"/>
      </w:pBdr>
      <w:shd w:val="clear" w:color="auto" w:fill="5B9BD5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2" w:customStyle="1">
    <w:name w:val="oa2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24" w:space="0" w:color="FFFFFF"/>
        <w:right w:val="single" w:sz="8" w:space="2" w:color="FFFFFF"/>
      </w:pBdr>
      <w:shd w:val="clear" w:color="auto" w:fill="5B9BD5"/>
      <w:spacing w:lineRule="auto" w:line="240"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3" w:customStyle="1">
    <w:name w:val="oa3"/>
    <w:basedOn w:val="Normal"/>
    <w:qFormat/>
    <w:rsid w:val="00113c40"/>
    <w:pPr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4" w:customStyle="1">
    <w:name w:val="oa4"/>
    <w:basedOn w:val="Normal"/>
    <w:qFormat/>
    <w:rsid w:val="00113c40"/>
    <w:pPr>
      <w:pBdr>
        <w:top w:val="single" w:sz="24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5B9BD5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5" w:customStyle="1">
    <w:name w:val="oa5"/>
    <w:basedOn w:val="Normal"/>
    <w:qFormat/>
    <w:rsid w:val="00113c40"/>
    <w:pPr>
      <w:pBdr>
        <w:top w:val="single" w:sz="24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D2DEEF"/>
      <w:spacing w:lineRule="auto" w:line="240"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6" w:customStyle="1">
    <w:name w:val="oa6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5B9BD5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7" w:customStyle="1">
    <w:name w:val="oa7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EAEFF7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8" w:customStyle="1">
    <w:name w:val="oa8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EAEFF7"/>
      <w:spacing w:lineRule="auto" w:line="240" w:beforeAutospacing="1" w:afterAutospacing="1"/>
      <w:jc w:val="center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9" w:customStyle="1">
    <w:name w:val="oa9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D2DEEF"/>
      <w:spacing w:lineRule="auto" w:line="240" w:beforeAutospacing="1" w:afterAutospacing="1"/>
      <w:jc w:val="right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10" w:customStyle="1">
    <w:name w:val="oa10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EAEFF7"/>
      <w:spacing w:lineRule="auto" w:line="240" w:beforeAutospacing="1" w:afterAutospacing="1"/>
      <w:jc w:val="right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Oa11" w:customStyle="1">
    <w:name w:val="oa11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EAEFF7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Oa12" w:customStyle="1">
    <w:name w:val="oa12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D2DEEF"/>
      <w:spacing w:lineRule="auto" w:line="240" w:beforeAutospacing="1" w:afterAutospacing="1"/>
      <w:jc w:val="right"/>
      <w:textAlignment w:val="center"/>
    </w:pPr>
    <w:rPr>
      <w:rFonts w:ascii="Times New Roman" w:hAnsi="Times New Roman" w:eastAsia="Times New Roman" w:cs="Times New Roman"/>
      <w:sz w:val="24"/>
      <w:szCs w:val="24"/>
    </w:rPr>
  </w:style>
  <w:style w:type="paragraph" w:styleId="Oa13" w:customStyle="1">
    <w:name w:val="oa13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D2DEEF"/>
      <w:spacing w:lineRule="auto" w:line="240" w:beforeAutospacing="1" w:afterAutospacing="1"/>
      <w:jc w:val="right"/>
    </w:pPr>
    <w:rPr>
      <w:rFonts w:ascii="Times New Roman" w:hAnsi="Times New Roman" w:eastAsia="Times New Roman" w:cs="Times New Roman"/>
      <w:sz w:val="24"/>
      <w:szCs w:val="24"/>
    </w:rPr>
  </w:style>
  <w:style w:type="paragraph" w:styleId="Oa14" w:customStyle="1">
    <w:name w:val="oa14"/>
    <w:basedOn w:val="Normal"/>
    <w:qFormat/>
    <w:rsid w:val="00113c40"/>
    <w:pPr>
      <w:pBdr>
        <w:top w:val="single" w:sz="8" w:space="0" w:color="FFFFFF"/>
        <w:left w:val="single" w:sz="8" w:space="2" w:color="FFFFFF"/>
        <w:bottom w:val="single" w:sz="8" w:space="0" w:color="FFFFFF"/>
        <w:right w:val="single" w:sz="8" w:space="2" w:color="FFFFFF"/>
      </w:pBdr>
      <w:shd w:val="clear" w:color="auto" w:fill="EAEFF7"/>
      <w:spacing w:lineRule="auto" w:line="240" w:beforeAutospacing="1" w:afterAutospacing="1"/>
      <w:jc w:val="right"/>
    </w:pPr>
    <w:rPr>
      <w:rFonts w:ascii="Times New Roman" w:hAnsi="Times New Roman" w:eastAsia="Times New Roman" w:cs="Times New Roman"/>
      <w:sz w:val="24"/>
      <w:szCs w:val="24"/>
    </w:rPr>
  </w:style>
  <w:style w:type="paragraph" w:styleId="Oa15" w:customStyle="1">
    <w:name w:val="oa15"/>
    <w:basedOn w:val="Normal"/>
    <w:qFormat/>
    <w:rsid w:val="00f741b1"/>
    <w:pPr>
      <w:pBdr>
        <w:top w:val="single" w:sz="8" w:space="0" w:color="FFFFFF"/>
        <w:left w:val="single" w:sz="8" w:space="1" w:color="FFFFFF"/>
        <w:bottom w:val="single" w:sz="8" w:space="0" w:color="FFFFFF"/>
        <w:right w:val="single" w:sz="8" w:space="1" w:color="FFFFFF"/>
      </w:pBdr>
      <w:shd w:val="clear" w:color="auto" w:fill="D2DEEF"/>
      <w:spacing w:lineRule="auto" w:line="240" w:beforeAutospacing="1" w:afterAutospacing="1"/>
      <w:textAlignment w:val="top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7d381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11eee"/>
    <w:pPr>
      <w:spacing w:lineRule="auto" w:line="240" w:before="0" w:after="160"/>
    </w:pPr>
    <w:rPr>
      <w:rFonts w:ascii="Calibri" w:hAnsi="Calibri" w:eastAsia="Calibri" w:cs="" w:asciiTheme="minorHAnsi" w:cstheme="minorBidi" w:eastAsiaTheme="minorHAnsi" w:hAnsiTheme="minorHAnsi"/>
      <w:b/>
      <w:bCs/>
    </w:rPr>
  </w:style>
  <w:style w:type="paragraph" w:styleId="Revision">
    <w:name w:val="Revision"/>
    <w:uiPriority w:val="99"/>
    <w:semiHidden/>
    <w:qFormat/>
    <w:rsid w:val="008e5a2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37585"/>
    <w:pPr>
      <w:spacing w:lineRule="auto" w:line="240" w:before="0" w:after="0"/>
    </w:pPr>
    <w:rPr>
      <w:rFonts w:ascii="Lucida Grande" w:hAnsi="Lucida Grande" w:cs="Lucida Grande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essunelenco1" w:customStyle="1">
    <w:name w:val="Nessun elenco1"/>
    <w:uiPriority w:val="99"/>
    <w:semiHidden/>
    <w:unhideWhenUsed/>
    <w:qFormat/>
    <w:rsid w:val="007657c7"/>
  </w:style>
  <w:style w:type="numbering" w:styleId="NoList1" w:customStyle="1">
    <w:name w:val="No List1"/>
    <w:uiPriority w:val="99"/>
    <w:semiHidden/>
    <w:unhideWhenUsed/>
    <w:qFormat/>
    <w:rsid w:val="00925d5d"/>
  </w:style>
  <w:style w:type="numbering" w:styleId="Nessunelenco11" w:customStyle="1">
    <w:name w:val="Nessun elenco11"/>
    <w:uiPriority w:val="99"/>
    <w:semiHidden/>
    <w:unhideWhenUsed/>
    <w:qFormat/>
    <w:rsid w:val="00925d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57c7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7657c7"/>
    <w:pPr>
      <w:spacing w:after="0" w:line="240" w:lineRule="auto"/>
    </w:pPr>
    <w:rPr>
      <w:lang w:val="en-GB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925d5d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TableNormal"/>
    <w:uiPriority w:val="39"/>
    <w:rsid w:val="00925d5d"/>
    <w:pPr>
      <w:spacing w:after="0" w:line="240" w:lineRule="auto"/>
    </w:pPr>
    <w:rPr>
      <w:lang w:val="en-GB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1">
    <w:name w:val="Grid Table 1 Light1"/>
    <w:basedOn w:val="TableNormal"/>
    <w:uiPriority w:val="46"/>
    <w:rsid w:val="005f64c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ListTable1Light1">
    <w:name w:val="List Table 1 Light1"/>
    <w:basedOn w:val="TableNormal"/>
    <w:uiPriority w:val="46"/>
    <w:rsid w:val="00582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6BF9-A825-4CBB-878D-6FC1C9A3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9</Pages>
  <Words>560</Words>
  <Characters>3103</Characters>
  <CharactersWithSpaces>3473</CharactersWithSpaces>
  <Paragraphs>223</Paragraphs>
  <Company>NSCCH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2019-01-16T02:03:00Z</dcterms:created>
  <dc:creator>Ilaria Pozzato</dc:creator>
  <dc:description/>
  <dc:language>en-IE</dc:language>
  <cp:lastModifiedBy>Peta</cp:lastModifiedBy>
  <cp:lastPrinted>2017-03-06T02:59:00Z</cp:lastPrinted>
  <dcterms:modified xsi:type="dcterms:W3CDTF">2019-01-16T02:03:00Z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NSCCH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