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C3034" w14:textId="79F4B22A" w:rsidR="005212E9" w:rsidRPr="00147B9F" w:rsidRDefault="00F73CED" w:rsidP="00147B9F">
      <w:pPr>
        <w:spacing w:line="360" w:lineRule="auto"/>
        <w:rPr>
          <w:rFonts w:ascii="Times New Roman" w:hAnsi="Times New Roman" w:cs="Times New Roman"/>
          <w:sz w:val="24"/>
          <w:szCs w:val="24"/>
          <w:lang w:val="en-US"/>
        </w:rPr>
      </w:pPr>
      <w:r w:rsidRPr="00147B9F">
        <w:rPr>
          <w:rFonts w:ascii="Times New Roman" w:hAnsi="Times New Roman" w:cs="Times New Roman"/>
          <w:color w:val="172B4D"/>
          <w:sz w:val="24"/>
          <w:szCs w:val="24"/>
          <w:shd w:val="clear" w:color="auto" w:fill="FFFFFF"/>
        </w:rPr>
        <w:t>Understanding how germs cause disease is crucial for grasping the role of science in combating infections. Microbiology, which delves into how bacteria and other microorganisms cause illness, has significantly advanced our ability to defend against these threats. In the past, the idea that microbes could cause disease was controversial. However, pioneering work by scientists like Louis Pasteur and Robert Koch changed this perception. Pasteur's experiments showed that bacteria in the air could lead to spoilage and disease, debunking the notion of spontaneous generation. Koch furthered this by linking specific bacteria to specific diseases, such as Bacillus anthracis to anthrax and Mycobacterium tuberculosis to tuberculosis, through his established postulates.</w:t>
      </w:r>
      <w:r w:rsidRPr="00147B9F">
        <w:rPr>
          <w:rFonts w:ascii="Times New Roman" w:hAnsi="Times New Roman" w:cs="Times New Roman"/>
          <w:color w:val="172B4D"/>
          <w:sz w:val="24"/>
          <w:szCs w:val="24"/>
          <w:shd w:val="clear" w:color="auto" w:fill="FFFFFF"/>
        </w:rPr>
        <w:br/>
      </w:r>
      <w:r w:rsidRPr="00147B9F">
        <w:rPr>
          <w:rFonts w:ascii="Times New Roman" w:hAnsi="Times New Roman" w:cs="Times New Roman"/>
          <w:color w:val="172B4D"/>
          <w:sz w:val="24"/>
          <w:szCs w:val="24"/>
          <w:shd w:val="clear" w:color="auto" w:fill="FFFFFF"/>
        </w:rPr>
        <w:br/>
        <w:t>The systematic approach of scientific inquiry—observation, hypothesis formation, experimentation, and analysis—ensures thorough testing and validation of ideas. This method has been instrumental in identifying numerous bacterial infections, understanding their transmission, and determining how they cause disease. It has also driven the development of vaccines, antibiotics, and diagnostic tools, revolutionizing medicine. Alexander Fleming's discovery of penicillin, for instance, was a groundbreaking advancement based on meticulous observation.</w:t>
      </w:r>
      <w:r w:rsidRPr="00147B9F">
        <w:rPr>
          <w:rFonts w:ascii="Times New Roman" w:hAnsi="Times New Roman" w:cs="Times New Roman"/>
          <w:color w:val="172B4D"/>
          <w:sz w:val="24"/>
          <w:szCs w:val="24"/>
          <w:shd w:val="clear" w:color="auto" w:fill="FFFFFF"/>
        </w:rPr>
        <w:br/>
      </w:r>
      <w:r w:rsidRPr="00147B9F">
        <w:rPr>
          <w:rFonts w:ascii="Times New Roman" w:hAnsi="Times New Roman" w:cs="Times New Roman"/>
          <w:color w:val="172B4D"/>
          <w:sz w:val="24"/>
          <w:szCs w:val="24"/>
          <w:shd w:val="clear" w:color="auto" w:fill="FFFFFF"/>
        </w:rPr>
        <w:br/>
        <w:t>Ongoing research remains vital, particularly concerning antibiotic resistance and emerging bacterial infections. Modern technologies like genomics, proteomics, and bioinformatics have further illuminated bacterial pathophysiology and host-pathogen interactions. These tools help identify resistance genes, virulence factors, and potential drug and vaccine targets. The Human Microbiome Project has revealed intricate relationships between humans and their microbial communities, providing insights into the roles of bacteria in health and disease.</w:t>
      </w:r>
      <w:r w:rsidRPr="00147B9F">
        <w:rPr>
          <w:rFonts w:ascii="Times New Roman" w:hAnsi="Times New Roman" w:cs="Times New Roman"/>
          <w:color w:val="172B4D"/>
          <w:sz w:val="24"/>
          <w:szCs w:val="24"/>
          <w:shd w:val="clear" w:color="auto" w:fill="FFFFFF"/>
        </w:rPr>
        <w:br/>
      </w:r>
      <w:r w:rsidRPr="00147B9F">
        <w:rPr>
          <w:rFonts w:ascii="Times New Roman" w:hAnsi="Times New Roman" w:cs="Times New Roman"/>
          <w:color w:val="172B4D"/>
          <w:sz w:val="24"/>
          <w:szCs w:val="24"/>
          <w:shd w:val="clear" w:color="auto" w:fill="FFFFFF"/>
        </w:rPr>
        <w:br/>
        <w:t>Additionally, scientific advancements have led to the development of molecular diagnostic techniques like PCR, enabling rapid and accurate identification of bacterial pathogens. Whole-genome sequencing has also allowed scientists to track outbreaks and understand bacterial evolution and resistance patterns, which is crucial for public health responses.</w:t>
      </w:r>
      <w:r w:rsidRPr="00147B9F">
        <w:rPr>
          <w:rFonts w:ascii="Times New Roman" w:hAnsi="Times New Roman" w:cs="Times New Roman"/>
          <w:color w:val="172B4D"/>
          <w:sz w:val="24"/>
          <w:szCs w:val="24"/>
          <w:shd w:val="clear" w:color="auto" w:fill="FFFFFF"/>
        </w:rPr>
        <w:br/>
        <w:t>In summary, scientific research is essential for understanding bacterial diseases and drives the creation of new treatments and preventive measures, significantly improving global health.</w:t>
      </w:r>
    </w:p>
    <w:sectPr w:rsidR="005212E9" w:rsidRPr="00147B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AB"/>
    <w:rsid w:val="00147B9F"/>
    <w:rsid w:val="001C084C"/>
    <w:rsid w:val="005212E9"/>
    <w:rsid w:val="006A3941"/>
    <w:rsid w:val="00BB5E8E"/>
    <w:rsid w:val="00E84D5F"/>
    <w:rsid w:val="00F06CAB"/>
    <w:rsid w:val="00F73CE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6659"/>
  <w15:chartTrackingRefBased/>
  <w15:docId w15:val="{0427FBF8-A3D9-4137-82F5-9A6F41F1D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453265">
      <w:bodyDiv w:val="1"/>
      <w:marLeft w:val="0"/>
      <w:marRight w:val="0"/>
      <w:marTop w:val="0"/>
      <w:marBottom w:val="0"/>
      <w:divBdr>
        <w:top w:val="none" w:sz="0" w:space="0" w:color="auto"/>
        <w:left w:val="none" w:sz="0" w:space="0" w:color="auto"/>
        <w:bottom w:val="none" w:sz="0" w:space="0" w:color="auto"/>
        <w:right w:val="none" w:sz="0" w:space="0" w:color="auto"/>
      </w:divBdr>
    </w:div>
    <w:div w:id="362174529">
      <w:bodyDiv w:val="1"/>
      <w:marLeft w:val="0"/>
      <w:marRight w:val="0"/>
      <w:marTop w:val="0"/>
      <w:marBottom w:val="0"/>
      <w:divBdr>
        <w:top w:val="none" w:sz="0" w:space="0" w:color="auto"/>
        <w:left w:val="none" w:sz="0" w:space="0" w:color="auto"/>
        <w:bottom w:val="none" w:sz="0" w:space="0" w:color="auto"/>
        <w:right w:val="none" w:sz="0" w:space="0" w:color="auto"/>
      </w:divBdr>
    </w:div>
    <w:div w:id="976449264">
      <w:bodyDiv w:val="1"/>
      <w:marLeft w:val="0"/>
      <w:marRight w:val="0"/>
      <w:marTop w:val="0"/>
      <w:marBottom w:val="0"/>
      <w:divBdr>
        <w:top w:val="none" w:sz="0" w:space="0" w:color="auto"/>
        <w:left w:val="none" w:sz="0" w:space="0" w:color="auto"/>
        <w:bottom w:val="none" w:sz="0" w:space="0" w:color="auto"/>
        <w:right w:val="none" w:sz="0" w:space="0" w:color="auto"/>
      </w:divBdr>
    </w:div>
    <w:div w:id="1557545909">
      <w:bodyDiv w:val="1"/>
      <w:marLeft w:val="0"/>
      <w:marRight w:val="0"/>
      <w:marTop w:val="0"/>
      <w:marBottom w:val="0"/>
      <w:divBdr>
        <w:top w:val="none" w:sz="0" w:space="0" w:color="auto"/>
        <w:left w:val="none" w:sz="0" w:space="0" w:color="auto"/>
        <w:bottom w:val="none" w:sz="0" w:space="0" w:color="auto"/>
        <w:right w:val="none" w:sz="0" w:space="0" w:color="auto"/>
      </w:divBdr>
    </w:div>
    <w:div w:id="1712150465">
      <w:bodyDiv w:val="1"/>
      <w:marLeft w:val="0"/>
      <w:marRight w:val="0"/>
      <w:marTop w:val="0"/>
      <w:marBottom w:val="0"/>
      <w:divBdr>
        <w:top w:val="none" w:sz="0" w:space="0" w:color="auto"/>
        <w:left w:val="none" w:sz="0" w:space="0" w:color="auto"/>
        <w:bottom w:val="none" w:sz="0" w:space="0" w:color="auto"/>
        <w:right w:val="none" w:sz="0" w:space="0" w:color="auto"/>
      </w:divBdr>
    </w:div>
    <w:div w:id="182589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Guimba Command Center</dc:creator>
  <cp:keywords/>
  <dc:description/>
  <cp:lastModifiedBy>Guimba Command Center</cp:lastModifiedBy>
  <cp:revision>2</cp:revision>
  <dcterms:created xsi:type="dcterms:W3CDTF">2024-05-15T07:56:00Z</dcterms:created>
  <dcterms:modified xsi:type="dcterms:W3CDTF">2024-05-15T07:56:00Z</dcterms:modified>
</cp:coreProperties>
</file>