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b/>
          <w:color w:val="B43232"/>
          <w:sz w:val="26"/>
        </w:rPr>
        <w:t>VALLENTIN CLAIMS</w:t>
      </w:r>
    </w:p>
    <w:p>
      <w:pPr>
        <w:spacing w:after="1200"/>
      </w:pPr>
    </w:p>
    <w:p>
      <w:r>
        <w:rPr>
          <w:b/>
          <w:color w:val="3A616B"/>
          <w:sz w:val="22"/>
        </w:rPr>
        <w:t>BUSINESS DOCUMENTATION</w:t>
      </w:r>
    </w:p>
    <w:p>
      <w:pPr>
        <w:spacing w:after="80"/>
      </w:pPr>
      <w:r>
        <w:rPr>
          <w:b/>
          <w:color w:val="0C1416"/>
          <w:sz w:val="60"/>
        </w:rPr>
        <w:t>Vallentin Claims</w:t>
      </w:r>
    </w:p>
    <w:p>
      <w:pPr>
        <w:spacing w:after="1600"/>
      </w:pPr>
      <w:r>
        <w:rPr>
          <w:color w:val="3A616B"/>
          <w:sz w:val="26"/>
        </w:rPr>
        <w:t>Healthcare Complaint Management Platform</w:t>
      </w:r>
    </w:p>
    <w:tbl>
      <w:tblPr>
        <w:tblW w:type="auto" w:w="0"/>
        <w:tblLook w:firstColumn="1" w:firstRow="1" w:lastColumn="0" w:lastRow="0" w:noHBand="0" w:noVBand="1" w:val="04A0"/>
      </w:tblPr>
      <w:tblGrid>
        <w:gridCol w:w="4320"/>
        <w:gridCol w:w="4320"/>
      </w:tblGrid>
      <w:tr>
        <w:tc>
          <w:tcPr>
            <w:tcW w:type="dxa" w:w="2880"/>
          </w:tcPr>
          <w:p>
            <w:r>
              <w:rPr>
                <w:b/>
                <w:color w:val="7D1F1F"/>
                <w:sz w:val="20"/>
              </w:rPr>
              <w:t>Document</w:t>
            </w:r>
          </w:p>
        </w:tc>
        <w:tc>
          <w:tcPr>
            <w:tcW w:type="dxa" w:w="6480"/>
          </w:tcPr>
          <w:p>
            <w:r>
              <w:rPr>
                <w:sz w:val="20"/>
              </w:rPr>
              <w:t>Business Requirements &amp; Product Overview</w:t>
            </w:r>
          </w:p>
        </w:tc>
      </w:tr>
      <w:tr>
        <w:tc>
          <w:tcPr>
            <w:tcW w:type="dxa" w:w="2880"/>
          </w:tcPr>
          <w:p>
            <w:r>
              <w:rPr>
                <w:b/>
                <w:color w:val="7D1F1F"/>
                <w:sz w:val="20"/>
              </w:rPr>
              <w:t>Version</w:t>
            </w:r>
          </w:p>
        </w:tc>
        <w:tc>
          <w:tcPr>
            <w:tcW w:type="dxa" w:w="6480"/>
          </w:tcPr>
          <w:p>
            <w:r>
              <w:rPr>
                <w:sz w:val="20"/>
              </w:rPr>
              <w:t>1.0</w:t>
            </w:r>
          </w:p>
        </w:tc>
      </w:tr>
      <w:tr>
        <w:tc>
          <w:tcPr>
            <w:tcW w:type="dxa" w:w="2880"/>
          </w:tcPr>
          <w:p>
            <w:r>
              <w:rPr>
                <w:b/>
                <w:color w:val="7D1F1F"/>
                <w:sz w:val="20"/>
              </w:rPr>
              <w:t>Status</w:t>
            </w:r>
          </w:p>
        </w:tc>
        <w:tc>
          <w:tcPr>
            <w:tcW w:type="dxa" w:w="6480"/>
          </w:tcPr>
          <w:p>
            <w:r>
              <w:rPr>
                <w:sz w:val="20"/>
              </w:rPr>
              <w:t>Baseline</w:t>
            </w:r>
          </w:p>
        </w:tc>
      </w:tr>
      <w:tr>
        <w:tc>
          <w:tcPr>
            <w:tcW w:type="dxa" w:w="2880"/>
          </w:tcPr>
          <w:p>
            <w:r>
              <w:rPr>
                <w:b/>
                <w:color w:val="7D1F1F"/>
                <w:sz w:val="20"/>
              </w:rPr>
              <w:t>Date</w:t>
            </w:r>
          </w:p>
        </w:tc>
        <w:tc>
          <w:tcPr>
            <w:tcW w:type="dxa" w:w="6480"/>
          </w:tcPr>
          <w:p>
            <w:r>
              <w:rPr>
                <w:sz w:val="20"/>
              </w:rPr>
              <w:t>June 2026</w:t>
            </w:r>
          </w:p>
        </w:tc>
      </w:tr>
      <w:tr>
        <w:tc>
          <w:tcPr>
            <w:tcW w:type="dxa" w:w="2880"/>
          </w:tcPr>
          <w:p>
            <w:r>
              <w:rPr>
                <w:b/>
                <w:color w:val="7D1F1F"/>
                <w:sz w:val="20"/>
              </w:rPr>
              <w:t>Owner</w:t>
            </w:r>
          </w:p>
        </w:tc>
        <w:tc>
          <w:tcPr>
            <w:tcW w:type="dxa" w:w="6480"/>
          </w:tcPr>
          <w:p>
            <w:r>
              <w:rPr>
                <w:sz w:val="20"/>
              </w:rPr>
              <w:t>Product / Business Owner</w:t>
            </w:r>
          </w:p>
        </w:tc>
      </w:tr>
      <w:tr>
        <w:tc>
          <w:tcPr>
            <w:tcW w:type="dxa" w:w="2880"/>
          </w:tcPr>
          <w:p>
            <w:r>
              <w:rPr>
                <w:b/>
                <w:color w:val="7D1F1F"/>
                <w:sz w:val="20"/>
              </w:rPr>
              <w:t>Classification</w:t>
            </w:r>
          </w:p>
        </w:tc>
        <w:tc>
          <w:tcPr>
            <w:tcW w:type="dxa" w:w="6480"/>
          </w:tcPr>
          <w:p>
            <w:r>
              <w:rPr>
                <w:sz w:val="20"/>
              </w:rPr>
              <w:t>Internal</w:t>
            </w:r>
          </w:p>
        </w:tc>
      </w:tr>
    </w:tbl>
    <w:p>
      <w:r>
        <w:br w:type="page"/>
      </w:r>
    </w:p>
    <w:p>
      <w:pPr>
        <w:pStyle w:val="Heading1"/>
      </w:pPr>
      <w:r>
        <w:rPr>
          <w:rFonts w:ascii="Calibri" w:hAnsi="Calibri"/>
          <w:color w:val="B43232"/>
        </w:rPr>
        <w:t>Table of Contents</w:t>
      </w:r>
    </w:p>
    <w:p>
      <w:r>
        <w:fldChar w:fldCharType="begin"/>
        <w:instrText xml:space="preserve">TOC \o "1-3" \h \z \u</w:instrText>
        <w:fldChar w:fldCharType="separate"/>
        <w:t>Right-click here and choose 'Update Field' to generate the table of contents.</w:t>
        <w:fldChar w:fldCharType="end"/>
      </w:r>
    </w:p>
    <w:p>
      <w:r>
        <w:br w:type="page"/>
      </w:r>
    </w:p>
    <w:p>
      <w:pPr>
        <w:pStyle w:val="Heading1"/>
      </w:pPr>
      <w:r>
        <w:rPr>
          <w:rFonts w:ascii="Calibri" w:hAnsi="Calibri"/>
          <w:color w:val="B43232"/>
        </w:rPr>
        <w:t>1. Document Control</w:t>
      </w:r>
    </w:p>
    <w:tbl>
      <w:tblPr>
        <w:tblW w:type="auto" w:w="0"/>
        <w:jc w:val="center"/>
        <w:tblLook w:firstColumn="1" w:firstRow="1" w:lastColumn="0" w:lastRow="0" w:noHBand="0" w:noVBand="1" w:val="04A0"/>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Pr>
      <w:tblGrid>
        <w:gridCol w:w="2160"/>
        <w:gridCol w:w="2160"/>
        <w:gridCol w:w="2160"/>
        <w:gridCol w:w="2160"/>
      </w:tblGrid>
      <w:tr>
        <w:tc>
          <w:tcPr>
            <w:tcW w:type="dxa" w:w="1152"/>
            <w:shd w:val="clear" w:color="auto" w:fill="B43232"/>
          </w:tcPr>
          <w:p>
            <w:pPr>
              <w:spacing w:after="40"/>
            </w:pPr>
            <w:r>
              <w:rPr>
                <w:b/>
                <w:color w:val="FFFFFF"/>
                <w:sz w:val="19"/>
              </w:rPr>
              <w:t>Version</w:t>
            </w:r>
          </w:p>
        </w:tc>
        <w:tc>
          <w:tcPr>
            <w:tcW w:type="dxa" w:w="1584"/>
            <w:shd w:val="clear" w:color="auto" w:fill="B43232"/>
          </w:tcPr>
          <w:p>
            <w:pPr>
              <w:spacing w:after="40"/>
            </w:pPr>
            <w:r>
              <w:rPr>
                <w:b/>
                <w:color w:val="FFFFFF"/>
                <w:sz w:val="19"/>
              </w:rPr>
              <w:t>Date</w:t>
            </w:r>
          </w:p>
        </w:tc>
        <w:tc>
          <w:tcPr>
            <w:tcW w:type="dxa" w:w="2448"/>
            <w:shd w:val="clear" w:color="auto" w:fill="B43232"/>
          </w:tcPr>
          <w:p>
            <w:pPr>
              <w:spacing w:after="40"/>
            </w:pPr>
            <w:r>
              <w:rPr>
                <w:b/>
                <w:color w:val="FFFFFF"/>
                <w:sz w:val="19"/>
              </w:rPr>
              <w:t>Author</w:t>
            </w:r>
          </w:p>
        </w:tc>
        <w:tc>
          <w:tcPr>
            <w:tcW w:type="dxa" w:w="4320"/>
            <w:shd w:val="clear" w:color="auto" w:fill="B43232"/>
          </w:tcPr>
          <w:p>
            <w:pPr>
              <w:spacing w:after="40"/>
            </w:pPr>
            <w:r>
              <w:rPr>
                <w:b/>
                <w:color w:val="FFFFFF"/>
                <w:sz w:val="19"/>
              </w:rPr>
              <w:t>Summary of change</w:t>
            </w:r>
          </w:p>
        </w:tc>
      </w:tr>
      <w:tr>
        <w:tc>
          <w:tcPr>
            <w:tcW w:type="dxa" w:w="1152"/>
          </w:tcPr>
          <w:p>
            <w:pPr>
              <w:spacing w:after="40"/>
            </w:pPr>
            <w:r>
              <w:rPr>
                <w:sz w:val="18"/>
              </w:rPr>
              <w:t>0.1</w:t>
            </w:r>
          </w:p>
        </w:tc>
        <w:tc>
          <w:tcPr>
            <w:tcW w:type="dxa" w:w="1584"/>
          </w:tcPr>
          <w:p>
            <w:pPr>
              <w:spacing w:after="40"/>
            </w:pPr>
            <w:r>
              <w:rPr>
                <w:sz w:val="18"/>
              </w:rPr>
              <w:t>May 2026</w:t>
            </w:r>
          </w:p>
        </w:tc>
        <w:tc>
          <w:tcPr>
            <w:tcW w:type="dxa" w:w="2448"/>
          </w:tcPr>
          <w:p>
            <w:pPr>
              <w:spacing w:after="40"/>
            </w:pPr>
            <w:r>
              <w:rPr>
                <w:sz w:val="18"/>
              </w:rPr>
              <w:t>Product Owner</w:t>
            </w:r>
          </w:p>
        </w:tc>
        <w:tc>
          <w:tcPr>
            <w:tcW w:type="dxa" w:w="4320"/>
          </w:tcPr>
          <w:p>
            <w:pPr>
              <w:spacing w:after="40"/>
            </w:pPr>
            <w:r>
              <w:rPr>
                <w:sz w:val="18"/>
              </w:rPr>
              <w:t>Initial draft of scope and objectives</w:t>
            </w:r>
          </w:p>
        </w:tc>
      </w:tr>
      <w:tr>
        <w:tc>
          <w:tcPr>
            <w:tcW w:type="dxa" w:w="1152"/>
            <w:shd w:val="clear" w:color="auto" w:fill="F7F4F0"/>
          </w:tcPr>
          <w:p>
            <w:pPr>
              <w:spacing w:after="40"/>
            </w:pPr>
            <w:r>
              <w:rPr>
                <w:sz w:val="18"/>
              </w:rPr>
              <w:t>1.0</w:t>
            </w:r>
          </w:p>
        </w:tc>
        <w:tc>
          <w:tcPr>
            <w:tcW w:type="dxa" w:w="1584"/>
            <w:shd w:val="clear" w:color="auto" w:fill="F7F4F0"/>
          </w:tcPr>
          <w:p>
            <w:pPr>
              <w:spacing w:after="40"/>
            </w:pPr>
            <w:r>
              <w:rPr>
                <w:sz w:val="18"/>
              </w:rPr>
              <w:t>June 2026</w:t>
            </w:r>
          </w:p>
        </w:tc>
        <w:tc>
          <w:tcPr>
            <w:tcW w:type="dxa" w:w="2448"/>
            <w:shd w:val="clear" w:color="auto" w:fill="F7F4F0"/>
          </w:tcPr>
          <w:p>
            <w:pPr>
              <w:spacing w:after="40"/>
            </w:pPr>
            <w:r>
              <w:rPr>
                <w:sz w:val="18"/>
              </w:rPr>
              <w:t>Product Owner</w:t>
            </w:r>
          </w:p>
        </w:tc>
        <w:tc>
          <w:tcPr>
            <w:tcW w:type="dxa" w:w="4320"/>
            <w:shd w:val="clear" w:color="auto" w:fill="F7F4F0"/>
          </w:tcPr>
          <w:p>
            <w:pPr>
              <w:spacing w:after="40"/>
            </w:pPr>
            <w:r>
              <w:rPr>
                <w:sz w:val="18"/>
              </w:rPr>
              <w:t>Baseline aligned with delivered platform</w:t>
            </w:r>
          </w:p>
        </w:tc>
      </w:tr>
    </w:tbl>
    <w:p>
      <w:pPr>
        <w:spacing w:after="40"/>
      </w:pPr>
    </w:p>
    <w:p>
      <w:r>
        <w:rPr>
          <w:b w:val="0"/>
          <w:i w:val="0"/>
          <w:sz w:val="21"/>
        </w:rPr>
        <w:t>This document describes the business context, objectives, stakeholders, processes, and rules of the Vallentin Claims platform. It is the reference for product decisions and is written for a non-technical audience. The companion Technical Documentation covers architecture and implementation.</w:t>
      </w:r>
    </w:p>
    <w:p>
      <w:pPr>
        <w:pStyle w:val="Heading1"/>
      </w:pPr>
      <w:r>
        <w:rPr>
          <w:rFonts w:ascii="Calibri" w:hAnsi="Calibri"/>
          <w:color w:val="B43232"/>
        </w:rPr>
        <w:t>2. Executive Summary</w:t>
      </w:r>
    </w:p>
    <w:p>
      <w:r>
        <w:rPr>
          <w:b w:val="0"/>
          <w:i w:val="0"/>
          <w:sz w:val="21"/>
        </w:rPr>
        <w:t>Vallentin Claims is a web platform that lets citizens submit complaints against healthcare providers — hospitals, individual doctors, and health insurance funds — and have them routed automatically to the responsible institution, always with a copy to the Ombudsman. The platform removes the friction of knowing where and how to complain: the citizen fills in a single structured form, and the system determines the recipient, records the submission, and forwards it by email with a full audit trail.</w:t>
      </w:r>
    </w:p>
    <w:p>
      <w:r>
        <w:rPr>
          <w:b w:val="0"/>
          <w:i w:val="0"/>
          <w:sz w:val="21"/>
        </w:rPr>
        <w:t>The platform supports both registered users, who can track the complaints they have filed, and anonymous submitters, whose complaints are reviewed by an administrator before being forwarded. Every complaint receives a unique public reference number. Administrators moderate the anonymous queue, manage the register of institutions, oversee users, and export statistics for reporting. The product is fully bilingual (English and Bulgarian) and is designed to align visually with the Thirst-for-Life brand.</w:t>
      </w:r>
    </w:p>
    <w:p>
      <w:pPr>
        <w:pStyle w:val="Heading1"/>
      </w:pPr>
      <w:r>
        <w:rPr>
          <w:rFonts w:ascii="Calibri" w:hAnsi="Calibri"/>
          <w:color w:val="B43232"/>
        </w:rPr>
        <w:t>3. Business Context &amp; Problem Statement</w:t>
      </w:r>
    </w:p>
    <w:p>
      <w:pPr>
        <w:pStyle w:val="Heading2"/>
      </w:pPr>
      <w:r>
        <w:rPr>
          <w:rFonts w:ascii="Calibri" w:hAnsi="Calibri"/>
          <w:color w:val="7D1F1F"/>
        </w:rPr>
        <w:t>3.1 The problem</w:t>
      </w:r>
    </w:p>
    <w:p>
      <w:r>
        <w:rPr>
          <w:b w:val="0"/>
          <w:i w:val="0"/>
          <w:sz w:val="21"/>
        </w:rPr>
        <w:t>Patients and citizens frequently have legitimate grievances about healthcare services but face practical barriers to raising them:</w:t>
      </w:r>
    </w:p>
    <w:p>
      <w:pPr>
        <w:pStyle w:val="ListBullet"/>
      </w:pPr>
      <w:r>
        <w:t>They do not know which institution is responsible or how to reach it.</w:t>
      </w:r>
    </w:p>
    <w:p>
      <w:pPr>
        <w:pStyle w:val="ListBullet"/>
      </w:pPr>
      <w:r>
        <w:t>Complaints submitted informally leave no record and are easily lost.</w:t>
      </w:r>
    </w:p>
    <w:p>
      <w:pPr>
        <w:pStyle w:val="ListBullet"/>
      </w:pPr>
      <w:r>
        <w:t>There is no consistent copy to an oversight body such as the Ombudsman.</w:t>
      </w:r>
    </w:p>
    <w:p>
      <w:pPr>
        <w:pStyle w:val="ListBullet"/>
      </w:pPr>
      <w:r>
        <w:t>Vulnerable people may fear repercussions and need an anonymous channel.</w:t>
      </w:r>
    </w:p>
    <w:p>
      <w:pPr>
        <w:pStyle w:val="Heading2"/>
      </w:pPr>
      <w:r>
        <w:rPr>
          <w:rFonts w:ascii="Calibri" w:hAnsi="Calibri"/>
          <w:color w:val="7D1F1F"/>
        </w:rPr>
        <w:t>3.2 The solution</w:t>
      </w:r>
    </w:p>
    <w:p>
      <w:r>
        <w:rPr>
          <w:b w:val="0"/>
          <w:i w:val="0"/>
          <w:sz w:val="21"/>
        </w:rPr>
        <w:t>Vallentin Claims provides a single, trustworthy intake point. It standardises the complaint, routes it to the correct institution, guarantees an oversight copy, issues a tracking reference, and preserves an immutable record of every step. Anonymous complaints are supported but pass through human moderation to protect institutions from abuse.</w:t>
      </w:r>
    </w:p>
    <w:p>
      <w:pPr>
        <w:pStyle w:val="Heading1"/>
      </w:pPr>
      <w:r>
        <w:rPr>
          <w:rFonts w:ascii="Calibri" w:hAnsi="Calibri"/>
          <w:color w:val="B43232"/>
        </w:rPr>
        <w:t>4. Vision &amp; Objectives</w:t>
      </w:r>
    </w:p>
    <w:p>
      <w:pPr>
        <w:pStyle w:val="ListBullet"/>
      </w:pPr>
      <w:r>
        <w:rPr>
          <w:b/>
        </w:rPr>
        <w:t xml:space="preserve">Vision — </w:t>
      </w:r>
      <w:r>
        <w:t>Make it effortless and safe for any citizen to hold healthcare providers accountable, while giving oversight bodies reliable visibility.</w:t>
      </w:r>
    </w:p>
    <w:p>
      <w:r>
        <w:rPr>
          <w:b/>
          <w:i w:val="0"/>
          <w:sz w:val="21"/>
        </w:rPr>
        <w:t>Business objectives:</w:t>
      </w:r>
    </w:p>
    <w:p>
      <w:pPr>
        <w:pStyle w:val="ListNumber"/>
      </w:pPr>
      <w:r>
        <w:t>Lower the barrier to filing a healthcare complaint to a single online form.</w:t>
      </w:r>
    </w:p>
    <w:p>
      <w:pPr>
        <w:pStyle w:val="ListNumber"/>
      </w:pPr>
      <w:r>
        <w:t>Guarantee correct routing to the responsible institution and the Ombudsman.</w:t>
      </w:r>
    </w:p>
    <w:p>
      <w:pPr>
        <w:pStyle w:val="ListNumber"/>
      </w:pPr>
      <w:r>
        <w:t>Provide transparency to submitters through a public tracking reference.</w:t>
      </w:r>
    </w:p>
    <w:p>
      <w:pPr>
        <w:pStyle w:val="ListNumber"/>
      </w:pPr>
      <w:r>
        <w:t>Protect the process with moderation of anonymous complaints.</w:t>
      </w:r>
    </w:p>
    <w:p>
      <w:pPr>
        <w:pStyle w:val="ListNumber"/>
      </w:pPr>
      <w:r>
        <w:t>Give administrators the tools to manage institutions, users, and reporting.</w:t>
      </w:r>
    </w:p>
    <w:p>
      <w:pPr>
        <w:pStyle w:val="ListNumber"/>
      </w:pPr>
      <w:r>
        <w:t>Comply with data-protection obligations (consent, export, anonymisation).</w:t>
      </w:r>
    </w:p>
    <w:p>
      <w:pPr>
        <w:pStyle w:val="Heading1"/>
      </w:pPr>
      <w:r>
        <w:rPr>
          <w:rFonts w:ascii="Calibri" w:hAnsi="Calibri"/>
          <w:color w:val="B43232"/>
        </w:rPr>
        <w:t>5. Stakeholders</w:t>
      </w:r>
    </w:p>
    <w:tbl>
      <w:tblPr>
        <w:tblW w:type="auto" w:w="0"/>
        <w:jc w:val="center"/>
        <w:tblLook w:firstColumn="1" w:firstRow="1" w:lastColumn="0" w:lastRow="0" w:noHBand="0" w:noVBand="1" w:val="04A0"/>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Pr>
      <w:tblGrid>
        <w:gridCol w:w="4320"/>
        <w:gridCol w:w="4320"/>
      </w:tblGrid>
      <w:tr>
        <w:tc>
          <w:tcPr>
            <w:tcW w:type="dxa" w:w="2736"/>
            <w:shd w:val="clear" w:color="auto" w:fill="B43232"/>
          </w:tcPr>
          <w:p>
            <w:pPr>
              <w:spacing w:after="40"/>
            </w:pPr>
            <w:r>
              <w:rPr>
                <w:b/>
                <w:color w:val="FFFFFF"/>
                <w:sz w:val="19"/>
              </w:rPr>
              <w:t>Stakeholder</w:t>
            </w:r>
          </w:p>
        </w:tc>
        <w:tc>
          <w:tcPr>
            <w:tcW w:type="dxa" w:w="6624"/>
            <w:shd w:val="clear" w:color="auto" w:fill="B43232"/>
          </w:tcPr>
          <w:p>
            <w:pPr>
              <w:spacing w:after="40"/>
            </w:pPr>
            <w:r>
              <w:rPr>
                <w:b/>
                <w:color w:val="FFFFFF"/>
                <w:sz w:val="19"/>
              </w:rPr>
              <w:t>Interest in the platform</w:t>
            </w:r>
          </w:p>
        </w:tc>
      </w:tr>
      <w:tr>
        <w:tc>
          <w:tcPr>
            <w:tcW w:type="dxa" w:w="2736"/>
          </w:tcPr>
          <w:p>
            <w:pPr>
              <w:spacing w:after="40"/>
            </w:pPr>
            <w:r>
              <w:rPr>
                <w:sz w:val="18"/>
              </w:rPr>
              <w:t>Citizen / complainant</w:t>
            </w:r>
          </w:p>
        </w:tc>
        <w:tc>
          <w:tcPr>
            <w:tcW w:type="dxa" w:w="6624"/>
          </w:tcPr>
          <w:p>
            <w:pPr>
              <w:spacing w:after="40"/>
            </w:pPr>
            <w:r>
              <w:rPr>
                <w:sz w:val="18"/>
              </w:rPr>
              <w:t>Wants a simple, credible way to complain and to track progress.</w:t>
            </w:r>
          </w:p>
        </w:tc>
      </w:tr>
      <w:tr>
        <w:tc>
          <w:tcPr>
            <w:tcW w:type="dxa" w:w="2736"/>
            <w:shd w:val="clear" w:color="auto" w:fill="F7F4F0"/>
          </w:tcPr>
          <w:p>
            <w:pPr>
              <w:spacing w:after="40"/>
            </w:pPr>
            <w:r>
              <w:rPr>
                <w:sz w:val="18"/>
              </w:rPr>
              <w:t>Anonymous complainant</w:t>
            </w:r>
          </w:p>
        </w:tc>
        <w:tc>
          <w:tcPr>
            <w:tcW w:type="dxa" w:w="6624"/>
            <w:shd w:val="clear" w:color="auto" w:fill="F7F4F0"/>
          </w:tcPr>
          <w:p>
            <w:pPr>
              <w:spacing w:after="40"/>
            </w:pPr>
            <w:r>
              <w:rPr>
                <w:sz w:val="18"/>
              </w:rPr>
              <w:t>Needs to raise a concern without revealing identity.</w:t>
            </w:r>
          </w:p>
        </w:tc>
      </w:tr>
      <w:tr>
        <w:tc>
          <w:tcPr>
            <w:tcW w:type="dxa" w:w="2736"/>
          </w:tcPr>
          <w:p>
            <w:pPr>
              <w:spacing w:after="40"/>
            </w:pPr>
            <w:r>
              <w:rPr>
                <w:sz w:val="18"/>
              </w:rPr>
              <w:t>Administrator / moderator</w:t>
            </w:r>
          </w:p>
        </w:tc>
        <w:tc>
          <w:tcPr>
            <w:tcW w:type="dxa" w:w="6624"/>
          </w:tcPr>
          <w:p>
            <w:pPr>
              <w:spacing w:after="40"/>
            </w:pPr>
            <w:r>
              <w:rPr>
                <w:sz w:val="18"/>
              </w:rPr>
              <w:t>Reviews anonymous complaints, manages institutions and users.</w:t>
            </w:r>
          </w:p>
        </w:tc>
      </w:tr>
      <w:tr>
        <w:tc>
          <w:tcPr>
            <w:tcW w:type="dxa" w:w="2736"/>
            <w:shd w:val="clear" w:color="auto" w:fill="F7F4F0"/>
          </w:tcPr>
          <w:p>
            <w:pPr>
              <w:spacing w:after="40"/>
            </w:pPr>
            <w:r>
              <w:rPr>
                <w:sz w:val="18"/>
              </w:rPr>
              <w:t>Ombudsman</w:t>
            </w:r>
          </w:p>
        </w:tc>
        <w:tc>
          <w:tcPr>
            <w:tcW w:type="dxa" w:w="6624"/>
            <w:shd w:val="clear" w:color="auto" w:fill="F7F4F0"/>
          </w:tcPr>
          <w:p>
            <w:pPr>
              <w:spacing w:after="40"/>
            </w:pPr>
            <w:r>
              <w:rPr>
                <w:sz w:val="18"/>
              </w:rPr>
              <w:t>Receives a copy of every forwarded complaint for oversight.</w:t>
            </w:r>
          </w:p>
        </w:tc>
      </w:tr>
      <w:tr>
        <w:tc>
          <w:tcPr>
            <w:tcW w:type="dxa" w:w="2736"/>
          </w:tcPr>
          <w:p>
            <w:pPr>
              <w:spacing w:after="40"/>
            </w:pPr>
            <w:r>
              <w:rPr>
                <w:sz w:val="18"/>
              </w:rPr>
              <w:t>Healthcare institution</w:t>
            </w:r>
          </w:p>
        </w:tc>
        <w:tc>
          <w:tcPr>
            <w:tcW w:type="dxa" w:w="6624"/>
          </w:tcPr>
          <w:p>
            <w:pPr>
              <w:spacing w:after="40"/>
            </w:pPr>
            <w:r>
              <w:rPr>
                <w:sz w:val="18"/>
              </w:rPr>
              <w:t>Receives complaints addressed to it and is expected to respond.</w:t>
            </w:r>
          </w:p>
        </w:tc>
      </w:tr>
      <w:tr>
        <w:tc>
          <w:tcPr>
            <w:tcW w:type="dxa" w:w="2736"/>
            <w:shd w:val="clear" w:color="auto" w:fill="F7F4F0"/>
          </w:tcPr>
          <w:p>
            <w:pPr>
              <w:spacing w:after="40"/>
            </w:pPr>
            <w:r>
              <w:rPr>
                <w:sz w:val="18"/>
              </w:rPr>
              <w:t>Business / product owner</w:t>
            </w:r>
          </w:p>
        </w:tc>
        <w:tc>
          <w:tcPr>
            <w:tcW w:type="dxa" w:w="6624"/>
            <w:shd w:val="clear" w:color="auto" w:fill="F7F4F0"/>
          </w:tcPr>
          <w:p>
            <w:pPr>
              <w:spacing w:after="40"/>
            </w:pPr>
            <w:r>
              <w:rPr>
                <w:sz w:val="18"/>
              </w:rPr>
              <w:t>Owns scope, brand alignment, and success metrics.</w:t>
            </w:r>
          </w:p>
        </w:tc>
      </w:tr>
      <w:tr>
        <w:tc>
          <w:tcPr>
            <w:tcW w:type="dxa" w:w="2736"/>
          </w:tcPr>
          <w:p>
            <w:pPr>
              <w:spacing w:after="40"/>
            </w:pPr>
            <w:r>
              <w:rPr>
                <w:sz w:val="18"/>
              </w:rPr>
              <w:t>Data protection officer</w:t>
            </w:r>
          </w:p>
        </w:tc>
        <w:tc>
          <w:tcPr>
            <w:tcW w:type="dxa" w:w="6624"/>
          </w:tcPr>
          <w:p>
            <w:pPr>
              <w:spacing w:after="40"/>
            </w:pPr>
            <w:r>
              <w:rPr>
                <w:sz w:val="18"/>
              </w:rPr>
              <w:t>Ensures consent, retention, and subject-rights handling.</w:t>
            </w:r>
          </w:p>
        </w:tc>
      </w:tr>
    </w:tbl>
    <w:p>
      <w:pPr>
        <w:spacing w:after="40"/>
      </w:pPr>
    </w:p>
    <w:p>
      <w:pPr>
        <w:pStyle w:val="Heading1"/>
      </w:pPr>
      <w:r>
        <w:rPr>
          <w:rFonts w:ascii="Calibri" w:hAnsi="Calibri"/>
          <w:color w:val="B43232"/>
        </w:rPr>
        <w:t>6. User Roles</w:t>
      </w:r>
    </w:p>
    <w:tbl>
      <w:tblPr>
        <w:tblW w:type="auto" w:w="0"/>
        <w:jc w:val="center"/>
        <w:tblLook w:firstColumn="1" w:firstRow="1" w:lastColumn="0" w:lastRow="0" w:noHBand="0" w:noVBand="1" w:val="04A0"/>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Pr>
      <w:tblGrid>
        <w:gridCol w:w="4320"/>
        <w:gridCol w:w="4320"/>
      </w:tblGrid>
      <w:tr>
        <w:tc>
          <w:tcPr>
            <w:tcW w:type="dxa" w:w="2736"/>
            <w:shd w:val="clear" w:color="auto" w:fill="B43232"/>
          </w:tcPr>
          <w:p>
            <w:pPr>
              <w:spacing w:after="40"/>
            </w:pPr>
            <w:r>
              <w:rPr>
                <w:b/>
                <w:color w:val="FFFFFF"/>
                <w:sz w:val="19"/>
              </w:rPr>
              <w:t>Role</w:t>
            </w:r>
          </w:p>
        </w:tc>
        <w:tc>
          <w:tcPr>
            <w:tcW w:type="dxa" w:w="6624"/>
            <w:shd w:val="clear" w:color="auto" w:fill="B43232"/>
          </w:tcPr>
          <w:p>
            <w:pPr>
              <w:spacing w:after="40"/>
            </w:pPr>
            <w:r>
              <w:rPr>
                <w:b/>
                <w:color w:val="FFFFFF"/>
                <w:sz w:val="19"/>
              </w:rPr>
              <w:t>Capabilities</w:t>
            </w:r>
          </w:p>
        </w:tc>
      </w:tr>
      <w:tr>
        <w:tc>
          <w:tcPr>
            <w:tcW w:type="dxa" w:w="2736"/>
          </w:tcPr>
          <w:p>
            <w:pPr>
              <w:spacing w:after="40"/>
            </w:pPr>
            <w:r>
              <w:rPr>
                <w:sz w:val="18"/>
              </w:rPr>
              <w:t>Anonymous user</w:t>
            </w:r>
          </w:p>
        </w:tc>
        <w:tc>
          <w:tcPr>
            <w:tcW w:type="dxa" w:w="6624"/>
          </w:tcPr>
          <w:p>
            <w:pPr>
              <w:spacing w:after="40"/>
            </w:pPr>
            <w:r>
              <w:rPr>
                <w:sz w:val="18"/>
              </w:rPr>
              <w:t>Submit a complaint (subject to admin moderation before forwarding). No login required. Provides optional contact details.</w:t>
            </w:r>
          </w:p>
        </w:tc>
      </w:tr>
      <w:tr>
        <w:tc>
          <w:tcPr>
            <w:tcW w:type="dxa" w:w="2736"/>
            <w:shd w:val="clear" w:color="auto" w:fill="F7F4F0"/>
          </w:tcPr>
          <w:p>
            <w:pPr>
              <w:spacing w:after="40"/>
            </w:pPr>
            <w:r>
              <w:rPr>
                <w:sz w:val="18"/>
              </w:rPr>
              <w:t>Authorised (registered) user</w:t>
            </w:r>
          </w:p>
        </w:tc>
        <w:tc>
          <w:tcPr>
            <w:tcW w:type="dxa" w:w="6624"/>
            <w:shd w:val="clear" w:color="auto" w:fill="F7F4F0"/>
          </w:tcPr>
          <w:p>
            <w:pPr>
              <w:spacing w:after="40"/>
            </w:pPr>
            <w:r>
              <w:rPr>
                <w:sz w:val="18"/>
              </w:rPr>
              <w:t>Register, verify email or sign in with Google/Facebook, submit complaints that are forwarded immediately, and view their own submissions.</w:t>
            </w:r>
          </w:p>
        </w:tc>
      </w:tr>
      <w:tr>
        <w:tc>
          <w:tcPr>
            <w:tcW w:type="dxa" w:w="2736"/>
          </w:tcPr>
          <w:p>
            <w:pPr>
              <w:spacing w:after="40"/>
            </w:pPr>
            <w:r>
              <w:rPr>
                <w:sz w:val="18"/>
              </w:rPr>
              <w:t>Administrator</w:t>
            </w:r>
          </w:p>
        </w:tc>
        <w:tc>
          <w:tcPr>
            <w:tcW w:type="dxa" w:w="6624"/>
          </w:tcPr>
          <w:p>
            <w:pPr>
              <w:spacing w:after="40"/>
            </w:pPr>
            <w:r>
              <w:rPr>
                <w:sz w:val="18"/>
              </w:rPr>
              <w:t>Full management: moderate the anonymous queue (approve/reject), manage institutions, manage users, run and export statistics, and view audit history.</w:t>
            </w:r>
          </w:p>
        </w:tc>
      </w:tr>
    </w:tbl>
    <w:p>
      <w:pPr>
        <w:spacing w:after="40"/>
      </w:pPr>
    </w:p>
    <w:p>
      <w:pPr>
        <w:pStyle w:val="Heading1"/>
      </w:pPr>
      <w:r>
        <w:rPr>
          <w:rFonts w:ascii="Calibri" w:hAnsi="Calibri"/>
          <w:color w:val="B43232"/>
        </w:rPr>
        <w:t>7. User Personas</w:t>
      </w:r>
    </w:p>
    <w:p>
      <w:pPr>
        <w:pStyle w:val="Heading3"/>
      </w:pPr>
      <w:r>
        <w:rPr>
          <w:rFonts w:ascii="Calibri" w:hAnsi="Calibri"/>
          <w:color w:val="004CA0"/>
        </w:rPr>
        <w:t>Maria — the concerned patient</w:t>
      </w:r>
    </w:p>
    <w:p>
      <w:r>
        <w:rPr>
          <w:b w:val="0"/>
          <w:i w:val="0"/>
          <w:sz w:val="21"/>
        </w:rPr>
        <w:t>Maria had a poor experience at a hospital and wants it recorded formally. She registers, verifies her email, submits a detailed complaint with a scanned document, and later checks its status. She values a clear reference number and reassurance that the Ombudsman was copied.</w:t>
      </w:r>
    </w:p>
    <w:p>
      <w:pPr>
        <w:pStyle w:val="Heading3"/>
      </w:pPr>
      <w:r>
        <w:rPr>
          <w:rFonts w:ascii="Calibri" w:hAnsi="Calibri"/>
          <w:color w:val="004CA0"/>
        </w:rPr>
        <w:t>Georgi — the cautious whistle-blower</w:t>
      </w:r>
    </w:p>
    <w:p>
      <w:r>
        <w:rPr>
          <w:b w:val="0"/>
          <w:i w:val="0"/>
          <w:sz w:val="21"/>
        </w:rPr>
        <w:t>Georgi works near the sector and fears repercussions. He submits anonymously, optionally leaving a contact email. His complaint waits in the moderation queue until an administrator approves it.</w:t>
      </w:r>
    </w:p>
    <w:p>
      <w:pPr>
        <w:pStyle w:val="Heading3"/>
      </w:pPr>
      <w:r>
        <w:rPr>
          <w:rFonts w:ascii="Calibri" w:hAnsi="Calibri"/>
          <w:color w:val="004CA0"/>
        </w:rPr>
        <w:t>Elena — the administrator</w:t>
      </w:r>
    </w:p>
    <w:p>
      <w:r>
        <w:rPr>
          <w:b w:val="0"/>
          <w:i w:val="0"/>
          <w:sz w:val="21"/>
        </w:rPr>
        <w:t>Elena reviews the anonymous queue daily, approves genuine complaints, rejects spam with a reason, keeps the institution register current, and exports monthly statistics for management reporting.</w:t>
      </w:r>
    </w:p>
    <w:p>
      <w:pPr>
        <w:pStyle w:val="Heading1"/>
      </w:pPr>
      <w:r>
        <w:rPr>
          <w:rFonts w:ascii="Calibri" w:hAnsi="Calibri"/>
          <w:color w:val="B43232"/>
        </w:rPr>
        <w:t>8. Core Business Processes</w:t>
      </w:r>
    </w:p>
    <w:p>
      <w:pPr>
        <w:pStyle w:val="Heading2"/>
      </w:pPr>
      <w:r>
        <w:rPr>
          <w:rFonts w:ascii="Calibri" w:hAnsi="Calibri"/>
          <w:color w:val="7D1F1F"/>
        </w:rPr>
        <w:t>8.1 Registered complaint (happy path)</w:t>
      </w:r>
    </w:p>
    <w:p>
      <w:pPr>
        <w:pStyle w:val="ListNumber"/>
      </w:pPr>
      <w:r>
        <w:t>The user signs in (email/password or social login).</w:t>
      </w:r>
    </w:p>
    <w:p>
      <w:pPr>
        <w:pStyle w:val="ListNumber"/>
      </w:pPr>
      <w:r>
        <w:t>The user completes the complaint form: category, institution (from the register or free text), title, description, urgency, and optional attachments.</w:t>
      </w:r>
    </w:p>
    <w:p>
      <w:pPr>
        <w:pStyle w:val="ListNumber"/>
      </w:pPr>
      <w:r>
        <w:t>The system validates the submission and creates the complaint with a public reference (format VLC-YYYY-NNNNNN).</w:t>
      </w:r>
    </w:p>
    <w:p>
      <w:pPr>
        <w:pStyle w:val="ListNumber"/>
      </w:pPr>
      <w:r>
        <w:t>The complaint is forwarded automatically: an email to the institution, a mandatory copy to the Ombudsman, and an optional copy to the submitter.</w:t>
      </w:r>
    </w:p>
    <w:p>
      <w:pPr>
        <w:pStyle w:val="ListNumber"/>
      </w:pPr>
      <w:r>
        <w:t>The user can view the complaint and its status among their submissions.</w:t>
      </w:r>
    </w:p>
    <w:p>
      <w:pPr>
        <w:pStyle w:val="Heading2"/>
      </w:pPr>
      <w:r>
        <w:rPr>
          <w:rFonts w:ascii="Calibri" w:hAnsi="Calibri"/>
          <w:color w:val="7D1F1F"/>
        </w:rPr>
        <w:t>8.2 Anonymous complaint (moderated path)</w:t>
      </w:r>
    </w:p>
    <w:p>
      <w:pPr>
        <w:pStyle w:val="ListNumber"/>
      </w:pPr>
      <w:r>
        <w:t>An anonymous visitor completes the same form and passes a captcha check.</w:t>
      </w:r>
    </w:p>
    <w:p>
      <w:pPr>
        <w:pStyle w:val="ListNumber"/>
      </w:pPr>
      <w:r>
        <w:t>The complaint is created with status "pending review" and is NOT forwarded yet.</w:t>
      </w:r>
    </w:p>
    <w:p>
      <w:pPr>
        <w:pStyle w:val="ListNumber"/>
      </w:pPr>
      <w:r>
        <w:t>An administrator is notified and reviews the complaint in the moderation queue.</w:t>
      </w:r>
    </w:p>
    <w:p>
      <w:pPr>
        <w:pStyle w:val="ListNumber"/>
      </w:pPr>
      <w:r>
        <w:t>On approval, the complaint is forwarded exactly like a registered one.</w:t>
      </w:r>
    </w:p>
    <w:p>
      <w:pPr>
        <w:pStyle w:val="ListNumber"/>
      </w:pPr>
      <w:r>
        <w:t>On rejection, the administrator records a reason and nothing is forwarded.</w:t>
      </w:r>
    </w:p>
    <w:p>
      <w:pPr>
        <w:pStyle w:val="Heading2"/>
      </w:pPr>
      <w:r>
        <w:rPr>
          <w:rFonts w:ascii="Calibri" w:hAnsi="Calibri"/>
          <w:color w:val="7D1F1F"/>
        </w:rPr>
        <w:t>8.3 Complaint lifecycle (statuses)</w:t>
      </w:r>
    </w:p>
    <w:tbl>
      <w:tblPr>
        <w:tblW w:type="auto" w:w="0"/>
        <w:jc w:val="center"/>
        <w:tblLook w:firstColumn="1" w:firstRow="1" w:lastColumn="0" w:lastRow="0" w:noHBand="0" w:noVBand="1" w:val="04A0"/>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Pr>
      <w:tblGrid>
        <w:gridCol w:w="4320"/>
        <w:gridCol w:w="4320"/>
      </w:tblGrid>
      <w:tr>
        <w:tc>
          <w:tcPr>
            <w:tcW w:type="dxa" w:w="2304"/>
            <w:shd w:val="clear" w:color="auto" w:fill="B43232"/>
          </w:tcPr>
          <w:p>
            <w:pPr>
              <w:spacing w:after="40"/>
            </w:pPr>
            <w:r>
              <w:rPr>
                <w:b/>
                <w:color w:val="FFFFFF"/>
                <w:sz w:val="19"/>
              </w:rPr>
              <w:t>Status</w:t>
            </w:r>
          </w:p>
        </w:tc>
        <w:tc>
          <w:tcPr>
            <w:tcW w:type="dxa" w:w="7056"/>
            <w:shd w:val="clear" w:color="auto" w:fill="B43232"/>
          </w:tcPr>
          <w:p>
            <w:pPr>
              <w:spacing w:after="40"/>
            </w:pPr>
            <w:r>
              <w:rPr>
                <w:b/>
                <w:color w:val="FFFFFF"/>
                <w:sz w:val="19"/>
              </w:rPr>
              <w:t>Meaning</w:t>
            </w:r>
          </w:p>
        </w:tc>
      </w:tr>
      <w:tr>
        <w:tc>
          <w:tcPr>
            <w:tcW w:type="dxa" w:w="2304"/>
          </w:tcPr>
          <w:p>
            <w:pPr>
              <w:spacing w:after="40"/>
            </w:pPr>
            <w:r>
              <w:rPr>
                <w:sz w:val="18"/>
              </w:rPr>
              <w:t>Submitted</w:t>
            </w:r>
          </w:p>
        </w:tc>
        <w:tc>
          <w:tcPr>
            <w:tcW w:type="dxa" w:w="7056"/>
          </w:tcPr>
          <w:p>
            <w:pPr>
              <w:spacing w:after="40"/>
            </w:pPr>
            <w:r>
              <w:rPr>
                <w:sz w:val="18"/>
              </w:rPr>
              <w:t>Registered-user complaint accepted; about to be forwarded.</w:t>
            </w:r>
          </w:p>
        </w:tc>
      </w:tr>
      <w:tr>
        <w:tc>
          <w:tcPr>
            <w:tcW w:type="dxa" w:w="2304"/>
            <w:shd w:val="clear" w:color="auto" w:fill="F7F4F0"/>
          </w:tcPr>
          <w:p>
            <w:pPr>
              <w:spacing w:after="40"/>
            </w:pPr>
            <w:r>
              <w:rPr>
                <w:sz w:val="18"/>
              </w:rPr>
              <w:t>Pending review</w:t>
            </w:r>
          </w:p>
        </w:tc>
        <w:tc>
          <w:tcPr>
            <w:tcW w:type="dxa" w:w="7056"/>
            <w:shd w:val="clear" w:color="auto" w:fill="F7F4F0"/>
          </w:tcPr>
          <w:p>
            <w:pPr>
              <w:spacing w:after="40"/>
            </w:pPr>
            <w:r>
              <w:rPr>
                <w:sz w:val="18"/>
              </w:rPr>
              <w:t>Anonymous complaint awaiting administrator moderation.</w:t>
            </w:r>
          </w:p>
        </w:tc>
      </w:tr>
      <w:tr>
        <w:tc>
          <w:tcPr>
            <w:tcW w:type="dxa" w:w="2304"/>
          </w:tcPr>
          <w:p>
            <w:pPr>
              <w:spacing w:after="40"/>
            </w:pPr>
            <w:r>
              <w:rPr>
                <w:sz w:val="18"/>
              </w:rPr>
              <w:t>Approved</w:t>
            </w:r>
          </w:p>
        </w:tc>
        <w:tc>
          <w:tcPr>
            <w:tcW w:type="dxa" w:w="7056"/>
          </w:tcPr>
          <w:p>
            <w:pPr>
              <w:spacing w:after="40"/>
            </w:pPr>
            <w:r>
              <w:rPr>
                <w:sz w:val="18"/>
              </w:rPr>
              <w:t>Anonymous complaint accepted by an administrator (then forwarded).</w:t>
            </w:r>
          </w:p>
        </w:tc>
      </w:tr>
      <w:tr>
        <w:tc>
          <w:tcPr>
            <w:tcW w:type="dxa" w:w="2304"/>
            <w:shd w:val="clear" w:color="auto" w:fill="F7F4F0"/>
          </w:tcPr>
          <w:p>
            <w:pPr>
              <w:spacing w:after="40"/>
            </w:pPr>
            <w:r>
              <w:rPr>
                <w:sz w:val="18"/>
              </w:rPr>
              <w:t>Rejected</w:t>
            </w:r>
          </w:p>
        </w:tc>
        <w:tc>
          <w:tcPr>
            <w:tcW w:type="dxa" w:w="7056"/>
            <w:shd w:val="clear" w:color="auto" w:fill="F7F4F0"/>
          </w:tcPr>
          <w:p>
            <w:pPr>
              <w:spacing w:after="40"/>
            </w:pPr>
            <w:r>
              <w:rPr>
                <w:sz w:val="18"/>
              </w:rPr>
              <w:t>Anonymous complaint declined with a recorded reason; not forwarded.</w:t>
            </w:r>
          </w:p>
        </w:tc>
      </w:tr>
      <w:tr>
        <w:tc>
          <w:tcPr>
            <w:tcW w:type="dxa" w:w="2304"/>
          </w:tcPr>
          <w:p>
            <w:pPr>
              <w:spacing w:after="40"/>
            </w:pPr>
            <w:r>
              <w:rPr>
                <w:sz w:val="18"/>
              </w:rPr>
              <w:t>Forwarded</w:t>
            </w:r>
          </w:p>
        </w:tc>
        <w:tc>
          <w:tcPr>
            <w:tcW w:type="dxa" w:w="7056"/>
          </w:tcPr>
          <w:p>
            <w:pPr>
              <w:spacing w:after="40"/>
            </w:pPr>
            <w:r>
              <w:rPr>
                <w:sz w:val="18"/>
              </w:rPr>
              <w:t>Emails dispatched to institution and Ombudsman.</w:t>
            </w:r>
          </w:p>
        </w:tc>
      </w:tr>
      <w:tr>
        <w:tc>
          <w:tcPr>
            <w:tcW w:type="dxa" w:w="2304"/>
            <w:shd w:val="clear" w:color="auto" w:fill="F7F4F0"/>
          </w:tcPr>
          <w:p>
            <w:pPr>
              <w:spacing w:after="40"/>
            </w:pPr>
            <w:r>
              <w:rPr>
                <w:sz w:val="18"/>
              </w:rPr>
              <w:t>Closed</w:t>
            </w:r>
          </w:p>
        </w:tc>
        <w:tc>
          <w:tcPr>
            <w:tcW w:type="dxa" w:w="7056"/>
            <w:shd w:val="clear" w:color="auto" w:fill="F7F4F0"/>
          </w:tcPr>
          <w:p>
            <w:pPr>
              <w:spacing w:after="40"/>
            </w:pPr>
            <w:r>
              <w:rPr>
                <w:sz w:val="18"/>
              </w:rPr>
              <w:t>Complaint marked complete by an administrator.</w:t>
            </w:r>
          </w:p>
        </w:tc>
      </w:tr>
    </w:tbl>
    <w:p>
      <w:pPr>
        <w:spacing w:after="40"/>
      </w:pPr>
    </w:p>
    <w:p>
      <w:pPr>
        <w:pStyle w:val="Heading1"/>
      </w:pPr>
      <w:r>
        <w:rPr>
          <w:rFonts w:ascii="Calibri" w:hAnsi="Calibri"/>
          <w:color w:val="B43232"/>
        </w:rPr>
        <w:t>9. Functional Scope (Feature Catalogue)</w:t>
      </w:r>
    </w:p>
    <w:p>
      <w:pPr>
        <w:pStyle w:val="Heading2"/>
      </w:pPr>
      <w:r>
        <w:rPr>
          <w:rFonts w:ascii="Calibri" w:hAnsi="Calibri"/>
          <w:color w:val="7D1F1F"/>
        </w:rPr>
        <w:t>9.1 Accounts &amp; access</w:t>
      </w:r>
    </w:p>
    <w:p>
      <w:pPr>
        <w:pStyle w:val="ListBullet"/>
      </w:pPr>
      <w:r>
        <w:t>Email/password registration with mandatory email verification.</w:t>
      </w:r>
    </w:p>
    <w:p>
      <w:pPr>
        <w:pStyle w:val="ListBullet"/>
      </w:pPr>
      <w:r>
        <w:t>Social sign-in with Google and Facebook.</w:t>
      </w:r>
    </w:p>
    <w:p>
      <w:pPr>
        <w:pStyle w:val="ListBullet"/>
      </w:pPr>
      <w:r>
        <w:t>Password reset by email; per-account lockout after repeated failed logins.</w:t>
      </w:r>
    </w:p>
    <w:p>
      <w:pPr>
        <w:pStyle w:val="ListBullet"/>
      </w:pPr>
      <w:r>
        <w:t>Consent capture for Terms, Privacy, and optional Marketing, with versioning.</w:t>
      </w:r>
    </w:p>
    <w:p>
      <w:pPr>
        <w:pStyle w:val="Heading2"/>
      </w:pPr>
      <w:r>
        <w:rPr>
          <w:rFonts w:ascii="Calibri" w:hAnsi="Calibri"/>
          <w:color w:val="7D1F1F"/>
        </w:rPr>
        <w:t>9.2 Complaint handling</w:t>
      </w:r>
    </w:p>
    <w:p>
      <w:pPr>
        <w:pStyle w:val="ListBullet"/>
      </w:pPr>
      <w:r>
        <w:t>Structured complaint form with category, institution, title, description, urgency.</w:t>
      </w:r>
    </w:p>
    <w:p>
      <w:pPr>
        <w:pStyle w:val="ListBullet"/>
      </w:pPr>
      <w:r>
        <w:t>File attachments (PDF and common image formats) with size limits.</w:t>
      </w:r>
    </w:p>
    <w:p>
      <w:pPr>
        <w:pStyle w:val="ListBullet"/>
      </w:pPr>
      <w:r>
        <w:t>Automatic routing to institution plus mandatory Ombudsman copy.</w:t>
      </w:r>
    </w:p>
    <w:p>
      <w:pPr>
        <w:pStyle w:val="ListBullet"/>
      </w:pPr>
      <w:r>
        <w:t>Optional acknowledgement copy to the submitter.</w:t>
      </w:r>
    </w:p>
    <w:p>
      <w:pPr>
        <w:pStyle w:val="ListBullet"/>
      </w:pPr>
      <w:r>
        <w:t>Unique public tracking reference per complaint.</w:t>
      </w:r>
    </w:p>
    <w:p>
      <w:pPr>
        <w:pStyle w:val="ListBullet"/>
      </w:pPr>
      <w:r>
        <w:t>Moderation queue for anonymous complaints (approve / reject with reason).</w:t>
      </w:r>
    </w:p>
    <w:p>
      <w:pPr>
        <w:pStyle w:val="Heading2"/>
      </w:pPr>
      <w:r>
        <w:rPr>
          <w:rFonts w:ascii="Calibri" w:hAnsi="Calibri"/>
          <w:color w:val="7D1F1F"/>
        </w:rPr>
        <w:t>9.3 Administration</w:t>
      </w:r>
    </w:p>
    <w:p>
      <w:pPr>
        <w:pStyle w:val="ListBullet"/>
      </w:pPr>
      <w:r>
        <w:t>Institution register: create, edit, activate/deactivate, delete; grouped by category.</w:t>
      </w:r>
    </w:p>
    <w:p>
      <w:pPr>
        <w:pStyle w:val="ListBullet"/>
      </w:pPr>
      <w:r>
        <w:t>User management: list, change role/status, GDPR anonymisation, per-user data export.</w:t>
      </w:r>
    </w:p>
    <w:p>
      <w:pPr>
        <w:pStyle w:val="ListBullet"/>
      </w:pPr>
      <w:r>
        <w:t>Complaint search and filtering by text, category, institution, status, and date.</w:t>
      </w:r>
    </w:p>
    <w:p>
      <w:pPr>
        <w:pStyle w:val="ListBullet"/>
      </w:pPr>
      <w:r>
        <w:t>Full event history per complaint (immutable timeline).</w:t>
      </w:r>
    </w:p>
    <w:p>
      <w:pPr>
        <w:pStyle w:val="Heading2"/>
      </w:pPr>
      <w:r>
        <w:rPr>
          <w:rFonts w:ascii="Calibri" w:hAnsi="Calibri"/>
          <w:color w:val="7D1F1F"/>
        </w:rPr>
        <w:t>9.4 Statistics &amp; reporting</w:t>
      </w:r>
    </w:p>
    <w:p>
      <w:pPr>
        <w:pStyle w:val="ListBullet"/>
      </w:pPr>
      <w:r>
        <w:t>Public overview statistics on the home page (totals, forwarded, urgent, by category).</w:t>
      </w:r>
    </w:p>
    <w:p>
      <w:pPr>
        <w:pStyle w:val="ListBullet"/>
      </w:pPr>
      <w:r>
        <w:t>Administrator statistics with date-range filtering.</w:t>
      </w:r>
    </w:p>
    <w:p>
      <w:pPr>
        <w:pStyle w:val="ListBullet"/>
      </w:pPr>
      <w:r>
        <w:t>Export of complaint data to CSV and PDF.</w:t>
      </w:r>
    </w:p>
    <w:p>
      <w:pPr>
        <w:pStyle w:val="Heading2"/>
      </w:pPr>
      <w:r>
        <w:rPr>
          <w:rFonts w:ascii="Calibri" w:hAnsi="Calibri"/>
          <w:color w:val="7D1F1F"/>
        </w:rPr>
        <w:t>9.5 Platform</w:t>
      </w:r>
    </w:p>
    <w:p>
      <w:pPr>
        <w:pStyle w:val="ListBullet"/>
      </w:pPr>
      <w:r>
        <w:t>Bilingual interface (English and Bulgarian).</w:t>
      </w:r>
    </w:p>
    <w:p>
      <w:pPr>
        <w:pStyle w:val="ListBullet"/>
      </w:pPr>
      <w:r>
        <w:t>Brand-aligned visual design (Thirst-for-Life).</w:t>
      </w:r>
    </w:p>
    <w:p>
      <w:pPr>
        <w:pStyle w:val="ListBullet"/>
      </w:pPr>
      <w:r>
        <w:t>Email delivery with automatic retry and dead-letter handling.</w:t>
      </w:r>
    </w:p>
    <w:p>
      <w:pPr>
        <w:pStyle w:val="Heading1"/>
      </w:pPr>
      <w:r>
        <w:rPr>
          <w:rFonts w:ascii="Calibri" w:hAnsi="Calibri"/>
          <w:color w:val="B43232"/>
        </w:rPr>
        <w:t>10. Business Rules</w:t>
      </w:r>
    </w:p>
    <w:tbl>
      <w:tblPr>
        <w:tblW w:type="auto" w:w="0"/>
        <w:jc w:val="center"/>
        <w:tblLook w:firstColumn="1" w:firstRow="1" w:lastColumn="0" w:lastRow="0" w:noHBand="0" w:noVBand="1" w:val="04A0"/>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Pr>
      <w:tblGrid>
        <w:gridCol w:w="4320"/>
        <w:gridCol w:w="4320"/>
      </w:tblGrid>
      <w:tr>
        <w:tc>
          <w:tcPr>
            <w:tcW w:type="dxa" w:w="1008"/>
            <w:shd w:val="clear" w:color="auto" w:fill="B43232"/>
          </w:tcPr>
          <w:p>
            <w:pPr>
              <w:spacing w:after="40"/>
            </w:pPr>
            <w:r>
              <w:rPr>
                <w:b/>
                <w:color w:val="FFFFFF"/>
                <w:sz w:val="19"/>
              </w:rPr>
              <w:t>#</w:t>
            </w:r>
          </w:p>
        </w:tc>
        <w:tc>
          <w:tcPr>
            <w:tcW w:type="dxa" w:w="8352"/>
            <w:shd w:val="clear" w:color="auto" w:fill="B43232"/>
          </w:tcPr>
          <w:p>
            <w:pPr>
              <w:spacing w:after="40"/>
            </w:pPr>
            <w:r>
              <w:rPr>
                <w:b/>
                <w:color w:val="FFFFFF"/>
                <w:sz w:val="19"/>
              </w:rPr>
              <w:t>Rule</w:t>
            </w:r>
          </w:p>
        </w:tc>
      </w:tr>
      <w:tr>
        <w:tc>
          <w:tcPr>
            <w:tcW w:type="dxa" w:w="1008"/>
          </w:tcPr>
          <w:p>
            <w:pPr>
              <w:spacing w:after="40"/>
            </w:pPr>
            <w:r>
              <w:rPr>
                <w:sz w:val="18"/>
              </w:rPr>
              <w:t>BR-1</w:t>
            </w:r>
          </w:p>
        </w:tc>
        <w:tc>
          <w:tcPr>
            <w:tcW w:type="dxa" w:w="8352"/>
          </w:tcPr>
          <w:p>
            <w:pPr>
              <w:spacing w:after="40"/>
            </w:pPr>
            <w:r>
              <w:rPr>
                <w:sz w:val="18"/>
              </w:rPr>
              <w:t>Every forwarded complaint is copied to the Ombudsman without exception.</w:t>
            </w:r>
          </w:p>
        </w:tc>
      </w:tr>
      <w:tr>
        <w:tc>
          <w:tcPr>
            <w:tcW w:type="dxa" w:w="1008"/>
            <w:shd w:val="clear" w:color="auto" w:fill="F7F4F0"/>
          </w:tcPr>
          <w:p>
            <w:pPr>
              <w:spacing w:after="40"/>
            </w:pPr>
            <w:r>
              <w:rPr>
                <w:sz w:val="18"/>
              </w:rPr>
              <w:t>BR-2</w:t>
            </w:r>
          </w:p>
        </w:tc>
        <w:tc>
          <w:tcPr>
            <w:tcW w:type="dxa" w:w="8352"/>
            <w:shd w:val="clear" w:color="auto" w:fill="F7F4F0"/>
          </w:tcPr>
          <w:p>
            <w:pPr>
              <w:spacing w:after="40"/>
            </w:pPr>
            <w:r>
              <w:rPr>
                <w:sz w:val="18"/>
              </w:rPr>
              <w:t>Anonymous complaints must be approved by an administrator before forwarding.</w:t>
            </w:r>
          </w:p>
        </w:tc>
      </w:tr>
      <w:tr>
        <w:tc>
          <w:tcPr>
            <w:tcW w:type="dxa" w:w="1008"/>
          </w:tcPr>
          <w:p>
            <w:pPr>
              <w:spacing w:after="40"/>
            </w:pPr>
            <w:r>
              <w:rPr>
                <w:sz w:val="18"/>
              </w:rPr>
              <w:t>BR-3</w:t>
            </w:r>
          </w:p>
        </w:tc>
        <w:tc>
          <w:tcPr>
            <w:tcW w:type="dxa" w:w="8352"/>
          </w:tcPr>
          <w:p>
            <w:pPr>
              <w:spacing w:after="40"/>
            </w:pPr>
            <w:r>
              <w:rPr>
                <w:sz w:val="18"/>
              </w:rPr>
              <w:t>Registered users' complaints are forwarded automatically on submission.</w:t>
            </w:r>
          </w:p>
        </w:tc>
      </w:tr>
      <w:tr>
        <w:tc>
          <w:tcPr>
            <w:tcW w:type="dxa" w:w="1008"/>
            <w:shd w:val="clear" w:color="auto" w:fill="F7F4F0"/>
          </w:tcPr>
          <w:p>
            <w:pPr>
              <w:spacing w:after="40"/>
            </w:pPr>
            <w:r>
              <w:rPr>
                <w:sz w:val="18"/>
              </w:rPr>
              <w:t>BR-4</w:t>
            </w:r>
          </w:p>
        </w:tc>
        <w:tc>
          <w:tcPr>
            <w:tcW w:type="dxa" w:w="8352"/>
            <w:shd w:val="clear" w:color="auto" w:fill="F7F4F0"/>
          </w:tcPr>
          <w:p>
            <w:pPr>
              <w:spacing w:after="40"/>
            </w:pPr>
            <w:r>
              <w:rPr>
                <w:sz w:val="18"/>
              </w:rPr>
              <w:t>A complaint description must meet a minimum length to be accepted.</w:t>
            </w:r>
          </w:p>
        </w:tc>
      </w:tr>
      <w:tr>
        <w:tc>
          <w:tcPr>
            <w:tcW w:type="dxa" w:w="1008"/>
          </w:tcPr>
          <w:p>
            <w:pPr>
              <w:spacing w:after="40"/>
            </w:pPr>
            <w:r>
              <w:rPr>
                <w:sz w:val="18"/>
              </w:rPr>
              <w:t>BR-5</w:t>
            </w:r>
          </w:p>
        </w:tc>
        <w:tc>
          <w:tcPr>
            <w:tcW w:type="dxa" w:w="8352"/>
          </w:tcPr>
          <w:p>
            <w:pPr>
              <w:spacing w:after="40"/>
            </w:pPr>
            <w:r>
              <w:rPr>
                <w:sz w:val="18"/>
              </w:rPr>
              <w:t>Only complaints in "pending review" can be approved or rejected.</w:t>
            </w:r>
          </w:p>
        </w:tc>
      </w:tr>
      <w:tr>
        <w:tc>
          <w:tcPr>
            <w:tcW w:type="dxa" w:w="1008"/>
            <w:shd w:val="clear" w:color="auto" w:fill="F7F4F0"/>
          </w:tcPr>
          <w:p>
            <w:pPr>
              <w:spacing w:after="40"/>
            </w:pPr>
            <w:r>
              <w:rPr>
                <w:sz w:val="18"/>
              </w:rPr>
              <w:t>BR-6</w:t>
            </w:r>
          </w:p>
        </w:tc>
        <w:tc>
          <w:tcPr>
            <w:tcW w:type="dxa" w:w="8352"/>
            <w:shd w:val="clear" w:color="auto" w:fill="F7F4F0"/>
          </w:tcPr>
          <w:p>
            <w:pPr>
              <w:spacing w:after="40"/>
            </w:pPr>
            <w:r>
              <w:rPr>
                <w:sz w:val="18"/>
              </w:rPr>
              <w:t>Only complaints in "forwarded" can be closed.</w:t>
            </w:r>
          </w:p>
        </w:tc>
      </w:tr>
      <w:tr>
        <w:tc>
          <w:tcPr>
            <w:tcW w:type="dxa" w:w="1008"/>
          </w:tcPr>
          <w:p>
            <w:pPr>
              <w:spacing w:after="40"/>
            </w:pPr>
            <w:r>
              <w:rPr>
                <w:sz w:val="18"/>
              </w:rPr>
              <w:t>BR-7</w:t>
            </w:r>
          </w:p>
        </w:tc>
        <w:tc>
          <w:tcPr>
            <w:tcW w:type="dxa" w:w="8352"/>
          </w:tcPr>
          <w:p>
            <w:pPr>
              <w:spacing w:after="40"/>
            </w:pPr>
            <w:r>
              <w:rPr>
                <w:sz w:val="18"/>
              </w:rPr>
              <w:t>A complaint is forwarded at most once (no duplicate dispatch).</w:t>
            </w:r>
          </w:p>
        </w:tc>
      </w:tr>
      <w:tr>
        <w:tc>
          <w:tcPr>
            <w:tcW w:type="dxa" w:w="1008"/>
            <w:shd w:val="clear" w:color="auto" w:fill="F7F4F0"/>
          </w:tcPr>
          <w:p>
            <w:pPr>
              <w:spacing w:after="40"/>
            </w:pPr>
            <w:r>
              <w:rPr>
                <w:sz w:val="18"/>
              </w:rPr>
              <w:t>BR-8</w:t>
            </w:r>
          </w:p>
        </w:tc>
        <w:tc>
          <w:tcPr>
            <w:tcW w:type="dxa" w:w="8352"/>
            <w:shd w:val="clear" w:color="auto" w:fill="F7F4F0"/>
          </w:tcPr>
          <w:p>
            <w:pPr>
              <w:spacing w:after="40"/>
            </w:pPr>
            <w:r>
              <w:rPr>
                <w:sz w:val="18"/>
              </w:rPr>
              <w:t>Attachments must match an allowed file type by actual content, not just name.</w:t>
            </w:r>
          </w:p>
        </w:tc>
      </w:tr>
      <w:tr>
        <w:tc>
          <w:tcPr>
            <w:tcW w:type="dxa" w:w="1008"/>
          </w:tcPr>
          <w:p>
            <w:pPr>
              <w:spacing w:after="40"/>
            </w:pPr>
            <w:r>
              <w:rPr>
                <w:sz w:val="18"/>
              </w:rPr>
              <w:t>BR-9</w:t>
            </w:r>
          </w:p>
        </w:tc>
        <w:tc>
          <w:tcPr>
            <w:tcW w:type="dxa" w:w="8352"/>
          </w:tcPr>
          <w:p>
            <w:pPr>
              <w:spacing w:after="40"/>
            </w:pPr>
            <w:r>
              <w:rPr>
                <w:sz w:val="18"/>
              </w:rPr>
              <w:t>A user can only view complaints they submitted; administrators can view all.</w:t>
            </w:r>
          </w:p>
        </w:tc>
      </w:tr>
      <w:tr>
        <w:tc>
          <w:tcPr>
            <w:tcW w:type="dxa" w:w="1008"/>
            <w:shd w:val="clear" w:color="auto" w:fill="F7F4F0"/>
          </w:tcPr>
          <w:p>
            <w:pPr>
              <w:spacing w:after="40"/>
            </w:pPr>
            <w:r>
              <w:rPr>
                <w:sz w:val="18"/>
              </w:rPr>
              <w:t>BR-10</w:t>
            </w:r>
          </w:p>
        </w:tc>
        <w:tc>
          <w:tcPr>
            <w:tcW w:type="dxa" w:w="8352"/>
            <w:shd w:val="clear" w:color="auto" w:fill="F7F4F0"/>
          </w:tcPr>
          <w:p>
            <w:pPr>
              <w:spacing w:after="40"/>
            </w:pPr>
            <w:r>
              <w:rPr>
                <w:sz w:val="18"/>
              </w:rPr>
              <w:t>Rejected complaints must carry a reason recorded by the administrator.</w:t>
            </w:r>
          </w:p>
        </w:tc>
      </w:tr>
    </w:tbl>
    <w:p>
      <w:pPr>
        <w:spacing w:after="40"/>
      </w:pPr>
    </w:p>
    <w:p>
      <w:pPr>
        <w:pStyle w:val="Heading1"/>
      </w:pPr>
      <w:r>
        <w:rPr>
          <w:rFonts w:ascii="Calibri" w:hAnsi="Calibri"/>
          <w:color w:val="B43232"/>
        </w:rPr>
        <w:t>11. Compliance &amp; Data Protection</w:t>
      </w:r>
    </w:p>
    <w:p>
      <w:r>
        <w:rPr>
          <w:b w:val="0"/>
          <w:i w:val="0"/>
          <w:sz w:val="21"/>
        </w:rPr>
        <w:t>The platform handles personal data and is designed with data-protection obligations in mind:</w:t>
      </w:r>
    </w:p>
    <w:p>
      <w:pPr>
        <w:pStyle w:val="ListBullet"/>
      </w:pPr>
      <w:r>
        <w:rPr>
          <w:b/>
        </w:rPr>
        <w:t xml:space="preserve">Consent — </w:t>
      </w:r>
      <w:r>
        <w:t>Terms and Privacy acceptance is captured at registration with the document version, timestamp, and originating IP/device recorded.</w:t>
      </w:r>
    </w:p>
    <w:p>
      <w:pPr>
        <w:pStyle w:val="ListBullet"/>
      </w:pPr>
      <w:r>
        <w:rPr>
          <w:b/>
        </w:rPr>
        <w:t xml:space="preserve">Right to export — </w:t>
      </w:r>
      <w:r>
        <w:t>Administrators can export all data held about a user.</w:t>
      </w:r>
    </w:p>
    <w:p>
      <w:pPr>
        <w:pStyle w:val="ListBullet"/>
      </w:pPr>
      <w:r>
        <w:rPr>
          <w:b/>
        </w:rPr>
        <w:t xml:space="preserve">Right to be forgotten — </w:t>
      </w:r>
      <w:r>
        <w:t>Administrators can anonymise a user, severing personal identifiers while preserving statistical integrity.</w:t>
      </w:r>
    </w:p>
    <w:p>
      <w:pPr>
        <w:pStyle w:val="ListBullet"/>
      </w:pPr>
      <w:r>
        <w:rPr>
          <w:b/>
        </w:rPr>
        <w:t xml:space="preserve">Data minimisation — </w:t>
      </w:r>
      <w:r>
        <w:t>Anonymous complaints require no account; contact details are optional.</w:t>
      </w:r>
    </w:p>
    <w:p>
      <w:pPr>
        <w:pStyle w:val="ListBullet"/>
      </w:pPr>
      <w:r>
        <w:rPr>
          <w:b/>
        </w:rPr>
        <w:t xml:space="preserve">Auditability — </w:t>
      </w:r>
      <w:r>
        <w:t>Security-relevant actions are recorded in an audit log.</w:t>
      </w:r>
    </w:p>
    <w:p>
      <w:pPr>
        <w:pStyle w:val="Heading1"/>
      </w:pPr>
      <w:r>
        <w:rPr>
          <w:rFonts w:ascii="Calibri" w:hAnsi="Calibri"/>
          <w:color w:val="B43232"/>
        </w:rPr>
        <w:t>12. Non-Functional Expectations</w:t>
      </w:r>
    </w:p>
    <w:tbl>
      <w:tblPr>
        <w:tblW w:type="auto" w:w="0"/>
        <w:jc w:val="center"/>
        <w:tblLook w:firstColumn="1" w:firstRow="1" w:lastColumn="0" w:lastRow="0" w:noHBand="0" w:noVBand="1" w:val="04A0"/>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Pr>
      <w:tblGrid>
        <w:gridCol w:w="4320"/>
        <w:gridCol w:w="4320"/>
      </w:tblGrid>
      <w:tr>
        <w:tc>
          <w:tcPr>
            <w:tcW w:type="dxa" w:w="2304"/>
            <w:shd w:val="clear" w:color="auto" w:fill="B43232"/>
          </w:tcPr>
          <w:p>
            <w:pPr>
              <w:spacing w:after="40"/>
            </w:pPr>
            <w:r>
              <w:rPr>
                <w:b/>
                <w:color w:val="FFFFFF"/>
                <w:sz w:val="19"/>
              </w:rPr>
              <w:t>Area</w:t>
            </w:r>
          </w:p>
        </w:tc>
        <w:tc>
          <w:tcPr>
            <w:tcW w:type="dxa" w:w="7056"/>
            <w:shd w:val="clear" w:color="auto" w:fill="B43232"/>
          </w:tcPr>
          <w:p>
            <w:pPr>
              <w:spacing w:after="40"/>
            </w:pPr>
            <w:r>
              <w:rPr>
                <w:b/>
                <w:color w:val="FFFFFF"/>
                <w:sz w:val="19"/>
              </w:rPr>
              <w:t>Expectation</w:t>
            </w:r>
          </w:p>
        </w:tc>
      </w:tr>
      <w:tr>
        <w:tc>
          <w:tcPr>
            <w:tcW w:type="dxa" w:w="2304"/>
          </w:tcPr>
          <w:p>
            <w:pPr>
              <w:spacing w:after="40"/>
            </w:pPr>
            <w:r>
              <w:rPr>
                <w:sz w:val="18"/>
              </w:rPr>
              <w:t>Security</w:t>
            </w:r>
          </w:p>
        </w:tc>
        <w:tc>
          <w:tcPr>
            <w:tcW w:type="dxa" w:w="7056"/>
          </w:tcPr>
          <w:p>
            <w:pPr>
              <w:spacing w:after="40"/>
            </w:pPr>
            <w:r>
              <w:rPr>
                <w:sz w:val="18"/>
              </w:rPr>
              <w:t>Strong password hashing, protected sessions, captcha, rate limiting, and abuse lockout.</w:t>
            </w:r>
          </w:p>
        </w:tc>
      </w:tr>
      <w:tr>
        <w:tc>
          <w:tcPr>
            <w:tcW w:type="dxa" w:w="2304"/>
            <w:shd w:val="clear" w:color="auto" w:fill="F7F4F0"/>
          </w:tcPr>
          <w:p>
            <w:pPr>
              <w:spacing w:after="40"/>
            </w:pPr>
            <w:r>
              <w:rPr>
                <w:sz w:val="18"/>
              </w:rPr>
              <w:t>Privacy</w:t>
            </w:r>
          </w:p>
        </w:tc>
        <w:tc>
          <w:tcPr>
            <w:tcW w:type="dxa" w:w="7056"/>
            <w:shd w:val="clear" w:color="auto" w:fill="F7F4F0"/>
          </w:tcPr>
          <w:p>
            <w:pPr>
              <w:spacing w:after="40"/>
            </w:pPr>
            <w:r>
              <w:rPr>
                <w:sz w:val="18"/>
              </w:rPr>
              <w:t>Consent tracking, data export and anonymisation, minimal data capture.</w:t>
            </w:r>
          </w:p>
        </w:tc>
      </w:tr>
      <w:tr>
        <w:tc>
          <w:tcPr>
            <w:tcW w:type="dxa" w:w="2304"/>
          </w:tcPr>
          <w:p>
            <w:pPr>
              <w:spacing w:after="40"/>
            </w:pPr>
            <w:r>
              <w:rPr>
                <w:sz w:val="18"/>
              </w:rPr>
              <w:t>Reliability</w:t>
            </w:r>
          </w:p>
        </w:tc>
        <w:tc>
          <w:tcPr>
            <w:tcW w:type="dxa" w:w="7056"/>
          </w:tcPr>
          <w:p>
            <w:pPr>
              <w:spacing w:after="40"/>
            </w:pPr>
            <w:r>
              <w:rPr>
                <w:sz w:val="18"/>
              </w:rPr>
              <w:t>Email delivery retried automatically; no complaint silently lost.</w:t>
            </w:r>
          </w:p>
        </w:tc>
      </w:tr>
      <w:tr>
        <w:tc>
          <w:tcPr>
            <w:tcW w:type="dxa" w:w="2304"/>
            <w:shd w:val="clear" w:color="auto" w:fill="F7F4F0"/>
          </w:tcPr>
          <w:p>
            <w:pPr>
              <w:spacing w:after="40"/>
            </w:pPr>
            <w:r>
              <w:rPr>
                <w:sz w:val="18"/>
              </w:rPr>
              <w:t>Usability</w:t>
            </w:r>
          </w:p>
        </w:tc>
        <w:tc>
          <w:tcPr>
            <w:tcW w:type="dxa" w:w="7056"/>
            <w:shd w:val="clear" w:color="auto" w:fill="F7F4F0"/>
          </w:tcPr>
          <w:p>
            <w:pPr>
              <w:spacing w:after="40"/>
            </w:pPr>
            <w:r>
              <w:rPr>
                <w:sz w:val="18"/>
              </w:rPr>
              <w:t>Single-form submission, clear tracking reference, bilingual UI.</w:t>
            </w:r>
          </w:p>
        </w:tc>
      </w:tr>
      <w:tr>
        <w:tc>
          <w:tcPr>
            <w:tcW w:type="dxa" w:w="2304"/>
          </w:tcPr>
          <w:p>
            <w:pPr>
              <w:spacing w:after="40"/>
            </w:pPr>
            <w:r>
              <w:rPr>
                <w:sz w:val="18"/>
              </w:rPr>
              <w:t>Accessibility</w:t>
            </w:r>
          </w:p>
        </w:tc>
        <w:tc>
          <w:tcPr>
            <w:tcW w:type="dxa" w:w="7056"/>
          </w:tcPr>
          <w:p>
            <w:pPr>
              <w:spacing w:after="40"/>
            </w:pPr>
            <w:r>
              <w:rPr>
                <w:sz w:val="18"/>
              </w:rPr>
              <w:t>Keyboard-navigable, labelled forms, readable contrast.</w:t>
            </w:r>
          </w:p>
        </w:tc>
      </w:tr>
      <w:tr>
        <w:tc>
          <w:tcPr>
            <w:tcW w:type="dxa" w:w="2304"/>
            <w:shd w:val="clear" w:color="auto" w:fill="F7F4F0"/>
          </w:tcPr>
          <w:p>
            <w:pPr>
              <w:spacing w:after="40"/>
            </w:pPr>
            <w:r>
              <w:rPr>
                <w:sz w:val="18"/>
              </w:rPr>
              <w:t>Localisation</w:t>
            </w:r>
          </w:p>
        </w:tc>
        <w:tc>
          <w:tcPr>
            <w:tcW w:type="dxa" w:w="7056"/>
            <w:shd w:val="clear" w:color="auto" w:fill="F7F4F0"/>
          </w:tcPr>
          <w:p>
            <w:pPr>
              <w:spacing w:after="40"/>
            </w:pPr>
            <w:r>
              <w:rPr>
                <w:sz w:val="18"/>
              </w:rPr>
              <w:t>Full English and Bulgarian language support.</w:t>
            </w:r>
          </w:p>
        </w:tc>
      </w:tr>
      <w:tr>
        <w:tc>
          <w:tcPr>
            <w:tcW w:type="dxa" w:w="2304"/>
          </w:tcPr>
          <w:p>
            <w:pPr>
              <w:spacing w:after="40"/>
            </w:pPr>
            <w:r>
              <w:rPr>
                <w:sz w:val="18"/>
              </w:rPr>
              <w:t>Brand</w:t>
            </w:r>
          </w:p>
        </w:tc>
        <w:tc>
          <w:tcPr>
            <w:tcW w:type="dxa" w:w="7056"/>
          </w:tcPr>
          <w:p>
            <w:pPr>
              <w:spacing w:after="40"/>
            </w:pPr>
            <w:r>
              <w:rPr>
                <w:sz w:val="18"/>
              </w:rPr>
              <w:t>Visual alignment with the Thirst-for-Life identity.</w:t>
            </w:r>
          </w:p>
        </w:tc>
      </w:tr>
    </w:tbl>
    <w:p>
      <w:pPr>
        <w:spacing w:after="40"/>
      </w:pPr>
    </w:p>
    <w:p>
      <w:pPr>
        <w:pStyle w:val="Heading1"/>
      </w:pPr>
      <w:r>
        <w:rPr>
          <w:rFonts w:ascii="Calibri" w:hAnsi="Calibri"/>
          <w:color w:val="B43232"/>
        </w:rPr>
        <w:t>13. Success Metrics (KPIs)</w:t>
      </w:r>
    </w:p>
    <w:tbl>
      <w:tblPr>
        <w:tblW w:type="auto" w:w="0"/>
        <w:jc w:val="center"/>
        <w:tblLook w:firstColumn="1" w:firstRow="1" w:lastColumn="0" w:lastRow="0" w:noHBand="0" w:noVBand="1" w:val="04A0"/>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Pr>
      <w:tblGrid>
        <w:gridCol w:w="4320"/>
        <w:gridCol w:w="4320"/>
      </w:tblGrid>
      <w:tr>
        <w:tc>
          <w:tcPr>
            <w:tcW w:type="dxa" w:w="3312"/>
            <w:shd w:val="clear" w:color="auto" w:fill="B43232"/>
          </w:tcPr>
          <w:p>
            <w:pPr>
              <w:spacing w:after="40"/>
            </w:pPr>
            <w:r>
              <w:rPr>
                <w:b/>
                <w:color w:val="FFFFFF"/>
                <w:sz w:val="19"/>
              </w:rPr>
              <w:t>Metric</w:t>
            </w:r>
          </w:p>
        </w:tc>
        <w:tc>
          <w:tcPr>
            <w:tcW w:type="dxa" w:w="6048"/>
            <w:shd w:val="clear" w:color="auto" w:fill="B43232"/>
          </w:tcPr>
          <w:p>
            <w:pPr>
              <w:spacing w:after="40"/>
            </w:pPr>
            <w:r>
              <w:rPr>
                <w:b/>
                <w:color w:val="FFFFFF"/>
                <w:sz w:val="19"/>
              </w:rPr>
              <w:t>Why it matters</w:t>
            </w:r>
          </w:p>
        </w:tc>
      </w:tr>
      <w:tr>
        <w:tc>
          <w:tcPr>
            <w:tcW w:type="dxa" w:w="3312"/>
          </w:tcPr>
          <w:p>
            <w:pPr>
              <w:spacing w:after="40"/>
            </w:pPr>
            <w:r>
              <w:rPr>
                <w:sz w:val="18"/>
              </w:rPr>
              <w:t>Complaints submitted / month</w:t>
            </w:r>
          </w:p>
        </w:tc>
        <w:tc>
          <w:tcPr>
            <w:tcW w:type="dxa" w:w="6048"/>
          </w:tcPr>
          <w:p>
            <w:pPr>
              <w:spacing w:after="40"/>
            </w:pPr>
            <w:r>
              <w:rPr>
                <w:sz w:val="18"/>
              </w:rPr>
              <w:t>Adoption and reach of the platform.</w:t>
            </w:r>
          </w:p>
        </w:tc>
      </w:tr>
      <w:tr>
        <w:tc>
          <w:tcPr>
            <w:tcW w:type="dxa" w:w="3312"/>
            <w:shd w:val="clear" w:color="auto" w:fill="F7F4F0"/>
          </w:tcPr>
          <w:p>
            <w:pPr>
              <w:spacing w:after="40"/>
            </w:pPr>
            <w:r>
              <w:rPr>
                <w:sz w:val="18"/>
              </w:rPr>
              <w:t>% forwarded successfully</w:t>
            </w:r>
          </w:p>
        </w:tc>
        <w:tc>
          <w:tcPr>
            <w:tcW w:type="dxa" w:w="6048"/>
            <w:shd w:val="clear" w:color="auto" w:fill="F7F4F0"/>
          </w:tcPr>
          <w:p>
            <w:pPr>
              <w:spacing w:after="40"/>
            </w:pPr>
            <w:r>
              <w:rPr>
                <w:sz w:val="18"/>
              </w:rPr>
              <w:t>Core promise: complaints reach institutions.</w:t>
            </w:r>
          </w:p>
        </w:tc>
      </w:tr>
      <w:tr>
        <w:tc>
          <w:tcPr>
            <w:tcW w:type="dxa" w:w="3312"/>
          </w:tcPr>
          <w:p>
            <w:pPr>
              <w:spacing w:after="40"/>
            </w:pPr>
            <w:r>
              <w:rPr>
                <w:sz w:val="18"/>
              </w:rPr>
              <w:t>Median moderation time</w:t>
            </w:r>
          </w:p>
        </w:tc>
        <w:tc>
          <w:tcPr>
            <w:tcW w:type="dxa" w:w="6048"/>
          </w:tcPr>
          <w:p>
            <w:pPr>
              <w:spacing w:after="40"/>
            </w:pPr>
            <w:r>
              <w:rPr>
                <w:sz w:val="18"/>
              </w:rPr>
              <w:t>Responsiveness for anonymous complaints.</w:t>
            </w:r>
          </w:p>
        </w:tc>
      </w:tr>
      <w:tr>
        <w:tc>
          <w:tcPr>
            <w:tcW w:type="dxa" w:w="3312"/>
            <w:shd w:val="clear" w:color="auto" w:fill="F7F4F0"/>
          </w:tcPr>
          <w:p>
            <w:pPr>
              <w:spacing w:after="40"/>
            </w:pPr>
            <w:r>
              <w:rPr>
                <w:sz w:val="18"/>
              </w:rPr>
              <w:t>Rejection rate</w:t>
            </w:r>
          </w:p>
        </w:tc>
        <w:tc>
          <w:tcPr>
            <w:tcW w:type="dxa" w:w="6048"/>
            <w:shd w:val="clear" w:color="auto" w:fill="F7F4F0"/>
          </w:tcPr>
          <w:p>
            <w:pPr>
              <w:spacing w:after="40"/>
            </w:pPr>
            <w:r>
              <w:rPr>
                <w:sz w:val="18"/>
              </w:rPr>
              <w:t>Quality of intake and effectiveness of moderation.</w:t>
            </w:r>
          </w:p>
        </w:tc>
      </w:tr>
      <w:tr>
        <w:tc>
          <w:tcPr>
            <w:tcW w:type="dxa" w:w="3312"/>
          </w:tcPr>
          <w:p>
            <w:pPr>
              <w:spacing w:after="40"/>
            </w:pPr>
            <w:r>
              <w:rPr>
                <w:sz w:val="18"/>
              </w:rPr>
              <w:t>Email delivery success rate</w:t>
            </w:r>
          </w:p>
        </w:tc>
        <w:tc>
          <w:tcPr>
            <w:tcW w:type="dxa" w:w="6048"/>
          </w:tcPr>
          <w:p>
            <w:pPr>
              <w:spacing w:after="40"/>
            </w:pPr>
            <w:r>
              <w:rPr>
                <w:sz w:val="18"/>
              </w:rPr>
              <w:t>Reliability of the routing guarantee.</w:t>
            </w:r>
          </w:p>
        </w:tc>
      </w:tr>
      <w:tr>
        <w:tc>
          <w:tcPr>
            <w:tcW w:type="dxa" w:w="3312"/>
            <w:shd w:val="clear" w:color="auto" w:fill="F7F4F0"/>
          </w:tcPr>
          <w:p>
            <w:pPr>
              <w:spacing w:after="40"/>
            </w:pPr>
            <w:r>
              <w:rPr>
                <w:sz w:val="18"/>
              </w:rPr>
              <w:t>Registered vs anonymous ratio</w:t>
            </w:r>
          </w:p>
        </w:tc>
        <w:tc>
          <w:tcPr>
            <w:tcW w:type="dxa" w:w="6048"/>
            <w:shd w:val="clear" w:color="auto" w:fill="F7F4F0"/>
          </w:tcPr>
          <w:p>
            <w:pPr>
              <w:spacing w:after="40"/>
            </w:pPr>
            <w:r>
              <w:rPr>
                <w:sz w:val="18"/>
              </w:rPr>
              <w:t>Trust and engagement of the user base.</w:t>
            </w:r>
          </w:p>
        </w:tc>
      </w:tr>
    </w:tbl>
    <w:p>
      <w:pPr>
        <w:spacing w:after="40"/>
      </w:pPr>
    </w:p>
    <w:p>
      <w:pPr>
        <w:pStyle w:val="Heading1"/>
      </w:pPr>
      <w:r>
        <w:rPr>
          <w:rFonts w:ascii="Calibri" w:hAnsi="Calibri"/>
          <w:color w:val="B43232"/>
        </w:rPr>
        <w:t>14. Risks &amp; Assumptions</w:t>
      </w:r>
    </w:p>
    <w:tbl>
      <w:tblPr>
        <w:tblW w:type="auto" w:w="0"/>
        <w:jc w:val="center"/>
        <w:tblLook w:firstColumn="1" w:firstRow="1" w:lastColumn="0" w:lastRow="0" w:noHBand="0" w:noVBand="1" w:val="04A0"/>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Pr>
      <w:tblGrid>
        <w:gridCol w:w="2880"/>
        <w:gridCol w:w="2880"/>
        <w:gridCol w:w="2880"/>
      </w:tblGrid>
      <w:tr>
        <w:tc>
          <w:tcPr>
            <w:tcW w:type="dxa" w:w="1440"/>
            <w:shd w:val="clear" w:color="auto" w:fill="B43232"/>
          </w:tcPr>
          <w:p>
            <w:pPr>
              <w:spacing w:after="40"/>
            </w:pPr>
            <w:r>
              <w:rPr>
                <w:b/>
                <w:color w:val="FFFFFF"/>
                <w:sz w:val="19"/>
              </w:rPr>
              <w:t>Type</w:t>
            </w:r>
          </w:p>
        </w:tc>
        <w:tc>
          <w:tcPr>
            <w:tcW w:type="dxa" w:w="3744"/>
            <w:shd w:val="clear" w:color="auto" w:fill="B43232"/>
          </w:tcPr>
          <w:p>
            <w:pPr>
              <w:spacing w:after="40"/>
            </w:pPr>
            <w:r>
              <w:rPr>
                <w:b/>
                <w:color w:val="FFFFFF"/>
                <w:sz w:val="19"/>
              </w:rPr>
              <w:t>Item</w:t>
            </w:r>
          </w:p>
        </w:tc>
        <w:tc>
          <w:tcPr>
            <w:tcW w:type="dxa" w:w="4176"/>
            <w:shd w:val="clear" w:color="auto" w:fill="B43232"/>
          </w:tcPr>
          <w:p>
            <w:pPr>
              <w:spacing w:after="40"/>
            </w:pPr>
            <w:r>
              <w:rPr>
                <w:b/>
                <w:color w:val="FFFFFF"/>
                <w:sz w:val="19"/>
              </w:rPr>
              <w:t>Mitigation / note</w:t>
            </w:r>
          </w:p>
        </w:tc>
      </w:tr>
      <w:tr>
        <w:tc>
          <w:tcPr>
            <w:tcW w:type="dxa" w:w="1440"/>
          </w:tcPr>
          <w:p>
            <w:pPr>
              <w:spacing w:after="40"/>
            </w:pPr>
            <w:r>
              <w:rPr>
                <w:sz w:val="18"/>
              </w:rPr>
              <w:t>Risk</w:t>
            </w:r>
          </w:p>
        </w:tc>
        <w:tc>
          <w:tcPr>
            <w:tcW w:type="dxa" w:w="3744"/>
          </w:tcPr>
          <w:p>
            <w:pPr>
              <w:spacing w:after="40"/>
            </w:pPr>
            <w:r>
              <w:rPr>
                <w:sz w:val="18"/>
              </w:rPr>
              <w:t>Abuse via anonymous spam</w:t>
            </w:r>
          </w:p>
        </w:tc>
        <w:tc>
          <w:tcPr>
            <w:tcW w:type="dxa" w:w="4176"/>
          </w:tcPr>
          <w:p>
            <w:pPr>
              <w:spacing w:after="40"/>
            </w:pPr>
            <w:r>
              <w:rPr>
                <w:sz w:val="18"/>
              </w:rPr>
              <w:t>Captcha, rate limiting, mandatory moderation.</w:t>
            </w:r>
          </w:p>
        </w:tc>
      </w:tr>
      <w:tr>
        <w:tc>
          <w:tcPr>
            <w:tcW w:type="dxa" w:w="1440"/>
            <w:shd w:val="clear" w:color="auto" w:fill="F7F4F0"/>
          </w:tcPr>
          <w:p>
            <w:pPr>
              <w:spacing w:after="40"/>
            </w:pPr>
            <w:r>
              <w:rPr>
                <w:sz w:val="18"/>
              </w:rPr>
              <w:t>Risk</w:t>
            </w:r>
          </w:p>
        </w:tc>
        <w:tc>
          <w:tcPr>
            <w:tcW w:type="dxa" w:w="3744"/>
            <w:shd w:val="clear" w:color="auto" w:fill="F7F4F0"/>
          </w:tcPr>
          <w:p>
            <w:pPr>
              <w:spacing w:after="40"/>
            </w:pPr>
            <w:r>
              <w:rPr>
                <w:sz w:val="18"/>
              </w:rPr>
              <w:t>Incorrect institution routing</w:t>
            </w:r>
          </w:p>
        </w:tc>
        <w:tc>
          <w:tcPr>
            <w:tcW w:type="dxa" w:w="4176"/>
            <w:shd w:val="clear" w:color="auto" w:fill="F7F4F0"/>
          </w:tcPr>
          <w:p>
            <w:pPr>
              <w:spacing w:after="40"/>
            </w:pPr>
            <w:r>
              <w:rPr>
                <w:sz w:val="18"/>
              </w:rPr>
              <w:t>Curated institution register; free-text fallback.</w:t>
            </w:r>
          </w:p>
        </w:tc>
      </w:tr>
      <w:tr>
        <w:tc>
          <w:tcPr>
            <w:tcW w:type="dxa" w:w="1440"/>
          </w:tcPr>
          <w:p>
            <w:pPr>
              <w:spacing w:after="40"/>
            </w:pPr>
            <w:r>
              <w:rPr>
                <w:sz w:val="18"/>
              </w:rPr>
              <w:t>Risk</w:t>
            </w:r>
          </w:p>
        </w:tc>
        <w:tc>
          <w:tcPr>
            <w:tcW w:type="dxa" w:w="3744"/>
          </w:tcPr>
          <w:p>
            <w:pPr>
              <w:spacing w:after="40"/>
            </w:pPr>
            <w:r>
              <w:rPr>
                <w:sz w:val="18"/>
              </w:rPr>
              <w:t>Email non-delivery</w:t>
            </w:r>
          </w:p>
        </w:tc>
        <w:tc>
          <w:tcPr>
            <w:tcW w:type="dxa" w:w="4176"/>
          </w:tcPr>
          <w:p>
            <w:pPr>
              <w:spacing w:after="40"/>
            </w:pPr>
            <w:r>
              <w:rPr>
                <w:sz w:val="18"/>
              </w:rPr>
              <w:t>Retry with dead-letter and audit visibility.</w:t>
            </w:r>
          </w:p>
        </w:tc>
      </w:tr>
      <w:tr>
        <w:tc>
          <w:tcPr>
            <w:tcW w:type="dxa" w:w="1440"/>
            <w:shd w:val="clear" w:color="auto" w:fill="F7F4F0"/>
          </w:tcPr>
          <w:p>
            <w:pPr>
              <w:spacing w:after="40"/>
            </w:pPr>
            <w:r>
              <w:rPr>
                <w:sz w:val="18"/>
              </w:rPr>
              <w:t>Risk</w:t>
            </w:r>
          </w:p>
        </w:tc>
        <w:tc>
          <w:tcPr>
            <w:tcW w:type="dxa" w:w="3744"/>
            <w:shd w:val="clear" w:color="auto" w:fill="F7F4F0"/>
          </w:tcPr>
          <w:p>
            <w:pPr>
              <w:spacing w:after="40"/>
            </w:pPr>
            <w:r>
              <w:rPr>
                <w:sz w:val="18"/>
              </w:rPr>
              <w:t>Personal-data exposure</w:t>
            </w:r>
          </w:p>
        </w:tc>
        <w:tc>
          <w:tcPr>
            <w:tcW w:type="dxa" w:w="4176"/>
            <w:shd w:val="clear" w:color="auto" w:fill="F7F4F0"/>
          </w:tcPr>
          <w:p>
            <w:pPr>
              <w:spacing w:after="40"/>
            </w:pPr>
            <w:r>
              <w:rPr>
                <w:sz w:val="18"/>
              </w:rPr>
              <w:t>Access control, consent, anonymisation, audit.</w:t>
            </w:r>
          </w:p>
        </w:tc>
      </w:tr>
      <w:tr>
        <w:tc>
          <w:tcPr>
            <w:tcW w:type="dxa" w:w="1440"/>
          </w:tcPr>
          <w:p>
            <w:pPr>
              <w:spacing w:after="40"/>
            </w:pPr>
            <w:r>
              <w:rPr>
                <w:sz w:val="18"/>
              </w:rPr>
              <w:t>Assumption</w:t>
            </w:r>
          </w:p>
        </w:tc>
        <w:tc>
          <w:tcPr>
            <w:tcW w:type="dxa" w:w="3744"/>
          </w:tcPr>
          <w:p>
            <w:pPr>
              <w:spacing w:after="40"/>
            </w:pPr>
            <w:r>
              <w:rPr>
                <w:sz w:val="18"/>
              </w:rPr>
              <w:t>Ombudsman email is stable</w:t>
            </w:r>
          </w:p>
        </w:tc>
        <w:tc>
          <w:tcPr>
            <w:tcW w:type="dxa" w:w="4176"/>
          </w:tcPr>
          <w:p>
            <w:pPr>
              <w:spacing w:after="40"/>
            </w:pPr>
            <w:r>
              <w:rPr>
                <w:sz w:val="18"/>
              </w:rPr>
              <w:t>Configured centrally; single point to maintain.</w:t>
            </w:r>
          </w:p>
        </w:tc>
      </w:tr>
      <w:tr>
        <w:tc>
          <w:tcPr>
            <w:tcW w:type="dxa" w:w="1440"/>
            <w:shd w:val="clear" w:color="auto" w:fill="F7F4F0"/>
          </w:tcPr>
          <w:p>
            <w:pPr>
              <w:spacing w:after="40"/>
            </w:pPr>
            <w:r>
              <w:rPr>
                <w:sz w:val="18"/>
              </w:rPr>
              <w:t>Assumption</w:t>
            </w:r>
          </w:p>
        </w:tc>
        <w:tc>
          <w:tcPr>
            <w:tcW w:type="dxa" w:w="3744"/>
            <w:shd w:val="clear" w:color="auto" w:fill="F7F4F0"/>
          </w:tcPr>
          <w:p>
            <w:pPr>
              <w:spacing w:after="40"/>
            </w:pPr>
            <w:r>
              <w:rPr>
                <w:sz w:val="18"/>
              </w:rPr>
              <w:t>Institutions act on emails</w:t>
            </w:r>
          </w:p>
        </w:tc>
        <w:tc>
          <w:tcPr>
            <w:tcW w:type="dxa" w:w="4176"/>
            <w:shd w:val="clear" w:color="auto" w:fill="F7F4F0"/>
          </w:tcPr>
          <w:p>
            <w:pPr>
              <w:spacing w:after="40"/>
            </w:pPr>
            <w:r>
              <w:rPr>
                <w:sz w:val="18"/>
              </w:rPr>
              <w:t>Platform delivers; response is out of scope.</w:t>
            </w:r>
          </w:p>
        </w:tc>
      </w:tr>
    </w:tbl>
    <w:p>
      <w:pPr>
        <w:spacing w:after="40"/>
      </w:pPr>
    </w:p>
    <w:p>
      <w:pPr>
        <w:pStyle w:val="Heading1"/>
      </w:pPr>
      <w:r>
        <w:rPr>
          <w:rFonts w:ascii="Calibri" w:hAnsi="Calibri"/>
          <w:color w:val="B43232"/>
        </w:rPr>
        <w:t>15. Out of Scope &amp; Future Enhancements</w:t>
      </w:r>
    </w:p>
    <w:p>
      <w:r>
        <w:rPr>
          <w:b w:val="0"/>
          <w:i w:val="0"/>
          <w:sz w:val="21"/>
        </w:rPr>
        <w:t>The current baseline delivers intake, routing, moderation, administration, and reporting. The following are candidates for future iterations:</w:t>
      </w:r>
    </w:p>
    <w:p>
      <w:pPr>
        <w:pStyle w:val="ListBullet"/>
      </w:pPr>
      <w:r>
        <w:t>A truly public status lookup by reference number (no login required).</w:t>
      </w:r>
    </w:p>
    <w:p>
      <w:pPr>
        <w:pStyle w:val="ListBullet"/>
      </w:pPr>
      <w:r>
        <w:t>Two-way correspondence between complainant and institution.</w:t>
      </w:r>
    </w:p>
    <w:p>
      <w:pPr>
        <w:pStyle w:val="ListBullet"/>
      </w:pPr>
      <w:r>
        <w:t>Automated case escalation and SLA timers.</w:t>
      </w:r>
    </w:p>
    <w:p>
      <w:pPr>
        <w:pStyle w:val="ListBullet"/>
      </w:pPr>
      <w:r>
        <w:t>Institution self-service portal for responding to complaints.</w:t>
      </w:r>
    </w:p>
    <w:p>
      <w:pPr>
        <w:pStyle w:val="ListBullet"/>
      </w:pPr>
      <w:r>
        <w:t>Analytics dashboards and trend reporting.</w:t>
      </w:r>
    </w:p>
    <w:p>
      <w:pPr>
        <w:pStyle w:val="ListBullet"/>
      </w:pPr>
      <w:r>
        <w:t>Embedding within the Thirst-for-Life WordPress site as a subdomain.</w:t>
      </w:r>
    </w:p>
    <w:p>
      <w:pPr>
        <w:pStyle w:val="Heading1"/>
      </w:pPr>
      <w:r>
        <w:rPr>
          <w:rFonts w:ascii="Calibri" w:hAnsi="Calibri"/>
          <w:color w:val="B43232"/>
        </w:rPr>
        <w:t>16. Glossary</w:t>
      </w:r>
    </w:p>
    <w:tbl>
      <w:tblPr>
        <w:tblW w:type="auto" w:w="0"/>
        <w:jc w:val="center"/>
        <w:tblLook w:firstColumn="1" w:firstRow="1" w:lastColumn="0" w:lastRow="0" w:noHBand="0" w:noVBand="1" w:val="04A0"/>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Pr>
      <w:tblGrid>
        <w:gridCol w:w="4320"/>
        <w:gridCol w:w="4320"/>
      </w:tblGrid>
      <w:tr>
        <w:tc>
          <w:tcPr>
            <w:tcW w:type="dxa" w:w="2304"/>
            <w:shd w:val="clear" w:color="auto" w:fill="B43232"/>
          </w:tcPr>
          <w:p>
            <w:pPr>
              <w:spacing w:after="40"/>
            </w:pPr>
            <w:r>
              <w:rPr>
                <w:b/>
                <w:color w:val="FFFFFF"/>
                <w:sz w:val="19"/>
              </w:rPr>
              <w:t>Term</w:t>
            </w:r>
          </w:p>
        </w:tc>
        <w:tc>
          <w:tcPr>
            <w:tcW w:type="dxa" w:w="7056"/>
            <w:shd w:val="clear" w:color="auto" w:fill="B43232"/>
          </w:tcPr>
          <w:p>
            <w:pPr>
              <w:spacing w:after="40"/>
            </w:pPr>
            <w:r>
              <w:rPr>
                <w:b/>
                <w:color w:val="FFFFFF"/>
                <w:sz w:val="19"/>
              </w:rPr>
              <w:t>Definition</w:t>
            </w:r>
          </w:p>
        </w:tc>
      </w:tr>
      <w:tr>
        <w:tc>
          <w:tcPr>
            <w:tcW w:type="dxa" w:w="2304"/>
          </w:tcPr>
          <w:p>
            <w:pPr>
              <w:spacing w:after="40"/>
            </w:pPr>
            <w:r>
              <w:rPr>
                <w:sz w:val="18"/>
              </w:rPr>
              <w:t>Complaint</w:t>
            </w:r>
          </w:p>
        </w:tc>
        <w:tc>
          <w:tcPr>
            <w:tcW w:type="dxa" w:w="7056"/>
          </w:tcPr>
          <w:p>
            <w:pPr>
              <w:spacing w:after="40"/>
            </w:pPr>
            <w:r>
              <w:rPr>
                <w:sz w:val="18"/>
              </w:rPr>
              <w:t>A structured grievance submitted against a healthcare institution.</w:t>
            </w:r>
          </w:p>
        </w:tc>
      </w:tr>
      <w:tr>
        <w:tc>
          <w:tcPr>
            <w:tcW w:type="dxa" w:w="2304"/>
            <w:shd w:val="clear" w:color="auto" w:fill="F7F4F0"/>
          </w:tcPr>
          <w:p>
            <w:pPr>
              <w:spacing w:after="40"/>
            </w:pPr>
            <w:r>
              <w:rPr>
                <w:sz w:val="18"/>
              </w:rPr>
              <w:t>Public reference</w:t>
            </w:r>
          </w:p>
        </w:tc>
        <w:tc>
          <w:tcPr>
            <w:tcW w:type="dxa" w:w="7056"/>
            <w:shd w:val="clear" w:color="auto" w:fill="F7F4F0"/>
          </w:tcPr>
          <w:p>
            <w:pPr>
              <w:spacing w:after="40"/>
            </w:pPr>
            <w:r>
              <w:rPr>
                <w:sz w:val="18"/>
              </w:rPr>
              <w:t>The human-readable complaint identifier (VLC-YYYY-NNNNNN).</w:t>
            </w:r>
          </w:p>
        </w:tc>
      </w:tr>
      <w:tr>
        <w:tc>
          <w:tcPr>
            <w:tcW w:type="dxa" w:w="2304"/>
          </w:tcPr>
          <w:p>
            <w:pPr>
              <w:spacing w:after="40"/>
            </w:pPr>
            <w:r>
              <w:rPr>
                <w:sz w:val="18"/>
              </w:rPr>
              <w:t>Ombudsman</w:t>
            </w:r>
          </w:p>
        </w:tc>
        <w:tc>
          <w:tcPr>
            <w:tcW w:type="dxa" w:w="7056"/>
          </w:tcPr>
          <w:p>
            <w:pPr>
              <w:spacing w:after="40"/>
            </w:pPr>
            <w:r>
              <w:rPr>
                <w:sz w:val="18"/>
              </w:rPr>
              <w:t>Oversight body that receives a copy of every forwarded complaint.</w:t>
            </w:r>
          </w:p>
        </w:tc>
      </w:tr>
      <w:tr>
        <w:tc>
          <w:tcPr>
            <w:tcW w:type="dxa" w:w="2304"/>
            <w:shd w:val="clear" w:color="auto" w:fill="F7F4F0"/>
          </w:tcPr>
          <w:p>
            <w:pPr>
              <w:spacing w:after="40"/>
            </w:pPr>
            <w:r>
              <w:rPr>
                <w:sz w:val="18"/>
              </w:rPr>
              <w:t>Institution</w:t>
            </w:r>
          </w:p>
        </w:tc>
        <w:tc>
          <w:tcPr>
            <w:tcW w:type="dxa" w:w="7056"/>
            <w:shd w:val="clear" w:color="auto" w:fill="F7F4F0"/>
          </w:tcPr>
          <w:p>
            <w:pPr>
              <w:spacing w:after="40"/>
            </w:pPr>
            <w:r>
              <w:rPr>
                <w:sz w:val="18"/>
              </w:rPr>
              <w:t>A hospital, doctor, or health fund that a complaint targets.</w:t>
            </w:r>
          </w:p>
        </w:tc>
      </w:tr>
      <w:tr>
        <w:tc>
          <w:tcPr>
            <w:tcW w:type="dxa" w:w="2304"/>
          </w:tcPr>
          <w:p>
            <w:pPr>
              <w:spacing w:after="40"/>
            </w:pPr>
            <w:r>
              <w:rPr>
                <w:sz w:val="18"/>
              </w:rPr>
              <w:t>Moderation</w:t>
            </w:r>
          </w:p>
        </w:tc>
        <w:tc>
          <w:tcPr>
            <w:tcW w:type="dxa" w:w="7056"/>
          </w:tcPr>
          <w:p>
            <w:pPr>
              <w:spacing w:after="40"/>
            </w:pPr>
            <w:r>
              <w:rPr>
                <w:sz w:val="18"/>
              </w:rPr>
              <w:t>Administrator review of anonymous complaints before forwarding.</w:t>
            </w:r>
          </w:p>
        </w:tc>
      </w:tr>
      <w:tr>
        <w:tc>
          <w:tcPr>
            <w:tcW w:type="dxa" w:w="2304"/>
            <w:shd w:val="clear" w:color="auto" w:fill="F7F4F0"/>
          </w:tcPr>
          <w:p>
            <w:pPr>
              <w:spacing w:after="40"/>
            </w:pPr>
            <w:r>
              <w:rPr>
                <w:sz w:val="18"/>
              </w:rPr>
              <w:t>Forwarding</w:t>
            </w:r>
          </w:p>
        </w:tc>
        <w:tc>
          <w:tcPr>
            <w:tcW w:type="dxa" w:w="7056"/>
            <w:shd w:val="clear" w:color="auto" w:fill="F7F4F0"/>
          </w:tcPr>
          <w:p>
            <w:pPr>
              <w:spacing w:after="40"/>
            </w:pPr>
            <w:r>
              <w:rPr>
                <w:sz w:val="18"/>
              </w:rPr>
              <w:t>Automated email dispatch to the institution and Ombudsman.</w:t>
            </w:r>
          </w:p>
        </w:tc>
      </w:tr>
      <w:tr>
        <w:tc>
          <w:tcPr>
            <w:tcW w:type="dxa" w:w="2304"/>
          </w:tcPr>
          <w:p>
            <w:pPr>
              <w:spacing w:after="40"/>
            </w:pPr>
            <w:r>
              <w:rPr>
                <w:sz w:val="18"/>
              </w:rPr>
              <w:t>Anonymisation</w:t>
            </w:r>
          </w:p>
        </w:tc>
        <w:tc>
          <w:tcPr>
            <w:tcW w:type="dxa" w:w="7056"/>
          </w:tcPr>
          <w:p>
            <w:pPr>
              <w:spacing w:after="40"/>
            </w:pPr>
            <w:r>
              <w:rPr>
                <w:sz w:val="18"/>
              </w:rPr>
              <w:t>Removal of personal identifiers from a user record.</w:t>
            </w:r>
          </w:p>
        </w:tc>
      </w:tr>
    </w:tbl>
    <w:p>
      <w:pPr>
        <w:spacing w:after="40"/>
      </w:pP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3A616B"/>
        <w:sz w:val="16"/>
      </w:rPr>
      <w:t xml:space="preserve">Vallentin Claims — Business Documentation    |    Page </w:t>
    </w:r>
    <w:r>
      <w:fldChar w:fldCharType="begin"/>
      <w:instrText xml:space="preserve">PAGE</w:instrText>
      <w:fldChar w:fldCharType="end"/>
    </w:r>
    <w:r>
      <w:rPr>
        <w:color w:val="3A616B"/>
        <w:sz w:val="16"/>
      </w:rPr>
      <w:t xml:space="preserve"> of </w:t>
    </w:r>
    <w:r>
      <w:fldChar w:fldCharType="begin"/>
      <w:instrText xml:space="preserve">NUMPAGES</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0C141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Vallentin Claims — Business Documentation</dc:title>
  <dc:subject/>
  <dc:creator>Vallentin Claims Team</dc:creator>
  <cp:keywords/>
  <dc:description>generated by python-docx</dc:description>
  <cp:lastModifiedBy/>
  <cp:revision>1</cp:revision>
  <dcterms:created xsi:type="dcterms:W3CDTF">2013-12-23T23:15:00Z</dcterms:created>
  <dcterms:modified xsi:type="dcterms:W3CDTF">2013-12-23T23:15:00Z</dcterms:modified>
  <cp:category>Business Documentation</cp:category>
</cp:coreProperties>
</file>