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sz w:val="36"/>
          <w:szCs w:val="36"/>
        </w:rPr>
        <w:t xml:space="preserve">Web and Social Media Search and Analysis</w:t>
      </w:r>
    </w:p>
    <w:p>
      <w:pPr>
        <w:spacing w:after="600"/>
        <w:jc w:val="center"/>
      </w:pPr>
      <w:r>
        <w:rPr>
          <w:b/>
          <w:bCs/>
          <w:color w:val="444444"/>
          <w:sz w:val="30"/>
          <w:szCs w:val="30"/>
        </w:rPr>
        <w:t xml:space="preserve">Machine Translation Discourse on Bluesky</w:t>
      </w:r>
    </w:p>
    <w:p>
      <w:pPr>
        <w:spacing w:after="100"/>
        <w:jc w:val="center"/>
      </w:pPr>
      <w:r>
        <w:rPr>
          <w:sz w:val="24"/>
          <w:szCs w:val="24"/>
        </w:rPr>
        <w:t xml:space="preserve">Bachelor of Science in Artificial Intelligence</w:t>
      </w:r>
    </w:p>
    <w:p>
      <w:pPr>
        <w:spacing w:after="600"/>
        <w:jc w:val="center"/>
      </w:pPr>
      <w:r>
        <w:rPr>
          <w:sz w:val="24"/>
          <w:szCs w:val="24"/>
        </w:rPr>
        <w:t xml:space="preserve">Web and Social Media Search and Analysis — Prof. Marco Viviani</w:t>
      </w:r>
    </w:p>
    <w:p>
      <w:pPr>
        <w:spacing w:after="1200"/>
        <w:jc w:val="center"/>
      </w:pPr>
      <w:r>
        <w:rPr>
          <w:sz w:val="24"/>
          <w:szCs w:val="24"/>
        </w:rPr>
        <w:t xml:space="preserve">Authors: </w:t>
      </w:r>
      <w:r>
        <w:rPr>
          <w:sz w:val="24"/>
          <w:szCs w:val="24"/>
        </w:rPr>
        <w:t xml:space="preserve">Linda Stalidzane, Pelinsu Topaloglu</w:t>
      </w:r>
    </w:p>
    <w:p>
      <w:r>
        <w:br w:type="page"/>
      </w:r>
    </w:p>
    <w:p>
      <w:pPr>
        <w:pStyle w:val="Heading1"/>
        <w:spacing w:after="120" w:before="260"/>
      </w:pPr>
      <w:r>
        <w:t xml:space="preserve">1. Objective</w:t>
      </w:r>
    </w:p>
    <w:p>
      <w:pPr>
        <w:spacing w:after="100"/>
      </w:pPr>
      <w:r>
        <w:t xml:space="preserve">Machine translation (MT) tools such as DeepL and Google Translate, along with LLM-based translation, are now used by casual social media users, professional translators, and developers alike. This project studies how Bluesky talks about MT — as a helpful tool, a threat to professional translators, or both — and whether that framing differs between people who work in translation/localization and the general public. Posts were collected around a fixed set of MT-related keywords and hashtags over a 12-month window, and analyzed along two complementary axes: Network Analysis (who talks to whom) and Content Analysis (what is actually being said).</w:t>
      </w:r>
    </w:p>
    <w:p>
      <w:pPr>
        <w:spacing w:after="100"/>
      </w:pPr>
      <w:r>
        <w:t xml:space="preserve">Guiding research questions:</w:t>
      </w:r>
    </w:p>
    <w:p>
      <w:pPr>
        <w:pStyle w:val="ListParagraph"/>
        <w:numPr>
          <w:ilvl w:val="0"/>
          <w:numId w:val="1"/>
        </w:numPr>
        <w:spacing w:after="40"/>
      </w:pPr>
      <w:r>
        <w:t xml:space="preserve">RQ1 — Sentiment &amp; framing: do people talk about MT as a tool, a threat, or both?</w:t>
      </w:r>
    </w:p>
    <w:p>
      <w:pPr>
        <w:pStyle w:val="ListParagraph"/>
        <w:numPr>
          <w:ilvl w:val="0"/>
          <w:numId w:val="1"/>
        </w:numPr>
        <w:spacing w:after="40"/>
      </w:pPr>
      <w:r>
        <w:t xml:space="preserve">RQ2 — Professional impact discourse: how do working translators discuss MT's effect on their careers, compared to the general public?</w:t>
      </w:r>
    </w:p>
    <w:p>
      <w:pPr>
        <w:pStyle w:val="ListParagraph"/>
        <w:numPr>
          <w:ilvl w:val="0"/>
          <w:numId w:val="1"/>
        </w:numPr>
        <w:spacing w:after="40"/>
      </w:pPr>
      <w:r>
        <w:t xml:space="preserve">RQ3 — Utility vs. displacement tension: do people acknowledge MT's utility while lamenting professional erosion?</w:t>
      </w:r>
    </w:p>
    <w:p>
      <w:pPr>
        <w:pStyle w:val="ListParagraph"/>
        <w:numPr>
          <w:ilvl w:val="0"/>
          <w:numId w:val="1"/>
        </w:numPr>
        <w:spacing w:after="40"/>
      </w:pPr>
      <w:r>
        <w:t xml:space="preserve">RQ4 — Network structure: do professional translators and general users form distinct communities in the follow/reply networks, and which accounts bridge them?</w:t>
      </w:r>
    </w:p>
    <w:p>
      <w:pPr>
        <w:pStyle w:val="Heading1"/>
        <w:spacing w:after="120" w:before="260"/>
      </w:pPr>
      <w:r>
        <w:t xml:space="preserve">2. Data</w:t>
      </w:r>
    </w:p>
    <w:p>
      <w:pPr>
        <w:pStyle w:val="Heading2"/>
        <w:spacing w:after="100" w:before="200"/>
      </w:pPr>
      <w:r>
        <w:t xml:space="preserve">2.1 Collection strategy</w:t>
      </w:r>
    </w:p>
    <w:p>
      <w:pPr>
        <w:spacing w:after="100"/>
      </w:pPr>
      <w:r>
        <w:t xml:space="preserve">Data was collected from Bluesky via the official API (Python atproto client):</w:t>
      </w:r>
    </w:p>
    <w:p>
      <w:pPr>
        <w:pStyle w:val="ListParagraph"/>
        <w:numPr>
          <w:ilvl w:val="0"/>
          <w:numId w:val="1"/>
        </w:numPr>
        <w:spacing w:after="40"/>
      </w:pPr>
      <w:r>
        <w:t xml:space="preserve">Seed search: a fixed list of text queries, compound queries, and hashtags (below) searched over the last 12 months, sorted by recency.</w:t>
      </w:r>
    </w:p>
    <w:p>
      <w:pPr>
        <w:pStyle w:val="ListParagraph"/>
        <w:numPr>
          <w:ilvl w:val="0"/>
          <w:numId w:val="1"/>
        </w:numPr>
        <w:spacing w:after="40"/>
      </w:pPr>
      <w:r>
        <w:t xml:space="preserve">Thread crawl: each seed post's full reply thread is crawled and walked in memory. Reply edges aren't collected at crawl time — every post already stores its parent URI, so edges are derived from the posts table during preprocessing instead, which also captures seed posts that are themselves replies.</w:t>
      </w:r>
    </w:p>
    <w:p>
      <w:pPr>
        <w:pStyle w:val="ListParagraph"/>
        <w:numPr>
          <w:ilvl w:val="0"/>
          <w:numId w:val="1"/>
        </w:numPr>
        <w:spacing w:after="40"/>
      </w:pPr>
      <w:r>
        <w:t xml:space="preserve">Author/follower crawl: for authors with ≥ 2 posts, up to 100 followers were fetched to build the follow network; profiles were fetched for essentially all post authors (not just top ones), so bio-based labeling isn't biased toward frequent posters.</w:t>
      </w:r>
    </w:p>
    <w:p>
      <w:pPr>
        <w:pStyle w:val="ListParagraph"/>
        <w:numPr>
          <w:ilvl w:val="0"/>
          <w:numId w:val="1"/>
        </w:numPr>
        <w:spacing w:after="40"/>
      </w:pPr>
      <w:r>
        <w:t xml:space="preserve">Deduplication across all sources into the final dataset.</w:t>
      </w:r>
    </w:p>
    <w:p>
      <w:pPr>
        <w:spacing w:after="100"/>
      </w:pPr>
      <w:r>
        <w:t xml:space="preserve">Seed queries:</w:t>
      </w:r>
    </w:p>
    <w:p>
      <w:pPr>
        <w:pStyle w:val="ListParagraph"/>
        <w:numPr>
          <w:ilvl w:val="0"/>
          <w:numId w:val="1"/>
        </w:numPr>
        <w:spacing w:after="40"/>
      </w:pPr>
      <w:r>
        <w:t xml:space="preserve">Text: "machine translation", "AI translation", "post-editing", "human translation", "translation quality", "translator jobs", "translation industry", "DeepL", "MTPE", "neural machine translation"</w:t>
      </w:r>
    </w:p>
    <w:p>
      <w:pPr>
        <w:pStyle w:val="ListParagraph"/>
        <w:numPr>
          <w:ilvl w:val="0"/>
          <w:numId w:val="1"/>
        </w:numPr>
        <w:spacing w:after="40"/>
      </w:pPr>
      <w:r>
        <w:t xml:space="preserve">Compound: "post-editing" AI, "AI translation" threat, scraped translation, "machine translation" slop, "human translator" AI, "translation industry" AI</w:t>
      </w:r>
    </w:p>
    <w:p>
      <w:pPr>
        <w:pStyle w:val="ListParagraph"/>
        <w:numPr>
          <w:ilvl w:val="0"/>
          <w:numId w:val="1"/>
        </w:numPr>
        <w:spacing w:after="40"/>
      </w:pPr>
      <w:r>
        <w:t xml:space="preserve">Hashtags: #machinetranslation, #MTPE, #localization, #l10n, #SlowTranslation, #HumanTranslation, #PauseAI, #NoAI</w:t>
      </w:r>
    </w:p>
    <w:p>
      <w:pPr>
        <w:spacing w:after="100"/>
      </w:pPr>
      <w:r>
        <w:t xml:space="preserve">Preprocessing is idempotent — every output, including graph.csv, is rebuilt fresh from the raw inputs each run, so re-running a step cannot corrupt the data.</w:t>
      </w:r>
    </w:p>
    <w:p>
      <w:pPr>
        <w:pStyle w:val="Heading2"/>
        <w:spacing w:after="100" w:before="200"/>
      </w:pPr>
      <w:r>
        <w:t xml:space="preserve">2.2 Preprocessing and labeling</w:t>
      </w:r>
    </w:p>
    <w:p>
      <w:pPr>
        <w:spacing w:after="100"/>
      </w:pPr>
      <w:r>
        <w:t xml:space="preserve">Cleaning: URLs stripped, whitespace normalized, posts under 10 characters and placeholder (handle.invalid) accounts dropped.</w:t>
      </w:r>
    </w:p>
    <w:p>
      <w:pPr>
        <w:spacing w:after="100"/>
      </w:pPr>
      <w:r>
        <w:t xml:space="preserve">Topical relevance: a keyword filter (translat*, interpret*, locali*e*, deepl, mtpe, post-edit, language model, nlp, multilingual, linguist, terminology, glossary) removes off-topic posts pulled in by broad seed queries (e.g. #localization, #PauseAI). A second filter removes a specific collision: "MTPE" also abbreviates Peru's Ministry of Labor, so MTPE + Spanish employment/ministry terms together are dropped as noise.</w:t>
      </w:r>
    </w:p>
    <w:p>
      <w:pPr>
        <w:spacing w:after="100"/>
      </w:pPr>
      <w:r>
        <w:t xml:space="preserve">Author-type labeling: general / professional / tech, by keyword match on bio (professional: translator/interpreter/localizer/linguist/terminology/lexicographer/subtitler/transcriber terms; tech: developer/engineer/NLP/ML/researcher terms, checked only if no professional terms matched). Authors with a fetched profile but no bio text are labeled unknown rather than general, so "no information" isn't silently treated as "ordinary user" (see Section 4.2).</w:t>
      </w:r>
    </w:p>
    <w:p>
      <w:pPr>
        <w:pStyle w:val="Heading2"/>
        <w:spacing w:after="100" w:before="200"/>
      </w:pPr>
      <w:r>
        <w:t xml:space="preserve">2.3 Final dataset</w:t>
      </w:r>
    </w:p>
    <w:p>
      <w:pPr>
        <w:spacing w:after="100"/>
      </w:pPr>
      <w:r>
        <w:t xml:space="preserve">After collection, cleaning, and topical filtering, the dataset used for analysis is: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5000"/>
      </w:tblGrid>
      <w:tr>
        <w:tc>
          <w:tcPr>
            <w:tcW w:type="dxa" w:w="3200"/>
            <w:shd w:fill="2A2A4A" w:val="clear"/>
          </w:tcPr>
          <w:p>
            <w:r>
              <w:rPr>
                <w:b/>
                <w:bCs/>
                <w:color w:val="FFFFFF"/>
              </w:rPr>
              <w:t xml:space="preserve">Artifact</w:t>
            </w:r>
          </w:p>
        </w:tc>
        <w:tc>
          <w:tcPr>
            <w:tcW w:type="dxa" w:w="1400"/>
            <w:shd w:fill="2A2A4A" w:val="clear"/>
          </w:tcPr>
          <w:p>
            <w:r>
              <w:rPr>
                <w:b/>
                <w:bCs/>
                <w:color w:val="FFFFFF"/>
              </w:rPr>
              <w:t xml:space="preserve">Rows</w:t>
            </w:r>
          </w:p>
        </w:tc>
        <w:tc>
          <w:tcPr>
            <w:tcW w:type="dxa" w:w="5000"/>
            <w:shd w:fill="2A2A4A" w:val="clear"/>
          </w:tcPr>
          <w:p>
            <w:r>
              <w:rPr>
                <w:b/>
                <w:bCs/>
                <w:color w:val="FFFFFF"/>
              </w:rPr>
              <w:t xml:space="preserve">Description</w:t>
            </w:r>
          </w:p>
        </w:tc>
      </w:tr>
      <w:tr>
        <w:tc>
          <w:tcPr>
            <w:tcW w:type="dxa" w:w="3200"/>
          </w:tcPr>
          <w:p>
            <w:r>
              <w:rPr>
                <w:b w:val="false"/>
                <w:bCs w:val="false"/>
                <w:color w:val="000000"/>
              </w:rPr>
              <w:t xml:space="preserve">posts_clean.csv</w:t>
            </w:r>
          </w:p>
        </w:tc>
        <w:tc>
          <w:tcPr>
            <w:tcW w:type="dxa" w:w="1400"/>
          </w:tcPr>
          <w:p>
            <w:r>
              <w:rPr>
                <w:b w:val="false"/>
                <w:bCs w:val="false"/>
                <w:color w:val="000000"/>
              </w:rPr>
              <w:t xml:space="preserve">3,864</w:t>
            </w:r>
          </w:p>
        </w:tc>
        <w:tc>
          <w:tcPr>
            <w:tcW w:type="dxa" w:w="5000"/>
          </w:tcPr>
          <w:p>
            <w:r>
              <w:rPr>
                <w:b w:val="false"/>
                <w:bCs w:val="false"/>
                <w:color w:val="000000"/>
              </w:rPr>
              <w:t xml:space="preserve">Final cleaned, topically-filtered posts (Jul 2025 – Jul 2026)</w:t>
            </w:r>
          </w:p>
        </w:tc>
      </w:tr>
      <w:tr>
        <w:tc>
          <w:tcPr>
            <w:tcW w:type="dxa" w:w="3200"/>
          </w:tcPr>
          <w:p>
            <w:r>
              <w:rPr>
                <w:b w:val="false"/>
                <w:bCs w:val="false"/>
                <w:color w:val="000000"/>
              </w:rPr>
              <w:t xml:space="preserve">author_profiles.csv</w:t>
            </w:r>
          </w:p>
        </w:tc>
        <w:tc>
          <w:tcPr>
            <w:tcW w:type="dxa" w:w="1400"/>
          </w:tcPr>
          <w:p>
            <w:r>
              <w:rPr>
                <w:b w:val="false"/>
                <w:bCs w:val="false"/>
                <w:color w:val="000000"/>
              </w:rPr>
              <w:t xml:space="preserve">2,303</w:t>
            </w:r>
          </w:p>
        </w:tc>
        <w:tc>
          <w:tcPr>
            <w:tcW w:type="dxa" w:w="5000"/>
          </w:tcPr>
          <w:p>
            <w:r>
              <w:rPr>
                <w:b w:val="false"/>
                <w:bCs w:val="false"/>
                <w:color w:val="000000"/>
              </w:rPr>
              <w:t xml:space="preserve">Author profiles (bio, followers, following, post count)</w:t>
            </w:r>
          </w:p>
        </w:tc>
      </w:tr>
      <w:tr>
        <w:tc>
          <w:tcPr>
            <w:tcW w:type="dxa" w:w="3200"/>
          </w:tcPr>
          <w:p>
            <w:r>
              <w:rPr>
                <w:b w:val="false"/>
                <w:bCs w:val="false"/>
                <w:color w:val="000000"/>
              </w:rPr>
              <w:t xml:space="preserve">follow_edges.csv</w:t>
            </w:r>
          </w:p>
        </w:tc>
        <w:tc>
          <w:tcPr>
            <w:tcW w:type="dxa" w:w="1400"/>
          </w:tcPr>
          <w:p>
            <w:r>
              <w:rPr>
                <w:b w:val="false"/>
                <w:bCs w:val="false"/>
                <w:color w:val="000000"/>
              </w:rPr>
              <w:t xml:space="preserve">127,890</w:t>
            </w:r>
          </w:p>
        </w:tc>
        <w:tc>
          <w:tcPr>
            <w:tcW w:type="dxa" w:w="5000"/>
          </w:tcPr>
          <w:p>
            <w:r>
              <w:rPr>
                <w:b w:val="false"/>
                <w:bCs w:val="false"/>
                <w:color w:val="000000"/>
              </w:rPr>
              <w:t xml:space="preserve">Follow relationships (before invalid-handle cleanup)</w:t>
            </w:r>
          </w:p>
        </w:tc>
      </w:tr>
      <w:tr>
        <w:tc>
          <w:tcPr>
            <w:tcW w:type="dxa" w:w="3200"/>
          </w:tcPr>
          <w:p>
            <w:r>
              <w:rPr>
                <w:b w:val="false"/>
                <w:bCs w:val="false"/>
                <w:color w:val="000000"/>
              </w:rPr>
              <w:t xml:space="preserve">reply_edges.csv</w:t>
            </w:r>
          </w:p>
        </w:tc>
        <w:tc>
          <w:tcPr>
            <w:tcW w:type="dxa" w:w="1400"/>
          </w:tcPr>
          <w:p>
            <w:r>
              <w:rPr>
                <w:b w:val="false"/>
                <w:bCs w:val="false"/>
                <w:color w:val="000000"/>
              </w:rPr>
              <w:t xml:space="preserve">7,116</w:t>
            </w:r>
          </w:p>
        </w:tc>
        <w:tc>
          <w:tcPr>
            <w:tcW w:type="dxa" w:w="5000"/>
          </w:tcPr>
          <w:p>
            <w:r>
              <w:rPr>
                <w:b w:val="false"/>
                <w:bCs w:val="false"/>
                <w:color w:val="000000"/>
              </w:rPr>
              <w:t xml:space="preserve">Reply relationships derived from posts_raw (before target resolution)</w:t>
            </w:r>
          </w:p>
        </w:tc>
      </w:tr>
      <w:tr>
        <w:tc>
          <w:tcPr>
            <w:tcW w:type="dxa" w:w="3200"/>
          </w:tcPr>
          <w:p>
            <w:r>
              <w:rPr>
                <w:b w:val="false"/>
                <w:bCs w:val="false"/>
                <w:color w:val="000000"/>
              </w:rPr>
              <w:t xml:space="preserve">graph.csv</w:t>
            </w:r>
          </w:p>
        </w:tc>
        <w:tc>
          <w:tcPr>
            <w:tcW w:type="dxa" w:w="1400"/>
          </w:tcPr>
          <w:p>
            <w:r>
              <w:rPr>
                <w:b w:val="false"/>
                <w:bCs w:val="false"/>
                <w:color w:val="000000"/>
              </w:rPr>
              <w:t xml:space="preserve">133,428</w:t>
            </w:r>
          </w:p>
        </w:tc>
        <w:tc>
          <w:tcPr>
            <w:tcW w:type="dxa" w:w="5000"/>
          </w:tcPr>
          <w:p>
            <w:r>
              <w:rPr>
                <w:b w:val="false"/>
                <w:bCs w:val="false"/>
                <w:color w:val="000000"/>
              </w:rPr>
              <w:t xml:space="preserve">Combined network: 127,597 follow edges + 5,831 resolved reply edges</w:t>
            </w:r>
          </w:p>
        </w:tc>
      </w:tr>
      <w:tr>
        <w:tc>
          <w:tcPr>
            <w:tcW w:type="dxa" w:w="3200"/>
          </w:tcPr>
          <w:p>
            <w:r>
              <w:rPr>
                <w:b w:val="false"/>
                <w:bCs w:val="false"/>
                <w:color w:val="000000"/>
              </w:rPr>
              <w:t xml:space="preserve">seeds.csv</w:t>
            </w:r>
          </w:p>
        </w:tc>
        <w:tc>
          <w:tcPr>
            <w:tcW w:type="dxa" w:w="1400"/>
          </w:tcPr>
          <w:p>
            <w:r>
              <w:rPr>
                <w:b w:val="false"/>
                <w:bCs w:val="false"/>
                <w:color w:val="000000"/>
              </w:rPr>
              <w:t xml:space="preserve">3,751</w:t>
            </w:r>
          </w:p>
        </w:tc>
        <w:tc>
          <w:tcPr>
            <w:tcW w:type="dxa" w:w="5000"/>
          </w:tcPr>
          <w:p>
            <w:r>
              <w:rPr>
                <w:b w:val="false"/>
                <w:bCs w:val="false"/>
                <w:color w:val="000000"/>
              </w:rPr>
              <w:t xml:space="preserve">Seed posts returned directly by the search queries</w:t>
            </w:r>
          </w:p>
        </w:tc>
      </w:tr>
      <w:tr>
        <w:tc>
          <w:tcPr>
            <w:tcW w:type="dxa" w:w="3200"/>
          </w:tcPr>
          <w:p>
            <w:r>
              <w:rPr>
                <w:b w:val="false"/>
                <w:bCs w:val="false"/>
                <w:color w:val="000000"/>
              </w:rPr>
              <w:t xml:space="preserve">posts_raw.csv</w:t>
            </w:r>
          </w:p>
        </w:tc>
        <w:tc>
          <w:tcPr>
            <w:tcW w:type="dxa" w:w="1400"/>
          </w:tcPr>
          <w:p>
            <w:r>
              <w:rPr>
                <w:b w:val="false"/>
                <w:bCs w:val="false"/>
                <w:color w:val="000000"/>
              </w:rPr>
              <w:t xml:space="preserve">9,349</w:t>
            </w:r>
          </w:p>
        </w:tc>
        <w:tc>
          <w:tcPr>
            <w:tcW w:type="dxa" w:w="5000"/>
          </w:tcPr>
          <w:p>
            <w:r>
              <w:rPr>
                <w:b w:val="false"/>
                <w:bCs w:val="false"/>
                <w:color w:val="000000"/>
              </w:rPr>
              <w:t xml:space="preserve">All posts before topical filtering (seeds + thread crawl)</w:t>
            </w:r>
          </w:p>
        </w:tc>
      </w:tr>
    </w:tbl>
    <w:p>
      <w:pPr>
        <w:spacing w:after="100"/>
      </w:pPr>
    </w:p>
    <w:p>
      <w:pPr>
        <w:spacing w:after="100"/>
      </w:pPr>
      <w:r>
        <w:t xml:space="preserve">Author-type breakdown of the 3,864 posts: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tblGrid>
      <w:tr>
        <w:tc>
          <w:tcPr>
            <w:tcW w:type="dxa" w:w="3200"/>
            <w:shd w:fill="2A2A4A" w:val="clear"/>
          </w:tcPr>
          <w:p>
            <w:r>
              <w:rPr>
                <w:b/>
                <w:bCs/>
                <w:color w:val="FFFFFF"/>
              </w:rPr>
              <w:t xml:space="preserve">User type</w:t>
            </w:r>
          </w:p>
        </w:tc>
        <w:tc>
          <w:tcPr>
            <w:tcW w:type="dxa" w:w="2000"/>
            <w:shd w:fill="2A2A4A" w:val="clear"/>
          </w:tcPr>
          <w:p>
            <w:r>
              <w:rPr>
                <w:b/>
                <w:bCs/>
                <w:color w:val="FFFFFF"/>
              </w:rPr>
              <w:t xml:space="preserve">Posts</w:t>
            </w:r>
          </w:p>
        </w:tc>
        <w:tc>
          <w:tcPr>
            <w:tcW w:type="dxa" w:w="2000"/>
            <w:shd w:fill="2A2A4A" w:val="clear"/>
          </w:tcPr>
          <w:p>
            <w:r>
              <w:rPr>
                <w:b/>
                <w:bCs/>
                <w:color w:val="FFFFFF"/>
              </w:rPr>
              <w:t xml:space="preserve">Share</w:t>
            </w:r>
          </w:p>
        </w:tc>
      </w:tr>
      <w:tr>
        <w:tc>
          <w:tcPr>
            <w:tcW w:type="dxa" w:w="3200"/>
          </w:tcPr>
          <w:p>
            <w:r>
              <w:rPr>
                <w:b w:val="false"/>
                <w:bCs w:val="false"/>
                <w:color w:val="000000"/>
              </w:rPr>
              <w:t xml:space="preserve">general</w:t>
            </w:r>
          </w:p>
        </w:tc>
        <w:tc>
          <w:tcPr>
            <w:tcW w:type="dxa" w:w="2000"/>
          </w:tcPr>
          <w:p>
            <w:r>
              <w:rPr>
                <w:b w:val="false"/>
                <w:bCs w:val="false"/>
                <w:color w:val="000000"/>
              </w:rPr>
              <w:t xml:space="preserve">2,843</w:t>
            </w:r>
          </w:p>
        </w:tc>
        <w:tc>
          <w:tcPr>
            <w:tcW w:type="dxa" w:w="2000"/>
          </w:tcPr>
          <w:p>
            <w:r>
              <w:rPr>
                <w:b w:val="false"/>
                <w:bCs w:val="false"/>
                <w:color w:val="000000"/>
              </w:rPr>
              <w:t xml:space="preserve">73.6%</w:t>
            </w:r>
          </w:p>
        </w:tc>
      </w:tr>
      <w:tr>
        <w:tc>
          <w:tcPr>
            <w:tcW w:type="dxa" w:w="3200"/>
          </w:tcPr>
          <w:p>
            <w:r>
              <w:rPr>
                <w:b w:val="false"/>
                <w:bCs w:val="false"/>
                <w:color w:val="000000"/>
              </w:rPr>
              <w:t xml:space="preserve">professional</w:t>
            </w:r>
          </w:p>
        </w:tc>
        <w:tc>
          <w:tcPr>
            <w:tcW w:type="dxa" w:w="2000"/>
          </w:tcPr>
          <w:p>
            <w:r>
              <w:rPr>
                <w:b w:val="false"/>
                <w:bCs w:val="false"/>
                <w:color w:val="000000"/>
              </w:rPr>
              <w:t xml:space="preserve">610</w:t>
            </w:r>
          </w:p>
        </w:tc>
        <w:tc>
          <w:tcPr>
            <w:tcW w:type="dxa" w:w="2000"/>
          </w:tcPr>
          <w:p>
            <w:r>
              <w:rPr>
                <w:b w:val="false"/>
                <w:bCs w:val="false"/>
                <w:color w:val="000000"/>
              </w:rPr>
              <w:t xml:space="preserve">15.8%</w:t>
            </w:r>
          </w:p>
        </w:tc>
      </w:tr>
      <w:tr>
        <w:tc>
          <w:tcPr>
            <w:tcW w:type="dxa" w:w="3200"/>
          </w:tcPr>
          <w:p>
            <w:r>
              <w:rPr>
                <w:b w:val="false"/>
                <w:bCs w:val="false"/>
                <w:color w:val="000000"/>
              </w:rPr>
              <w:t xml:space="preserve">unknown</w:t>
            </w:r>
          </w:p>
        </w:tc>
        <w:tc>
          <w:tcPr>
            <w:tcW w:type="dxa" w:w="2000"/>
          </w:tcPr>
          <w:p>
            <w:r>
              <w:rPr>
                <w:b w:val="false"/>
                <w:bCs w:val="false"/>
                <w:color w:val="000000"/>
              </w:rPr>
              <w:t xml:space="preserve">218</w:t>
            </w:r>
          </w:p>
        </w:tc>
        <w:tc>
          <w:tcPr>
            <w:tcW w:type="dxa" w:w="2000"/>
          </w:tcPr>
          <w:p>
            <w:r>
              <w:rPr>
                <w:b w:val="false"/>
                <w:bCs w:val="false"/>
                <w:color w:val="000000"/>
              </w:rPr>
              <w:t xml:space="preserve">5.6%</w:t>
            </w:r>
          </w:p>
        </w:tc>
      </w:tr>
      <w:tr>
        <w:tc>
          <w:tcPr>
            <w:tcW w:type="dxa" w:w="3200"/>
          </w:tcPr>
          <w:p>
            <w:r>
              <w:rPr>
                <w:b w:val="false"/>
                <w:bCs w:val="false"/>
                <w:color w:val="000000"/>
              </w:rPr>
              <w:t xml:space="preserve">tech</w:t>
            </w:r>
          </w:p>
        </w:tc>
        <w:tc>
          <w:tcPr>
            <w:tcW w:type="dxa" w:w="2000"/>
          </w:tcPr>
          <w:p>
            <w:r>
              <w:rPr>
                <w:b w:val="false"/>
                <w:bCs w:val="false"/>
                <w:color w:val="000000"/>
              </w:rPr>
              <w:t xml:space="preserve">193</w:t>
            </w:r>
          </w:p>
        </w:tc>
        <w:tc>
          <w:tcPr>
            <w:tcW w:type="dxa" w:w="2000"/>
          </w:tcPr>
          <w:p>
            <w:r>
              <w:rPr>
                <w:b w:val="false"/>
                <w:bCs w:val="false"/>
                <w:color w:val="000000"/>
              </w:rPr>
              <w:t xml:space="preserve">5.0%</w:t>
            </w:r>
          </w:p>
        </w:tc>
      </w:tr>
    </w:tbl>
    <w:p>
      <w:pPr>
        <w:spacing w:after="100"/>
      </w:pPr>
    </w:p>
    <w:p>
      <w:pPr>
        <w:spacing w:after="100"/>
      </w:pPr>
      <w:r>
        <w:t xml:space="preserve">2,261 posts (58.5%) are replies. Note the strong class imbalance between user types — all cross-group comparisons in this report use rates/proportions rather than raw counts for this reason. All 218 unknown-labeled posts come from a fetched profile with an empty bio, not a missing profile (profile coverage was 100% of post authors).</w:t>
      </w:r>
    </w:p>
    <w:p>
      <w:pPr>
        <w:pStyle w:val="Heading1"/>
        <w:spacing w:after="120" w:before="260"/>
      </w:pPr>
      <w:r>
        <w:t xml:space="preserve">3. Models</w:t>
      </w:r>
    </w:p>
    <w:p>
      <w:pPr>
        <w:pStyle w:val="Heading2"/>
        <w:spacing w:after="100" w:before="200"/>
      </w:pPr>
      <w:r>
        <w:t xml:space="preserve">3.1 Network Analysis Models</w:t>
      </w:r>
    </w:p>
    <w:p>
      <w:pPr>
        <w:spacing w:after="200" w:before="80"/>
      </w:pPr>
      <w:r>
        <w:rPr>
          <w:i/>
          <w:iCs/>
          <w:color w:val="666666"/>
        </w:rPr>
        <w:t xml:space="preserve">To be completed by Pelinsu Topaloglu — degree/betweenness/closeness centrality and community detection (Louvain, Greedy Modularity, FluidC, Girvan-Newman), in 02_network_analysis.ipynb.</w:t>
      </w:r>
    </w:p>
    <w:p>
      <w:pPr>
        <w:pStyle w:val="Heading2"/>
        <w:spacing w:after="100" w:before="200"/>
      </w:pPr>
      <w:r>
        <w:t xml:space="preserve">3.2 Content Analysis Models</w:t>
      </w:r>
    </w:p>
    <w:p>
      <w:pPr>
        <w:spacing w:after="100"/>
      </w:pPr>
      <w:r>
        <w:t xml:space="preserve">Sentiment and emotion each use two methodologically different tools, cross-checked against each other rather than trusting a single method — this surfaced real limitations in the lexicon-based tools (see Results).</w:t>
      </w:r>
    </w:p>
    <w:p>
      <w:pPr>
        <w:pStyle w:val="Heading3"/>
        <w:spacing w:after="80" w:before="140"/>
      </w:pPr>
      <w:r>
        <w:t xml:space="preserve">Sentiment analysis</w:t>
      </w:r>
    </w:p>
    <w:p>
      <w:pPr>
        <w:pStyle w:val="ListParagraph"/>
        <w:numPr>
          <w:ilvl w:val="0"/>
          <w:numId w:val="1"/>
        </w:numPr>
        <w:spacing w:after="40"/>
      </w:pPr>
      <w:r>
        <w:t xml:space="preserve">VADER — lexicon- and rule-based, tuned for social media text. Compound score in [-1, 1], bucketed into positive (≥0.05) / neutral / negative (≤-0.05).</w:t>
      </w:r>
    </w:p>
    <w:p>
      <w:pPr>
        <w:pStyle w:val="ListParagraph"/>
        <w:numPr>
          <w:ilvl w:val="0"/>
          <w:numId w:val="1"/>
        </w:numPr>
        <w:spacing w:after="40"/>
      </w:pPr>
      <w:r>
        <w:t xml:space="preserve">cardiffnlp/twitter-roberta-base-sentiment — a RoBERTa transformer fine-tuned on tweet sentiment (negative/neutral/positive), reading full sentences rather than scoring words independently.</w:t>
      </w:r>
    </w:p>
    <w:p>
      <w:pPr>
        <w:pStyle w:val="Heading3"/>
        <w:spacing w:after="80" w:before="140"/>
      </w:pPr>
      <w:r>
        <w:t xml:space="preserve">Emotion analysis</w:t>
      </w:r>
    </w:p>
    <w:p>
      <w:pPr>
        <w:pStyle w:val="ListParagraph"/>
        <w:numPr>
          <w:ilvl w:val="0"/>
          <w:numId w:val="1"/>
        </w:numPr>
        <w:spacing w:after="40"/>
      </w:pPr>
      <w:r>
        <w:t xml:space="preserve">NRCLex — dictionary-based (NRC Word-Emotion Association Lexicon, Plutchik's 8 basic emotions). Dominant emotion = argmax of per-word affect frequencies.</w:t>
      </w:r>
    </w:p>
    <w:p>
      <w:pPr>
        <w:pStyle w:val="ListParagraph"/>
        <w:numPr>
          <w:ilvl w:val="0"/>
          <w:numId w:val="1"/>
        </w:numPr>
        <w:spacing w:after="40"/>
      </w:pPr>
      <w:r>
        <w:t xml:space="preserve">j-hartmann/emotion-english-distilroberta-base — a DistilRoBERTa transformer (anger, disgust, fear, joy, neutral, sadness, surprise), sharing 6 of NRCLex's 8 labels.</w:t>
      </w:r>
    </w:p>
    <w:p>
      <w:pPr>
        <w:spacing w:after="100"/>
      </w:pPr>
      <w:r>
        <w:t xml:space="preserve">Comparing the two by restricting both to the shared 6 labels would introduce selection bias, since trust/anticipation are NRCLex's most common calls. Instead, the comparison conditions only on the transformer's output, then checks what NRCLex independently says about those same posts.</w:t>
      </w:r>
    </w:p>
    <w:p>
      <w:pPr>
        <w:pStyle w:val="Heading3"/>
        <w:spacing w:after="80" w:before="140"/>
      </w:pPr>
      <w:r>
        <w:t xml:space="preserve">Named entity recognition</w:t>
      </w:r>
    </w:p>
    <w:p>
      <w:pPr>
        <w:pStyle w:val="ListParagraph"/>
        <w:numPr>
          <w:ilvl w:val="0"/>
          <w:numId w:val="1"/>
        </w:numPr>
        <w:spacing w:after="40"/>
      </w:pPr>
      <w:r>
        <w:t xml:space="preserve">spaCy (en_core_web_sm) extracts ORG, PRODUCT, PERSON, and GPE entities from post text.</w:t>
      </w:r>
    </w:p>
    <w:p>
      <w:pPr>
        <w:pStyle w:val="ListParagraph"/>
        <w:numPr>
          <w:ilvl w:val="0"/>
          <w:numId w:val="1"/>
        </w:numPr>
        <w:spacing w:after="40"/>
      </w:pPr>
      <w:r>
        <w:t xml:space="preserve">A curated list of known MT tools/companies (DeepL, Google Translate, Google, Amazon, Microsoft, YouTube, Mozilla Localization, ChatGPT, OpenAI, GPT, Meta, Claude) is cross-referenced against the raw NER output, since the generic model mis-tags several domain acronyms (see Limitations).</w:t>
      </w:r>
    </w:p>
    <w:p>
      <w:pPr>
        <w:pStyle w:val="Heading1"/>
        <w:spacing w:after="120" w:before="260"/>
      </w:pPr>
      <w:r>
        <w:t xml:space="preserve">4. Results</w:t>
      </w:r>
    </w:p>
    <w:p>
      <w:pPr>
        <w:pStyle w:val="Heading2"/>
        <w:spacing w:after="100" w:before="200"/>
      </w:pPr>
      <w:r>
        <w:t xml:space="preserve">4.1 Network Analysis Results</w:t>
      </w:r>
    </w:p>
    <w:p>
      <w:pPr>
        <w:spacing w:after="200" w:before="80"/>
      </w:pPr>
      <w:r>
        <w:rPr>
          <w:i/>
          <w:iCs/>
          <w:color w:val="666666"/>
        </w:rPr>
        <w:t xml:space="preserve">To be completed by Pelinsu Topaloglu — centrality rankings, community detection comparison, and network visualizations, from 02_network_analysis.ipynb.</w:t>
      </w:r>
    </w:p>
    <w:p>
      <w:pPr>
        <w:pStyle w:val="Heading2"/>
        <w:spacing w:after="100" w:before="200"/>
      </w:pPr>
      <w:r>
        <w:t xml:space="preserve">4.2 Content Analysis Results</w:t>
      </w:r>
    </w:p>
    <w:p>
      <w:pPr>
        <w:pStyle w:val="Heading3"/>
        <w:spacing w:after="80" w:before="140"/>
      </w:pPr>
      <w:r>
        <w:t xml:space="preserve">4.2.1 Sentiment Analysis</w:t>
      </w:r>
    </w:p>
    <w:p>
      <w:pPr>
        <w:spacing w:after="100"/>
      </w:pPr>
      <w:r>
        <w:t xml:space="preserve">Overall, VADER classifies the discourse as 51.5% positive, 20.8% neutral, 27.7% negative:</w:t>
      </w:r>
    </w:p>
    <w:p>
      <w:pPr>
        <w:spacing w:after="60" w:before="100"/>
        <w:jc w:val="center"/>
      </w:pPr>
      <w:r>
        <w:drawing>
          <wp:inline distT="0" distB="0" distL="0" distR="0">
            <wp:extent cx="3619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609975"/>
                    </a:xfrm>
                    <a:prstGeom prst="rect">
                      <a:avLst/>
                    </a:prstGeom>
                  </pic:spPr>
                </pic:pic>
              </a:graphicData>
            </a:graphic>
          </wp:inline>
        </w:drawing>
      </w:r>
    </w:p>
    <w:p>
      <w:pPr>
        <w:spacing w:after="160"/>
        <w:jc w:val="center"/>
      </w:pPr>
      <w:r>
        <w:rPr>
          <w:i/>
          <w:iCs/>
          <w:color w:val="555555"/>
          <w:sz w:val="19"/>
          <w:szCs w:val="19"/>
        </w:rPr>
        <w:t xml:space="preserve">Figure 1 — Overall VADER sentiment distribution (n = 3,864 posts).</w:t>
      </w:r>
    </w:p>
    <w:p>
      <w:pPr>
        <w:spacing w:after="100"/>
      </w:pPr>
      <w:r>
        <w:t xml:space="preserve">Professionals and tech users are (slightly) the most positive groups, not the most negative — consistent with acknowledging MT's day-to-day utility despite being most exposed to its downsides:</w:t>
      </w:r>
    </w:p>
    <w:p>
      <w:pPr>
        <w:spacing w:after="60" w:before="100"/>
        <w:jc w:val="center"/>
      </w:pPr>
      <w:r>
        <w:drawing>
          <wp:inline distT="0" distB="0" distL="0" distR="0">
            <wp:extent cx="3810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352675"/>
                    </a:xfrm>
                    <a:prstGeom prst="rect">
                      <a:avLst/>
                    </a:prstGeom>
                  </pic:spPr>
                </pic:pic>
              </a:graphicData>
            </a:graphic>
          </wp:inline>
        </w:drawing>
      </w:r>
    </w:p>
    <w:p>
      <w:pPr>
        <w:spacing w:after="160"/>
        <w:jc w:val="center"/>
      </w:pPr>
      <w:r>
        <w:rPr>
          <w:i/>
          <w:iCs/>
          <w:color w:val="555555"/>
          <w:sz w:val="19"/>
          <w:szCs w:val="19"/>
        </w:rPr>
        <w:t xml:space="preserve">Figure 2 — VADER sentiment distribution by user type.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600"/>
      </w:tblGrid>
      <w:tr>
        <w:tc>
          <w:tcPr>
            <w:tcW w:type="dxa" w:w="2800"/>
            <w:shd w:fill="2A2A4A" w:val="clear"/>
          </w:tcPr>
          <w:p>
            <w:r>
              <w:rPr>
                <w:b/>
                <w:bCs/>
                <w:color w:val="FFFFFF"/>
              </w:rPr>
              <w:t xml:space="preserve">User type</w:t>
            </w:r>
          </w:p>
        </w:tc>
        <w:tc>
          <w:tcPr>
            <w:tcW w:type="dxa" w:w="2400"/>
            <w:shd w:fill="2A2A4A" w:val="clear"/>
          </w:tcPr>
          <w:p>
            <w:r>
              <w:rPr>
                <w:b/>
                <w:bCs/>
                <w:color w:val="FFFFFF"/>
              </w:rPr>
              <w:t xml:space="preserve">Mean compound</w:t>
            </w:r>
          </w:p>
        </w:tc>
        <w:tc>
          <w:tcPr>
            <w:tcW w:type="dxa" w:w="2400"/>
            <w:shd w:fill="2A2A4A" w:val="clear"/>
          </w:tcPr>
          <w:p>
            <w:r>
              <w:rPr>
                <w:b/>
                <w:bCs/>
                <w:color w:val="FFFFFF"/>
              </w:rPr>
              <w:t xml:space="preserve">Median compound</w:t>
            </w:r>
          </w:p>
        </w:tc>
        <w:tc>
          <w:tcPr>
            <w:tcW w:type="dxa" w:w="1600"/>
            <w:shd w:fill="2A2A4A" w:val="clear"/>
          </w:tcPr>
          <w:p>
            <w:r>
              <w:rPr>
                <w:b/>
                <w:bCs/>
                <w:color w:val="FFFFFF"/>
              </w:rPr>
              <w:t xml:space="preserve">Posts</w:t>
            </w:r>
          </w:p>
        </w:tc>
      </w:tr>
      <w:tr>
        <w:tc>
          <w:tcPr>
            <w:tcW w:type="dxa" w:w="2800"/>
          </w:tcPr>
          <w:p>
            <w:r>
              <w:rPr>
                <w:b w:val="false"/>
                <w:bCs w:val="false"/>
                <w:color w:val="000000"/>
              </w:rPr>
              <w:t xml:space="preserve">general</w:t>
            </w:r>
          </w:p>
        </w:tc>
        <w:tc>
          <w:tcPr>
            <w:tcW w:type="dxa" w:w="2400"/>
          </w:tcPr>
          <w:p>
            <w:r>
              <w:rPr>
                <w:b w:val="false"/>
                <w:bCs w:val="false"/>
                <w:color w:val="000000"/>
              </w:rPr>
              <w:t xml:space="preserve">0.139</w:t>
            </w:r>
          </w:p>
        </w:tc>
        <w:tc>
          <w:tcPr>
            <w:tcW w:type="dxa" w:w="2400"/>
          </w:tcPr>
          <w:p>
            <w:r>
              <w:rPr>
                <w:b w:val="false"/>
                <w:bCs w:val="false"/>
                <w:color w:val="000000"/>
              </w:rPr>
              <w:t xml:space="preserve">0.052</w:t>
            </w:r>
          </w:p>
        </w:tc>
        <w:tc>
          <w:tcPr>
            <w:tcW w:type="dxa" w:w="1600"/>
          </w:tcPr>
          <w:p>
            <w:r>
              <w:rPr>
                <w:b w:val="false"/>
                <w:bCs w:val="false"/>
                <w:color w:val="000000"/>
              </w:rPr>
              <w:t xml:space="preserve">2,843</w:t>
            </w:r>
          </w:p>
        </w:tc>
      </w:tr>
      <w:tr>
        <w:tc>
          <w:tcPr>
            <w:tcW w:type="dxa" w:w="2800"/>
          </w:tcPr>
          <w:p>
            <w:r>
              <w:rPr>
                <w:b w:val="false"/>
                <w:bCs w:val="false"/>
                <w:color w:val="000000"/>
              </w:rPr>
              <w:t xml:space="preserve">professional</w:t>
            </w:r>
          </w:p>
        </w:tc>
        <w:tc>
          <w:tcPr>
            <w:tcW w:type="dxa" w:w="2400"/>
          </w:tcPr>
          <w:p>
            <w:r>
              <w:rPr>
                <w:b w:val="false"/>
                <w:bCs w:val="false"/>
                <w:color w:val="000000"/>
              </w:rPr>
              <w:t xml:space="preserve">0.201</w:t>
            </w:r>
          </w:p>
        </w:tc>
        <w:tc>
          <w:tcPr>
            <w:tcW w:type="dxa" w:w="2400"/>
          </w:tcPr>
          <w:p>
            <w:r>
              <w:rPr>
                <w:b w:val="false"/>
                <w:bCs w:val="false"/>
                <w:color w:val="000000"/>
              </w:rPr>
              <w:t xml:space="preserve">0.250</w:t>
            </w:r>
          </w:p>
        </w:tc>
        <w:tc>
          <w:tcPr>
            <w:tcW w:type="dxa" w:w="1600"/>
          </w:tcPr>
          <w:p>
            <w:r>
              <w:rPr>
                <w:b w:val="false"/>
                <w:bCs w:val="false"/>
                <w:color w:val="000000"/>
              </w:rPr>
              <w:t xml:space="preserve">610</w:t>
            </w:r>
          </w:p>
        </w:tc>
      </w:tr>
      <w:tr>
        <w:tc>
          <w:tcPr>
            <w:tcW w:type="dxa" w:w="2800"/>
          </w:tcPr>
          <w:p>
            <w:r>
              <w:rPr>
                <w:b w:val="false"/>
                <w:bCs w:val="false"/>
                <w:color w:val="000000"/>
              </w:rPr>
              <w:t xml:space="preserve">tech</w:t>
            </w:r>
          </w:p>
        </w:tc>
        <w:tc>
          <w:tcPr>
            <w:tcW w:type="dxa" w:w="2400"/>
          </w:tcPr>
          <w:p>
            <w:r>
              <w:rPr>
                <w:b w:val="false"/>
                <w:bCs w:val="false"/>
                <w:color w:val="000000"/>
              </w:rPr>
              <w:t xml:space="preserve">0.173</w:t>
            </w:r>
          </w:p>
        </w:tc>
        <w:tc>
          <w:tcPr>
            <w:tcW w:type="dxa" w:w="2400"/>
          </w:tcPr>
          <w:p>
            <w:r>
              <w:rPr>
                <w:b w:val="false"/>
                <w:bCs w:val="false"/>
                <w:color w:val="000000"/>
              </w:rPr>
              <w:t xml:space="preserve">0.214</w:t>
            </w:r>
          </w:p>
        </w:tc>
        <w:tc>
          <w:tcPr>
            <w:tcW w:type="dxa" w:w="1600"/>
          </w:tcPr>
          <w:p>
            <w:r>
              <w:rPr>
                <w:b w:val="false"/>
                <w:bCs w:val="false"/>
                <w:color w:val="000000"/>
              </w:rPr>
              <w:t xml:space="preserve">193</w:t>
            </w:r>
          </w:p>
        </w:tc>
      </w:tr>
      <w:tr>
        <w:tc>
          <w:tcPr>
            <w:tcW w:type="dxa" w:w="2800"/>
          </w:tcPr>
          <w:p>
            <w:r>
              <w:rPr>
                <w:b w:val="false"/>
                <w:bCs w:val="false"/>
                <w:color w:val="000000"/>
              </w:rPr>
              <w:t xml:space="preserve">unknown</w:t>
            </w:r>
          </w:p>
        </w:tc>
        <w:tc>
          <w:tcPr>
            <w:tcW w:type="dxa" w:w="2400"/>
          </w:tcPr>
          <w:p>
            <w:r>
              <w:rPr>
                <w:b w:val="false"/>
                <w:bCs w:val="false"/>
                <w:color w:val="000000"/>
              </w:rPr>
              <w:t xml:space="preserve">0.112</w:t>
            </w:r>
          </w:p>
        </w:tc>
        <w:tc>
          <w:tcPr>
            <w:tcW w:type="dxa" w:w="2400"/>
          </w:tcPr>
          <w:p>
            <w:r>
              <w:rPr>
                <w:b w:val="false"/>
                <w:bCs w:val="false"/>
                <w:color w:val="000000"/>
              </w:rPr>
              <w:t xml:space="preserve">0.077</w:t>
            </w:r>
          </w:p>
        </w:tc>
        <w:tc>
          <w:tcPr>
            <w:tcW w:type="dxa" w:w="1600"/>
          </w:tcPr>
          <w:p>
            <w:r>
              <w:rPr>
                <w:b w:val="false"/>
                <w:bCs w:val="false"/>
                <w:color w:val="000000"/>
              </w:rPr>
              <w:t xml:space="preserve">218</w:t>
            </w:r>
          </w:p>
        </w:tc>
      </w:tr>
    </w:tbl>
    <w:p>
      <w:pPr>
        <w:spacing w:after="100"/>
      </w:pPr>
    </w:p>
    <w:p>
      <w:pPr>
        <w:spacing w:after="100"/>
      </w:pPr>
      <w:r>
        <w:t xml:space="preserve">VADER and RoBERTa disagree substantially — only 54.1% agreement, with 458 posts (11.9%) in outright opposite-polarity disagreement. RoBERTa's distribution is markedly less positive (23.1% / 46.0% / 31.0%):</w:t>
      </w:r>
    </w:p>
    <w:p>
      <w:pPr>
        <w:spacing w:after="60" w:before="100"/>
        <w:jc w:val="center"/>
      </w:pPr>
      <w:r>
        <w:drawing>
          <wp:inline distT="0" distB="0" distL="0" distR="0">
            <wp:extent cx="4000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828925"/>
                    </a:xfrm>
                    <a:prstGeom prst="rect">
                      <a:avLst/>
                    </a:prstGeom>
                  </pic:spPr>
                </pic:pic>
              </a:graphicData>
            </a:graphic>
          </wp:inline>
        </w:drawing>
      </w:r>
    </w:p>
    <w:p>
      <w:pPr>
        <w:spacing w:after="160"/>
        <w:jc w:val="center"/>
      </w:pPr>
      <w:r>
        <w:rPr>
          <w:i/>
          <w:iCs/>
          <w:color w:val="555555"/>
          <w:sz w:val="19"/>
          <w:szCs w:val="19"/>
        </w:rPr>
        <w:t xml:space="preserve">Figure 3 — VADER vs. RoBERTa overall sentiment distribution.</w:t>
      </w:r>
    </w:p>
    <w:p>
      <w:pPr>
        <w:spacing w:after="100"/>
      </w:pPr>
      <w:r>
        <w:t xml:space="preserve">VADER is consistently fooled by individually-positive words in otherwise critical posts — e.g. it scored “Perfect example of how machine translation is totally untrustworthy” as strongly positive (+0.57, from “perfect” alone), while RoBERTa correctly read it as negative. RoBERTa's more balanced distribution is the more trustworthy read: the framing of MT is genuinely mixed, not predominantly positive.</w:t>
      </w:r>
    </w:p>
    <w:p>
      <w:pPr>
        <w:spacing w:after="100"/>
      </w:pPr>
      <w:r>
        <w:t xml:space="preserve">Sentiment also varies over the collection window (VADER, monthly mean compound score):</w:t>
      </w:r>
    </w:p>
    <w:p>
      <w:pPr>
        <w:spacing w:after="60" w:before="100"/>
        <w:jc w:val="center"/>
      </w:pPr>
      <w:r>
        <w:drawing>
          <wp:inline distT="0" distB="0" distL="0" distR="0">
            <wp:extent cx="4000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962150"/>
                    </a:xfrm>
                    <a:prstGeom prst="rect">
                      <a:avLst/>
                    </a:prstGeom>
                  </pic:spPr>
                </pic:pic>
              </a:graphicData>
            </a:graphic>
          </wp:inline>
        </w:drawing>
      </w:r>
    </w:p>
    <w:p>
      <w:pPr>
        <w:spacing w:after="160"/>
        <w:jc w:val="center"/>
      </w:pPr>
      <w:r>
        <w:rPr>
          <w:i/>
          <w:iCs/>
          <w:color w:val="555555"/>
          <w:sz w:val="19"/>
          <w:szCs w:val="19"/>
        </w:rPr>
        <w:t xml:space="preserve">Figure 4 — Mean VADER sentiment by month.</w:t>
      </w:r>
    </w:p>
    <w:p>
      <w:pPr>
        <w:pStyle w:val="Heading3"/>
        <w:spacing w:after="80" w:before="140"/>
      </w:pPr>
      <w:r>
        <w:t xml:space="preserve">4.2.2 Emotion Analysis</w:t>
      </w:r>
    </w:p>
    <w:p>
      <w:pPr>
        <w:spacing w:after="100"/>
      </w:pPr>
      <w:r>
        <w:t xml:space="preserve">NRCLex's overall emotion profile is dominated by trust (mean affect frequency 0.260), well above every other category:</w:t>
      </w:r>
    </w:p>
    <w:p>
      <w:pPr>
        <w:spacing w:after="60" w:before="100"/>
        <w:jc w:val="center"/>
      </w:pPr>
      <w:r>
        <w:drawing>
          <wp:inline distT="0" distB="0" distL="0" distR="0">
            <wp:extent cx="3619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1981200"/>
                    </a:xfrm>
                    <a:prstGeom prst="rect">
                      <a:avLst/>
                    </a:prstGeom>
                  </pic:spPr>
                </pic:pic>
              </a:graphicData>
            </a:graphic>
          </wp:inline>
        </w:drawing>
      </w:r>
    </w:p>
    <w:p>
      <w:pPr>
        <w:spacing w:after="160"/>
        <w:jc w:val="center"/>
      </w:pPr>
      <w:r>
        <w:rPr>
          <w:i/>
          <w:iCs/>
          <w:color w:val="555555"/>
          <w:sz w:val="19"/>
          <w:szCs w:val="19"/>
        </w:rPr>
        <w:t xml:space="preserve">Figure 5 — Overall NRCLex emotion profile (mean affect frequency).</w:t>
      </w:r>
    </w:p>
    <w:p>
      <w:pPr>
        <w:spacing w:after="100"/>
      </w:pPr>
      <w:r>
        <w:t xml:space="preserve">Differences between user types are small relative to the tool-to-tool differences below — which emotion detector is used matters more here than which audience is examined:</w:t>
      </w:r>
    </w:p>
    <w:p>
      <w:pPr>
        <w:spacing w:after="60" w:before="100"/>
        <w:jc w:val="center"/>
      </w:pPr>
      <w:r>
        <w:drawing>
          <wp:inline distT="0" distB="0" distL="0" distR="0">
            <wp:extent cx="3619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028950"/>
                    </a:xfrm>
                    <a:prstGeom prst="rect">
                      <a:avLst/>
                    </a:prstGeom>
                  </pic:spPr>
                </pic:pic>
              </a:graphicData>
            </a:graphic>
          </wp:inline>
        </w:drawing>
      </w:r>
    </w:p>
    <w:p>
      <w:pPr>
        <w:spacing w:after="160"/>
        <w:jc w:val="center"/>
      </w:pPr>
      <w:r>
        <w:rPr>
          <w:i/>
          <w:iCs/>
          <w:color w:val="555555"/>
          <w:sz w:val="19"/>
          <w:szCs w:val="19"/>
        </w:rPr>
        <w:t xml:space="preserve">Figure 6 — NRCLex emotion profile by user type.</w:t>
      </w:r>
    </w:p>
    <w:p>
      <w:pPr>
        <w:spacing w:after="100"/>
      </w:pPr>
      <w:r>
        <w:t xml:space="preserve">NRCLex's per-post dominant emotion is trust (49.0%) or fear (31.8%) for the large majority of posts. Conditioning on posts where DistilRoBERTa is confident enough to name a specific non-neutral emotion (44.5% of posts) barely changes this — NRCLex still calls trust 46.5% and fear 30.3% of the time there, and the two tools agree on only 15.6% of posts:</w:t>
      </w:r>
    </w:p>
    <w:p>
      <w:pPr>
        <w:spacing w:after="60" w:before="100"/>
        <w:jc w:val="center"/>
      </w:pPr>
      <w:r>
        <w:drawing>
          <wp:inline distT="0" distB="0" distL="0" distR="0">
            <wp:extent cx="43815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1657350"/>
                    </a:xfrm>
                    <a:prstGeom prst="rect">
                      <a:avLst/>
                    </a:prstGeom>
                  </pic:spPr>
                </pic:pic>
              </a:graphicData>
            </a:graphic>
          </wp:inline>
        </w:drawing>
      </w:r>
    </w:p>
    <w:p>
      <w:pPr>
        <w:spacing w:after="160"/>
        <w:jc w:val="center"/>
      </w:pPr>
      <w:r>
        <w:rPr>
          <w:i/>
          <w:iCs/>
          <w:color w:val="555555"/>
          <w:sz w:val="19"/>
          <w:szCs w:val="19"/>
        </w:rPr>
        <w:t xml:space="preserve">Figure 7 — NRCLex vs. DistilRoBERTa dominant-emotion distributions (each on its own full label set).</w:t>
      </w:r>
    </w:p>
    <w:p>
      <w:pPr>
        <w:spacing w:after="100"/>
      </w:pPr>
      <w:r>
        <w:t xml:space="preserve">NRCLex's dominant-emotion output is close to invariant to what a post actually says — consistent with “trust” being an oversized NRC lexicon category that fires on ordinary vocabulary. This report therefore treats the sentiment comparison (RQ1) as the more reliable evidence for framing, and emotion as exploratory/secondary.</w:t>
      </w:r>
    </w:p>
    <w:p>
      <w:pPr>
        <w:pStyle w:val="Heading3"/>
        <w:spacing w:after="80" w:before="140"/>
      </w:pPr>
      <w:r>
        <w:t xml:space="preserve">4.2.3 Named Entity Recognition</w:t>
      </w:r>
    </w:p>
    <w:p>
      <w:pPr>
        <w:spacing w:after="100"/>
      </w:pPr>
      <w:r>
        <w:t xml:space="preserve">spaCy extracted 5,523 entities (ORG 2,568, PERSON 1,840, GPE 979, PRODUCT 136). Several top "entities" below (MTPE, LLM, MTL, MT, NMT, CAT, UI, NLP, L10N, QA) are domain acronyms mis-tagged as organizations by the generic model, reported as-is rather than filtered out:</w:t>
      </w:r>
    </w:p>
    <w:p>
      <w:pPr>
        <w:spacing w:after="60" w:before="100"/>
        <w:jc w:val="center"/>
      </w:pPr>
      <w:r>
        <w:drawing>
          <wp:inline distT="0" distB="0" distL="0" distR="0">
            <wp:extent cx="3619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390775"/>
                    </a:xfrm>
                    <a:prstGeom prst="rect">
                      <a:avLst/>
                    </a:prstGeom>
                  </pic:spPr>
                </pic:pic>
              </a:graphicData>
            </a:graphic>
          </wp:inline>
        </w:drawing>
      </w:r>
    </w:p>
    <w:p>
      <w:pPr>
        <w:spacing w:after="160"/>
        <w:jc w:val="center"/>
      </w:pPr>
      <w:r>
        <w:rPr>
          <w:i/>
          <w:iCs/>
          <w:color w:val="555555"/>
          <w:sz w:val="19"/>
          <w:szCs w:val="19"/>
        </w:rPr>
        <w:t xml:space="preserve">Figure 8 — Most-mentioned raw entities (ORG/PRODUCT), including acronym noise.</w:t>
      </w:r>
    </w:p>
    <w:p>
      <w:pPr>
        <w:spacing w:after="100"/>
      </w:pPr>
      <w:r>
        <w:t xml:space="preserve">For a cleaner answer to which specific tools each group discusses, mentions of a curated tool/company list were normalized per 1,000 posts within each user type (raw counts would just reflect that general has far more posts than the other groups):</w:t>
      </w:r>
    </w:p>
    <w:p>
      <w:pPr>
        <w:spacing w:after="60" w:before="100"/>
        <w:jc w:val="center"/>
      </w:pPr>
      <w:r>
        <w:drawing>
          <wp:inline distT="0" distB="0" distL="0" distR="0">
            <wp:extent cx="3619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390775"/>
                    </a:xfrm>
                    <a:prstGeom prst="rect">
                      <a:avLst/>
                    </a:prstGeom>
                  </pic:spPr>
                </pic:pic>
              </a:graphicData>
            </a:graphic>
          </wp:inline>
        </w:drawing>
      </w:r>
    </w:p>
    <w:p>
      <w:pPr>
        <w:spacing w:after="160"/>
        <w:jc w:val="center"/>
      </w:pPr>
      <w:r>
        <w:rPr>
          <w:i/>
          <w:iCs/>
          <w:color w:val="555555"/>
          <w:sz w:val="19"/>
          <w:szCs w:val="19"/>
        </w:rPr>
        <w:t xml:space="preserve">Figure 9 — Known MT tools/companies mentioned, per 1,000 posts, by user type.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600"/>
      </w:tblGrid>
      <w:tr>
        <w:tc>
          <w:tcPr>
            <w:tcW w:type="dxa" w:w="3200"/>
            <w:shd w:fill="2A2A4A" w:val="clear"/>
          </w:tcPr>
          <w:p>
            <w:r>
              <w:rPr>
                <w:b/>
                <w:bCs/>
                <w:color w:val="FFFFFF"/>
              </w:rPr>
              <w:t xml:space="preserve">Tool</w:t>
            </w:r>
          </w:p>
        </w:tc>
        <w:tc>
          <w:tcPr>
            <w:tcW w:type="dxa" w:w="1600"/>
            <w:shd w:fill="2A2A4A" w:val="clear"/>
          </w:tcPr>
          <w:p>
            <w:r>
              <w:rPr>
                <w:b/>
                <w:bCs/>
                <w:color w:val="FFFFFF"/>
              </w:rPr>
              <w:t xml:space="preserve">General</w:t>
            </w:r>
          </w:p>
        </w:tc>
        <w:tc>
          <w:tcPr>
            <w:tcW w:type="dxa" w:w="1600"/>
            <w:shd w:fill="2A2A4A" w:val="clear"/>
          </w:tcPr>
          <w:p>
            <w:r>
              <w:rPr>
                <w:b/>
                <w:bCs/>
                <w:color w:val="FFFFFF"/>
              </w:rPr>
              <w:t xml:space="preserve">Professional</w:t>
            </w:r>
          </w:p>
        </w:tc>
        <w:tc>
          <w:tcPr>
            <w:tcW w:type="dxa" w:w="1600"/>
            <w:shd w:fill="2A2A4A" w:val="clear"/>
          </w:tcPr>
          <w:p>
            <w:r>
              <w:rPr>
                <w:b/>
                <w:bCs/>
                <w:color w:val="FFFFFF"/>
              </w:rPr>
              <w:t xml:space="preserve">Tech</w:t>
            </w:r>
          </w:p>
        </w:tc>
        <w:tc>
          <w:tcPr>
            <w:tcW w:type="dxa" w:w="1600"/>
            <w:shd w:fill="2A2A4A" w:val="clear"/>
          </w:tcPr>
          <w:p>
            <w:r>
              <w:rPr>
                <w:b/>
                <w:bCs/>
                <w:color w:val="FFFFFF"/>
              </w:rPr>
              <w:t xml:space="preserve">Unknown</w:t>
            </w:r>
          </w:p>
        </w:tc>
      </w:tr>
      <w:tr>
        <w:tc>
          <w:tcPr>
            <w:tcW w:type="dxa" w:w="3200"/>
          </w:tcPr>
          <w:p>
            <w:r>
              <w:rPr>
                <w:b w:val="false"/>
                <w:bCs w:val="false"/>
                <w:color w:val="000000"/>
              </w:rPr>
              <w:t xml:space="preserve">DeepL</w:t>
            </w:r>
          </w:p>
        </w:tc>
        <w:tc>
          <w:tcPr>
            <w:tcW w:type="dxa" w:w="1600"/>
          </w:tcPr>
          <w:p>
            <w:r>
              <w:rPr>
                <w:b w:val="false"/>
                <w:bCs w:val="false"/>
                <w:color w:val="000000"/>
              </w:rPr>
              <w:t xml:space="preserve">27.4</w:t>
            </w:r>
          </w:p>
        </w:tc>
        <w:tc>
          <w:tcPr>
            <w:tcW w:type="dxa" w:w="1600"/>
          </w:tcPr>
          <w:p>
            <w:r>
              <w:rPr>
                <w:b w:val="false"/>
                <w:bCs w:val="false"/>
                <w:color w:val="000000"/>
              </w:rPr>
              <w:t xml:space="preserve">11.5</w:t>
            </w:r>
          </w:p>
        </w:tc>
        <w:tc>
          <w:tcPr>
            <w:tcW w:type="dxa" w:w="1600"/>
          </w:tcPr>
          <w:p>
            <w:r>
              <w:rPr>
                <w:b w:val="false"/>
                <w:bCs w:val="false"/>
                <w:color w:val="000000"/>
              </w:rPr>
              <w:t xml:space="preserve">20.7</w:t>
            </w:r>
          </w:p>
        </w:tc>
        <w:tc>
          <w:tcPr>
            <w:tcW w:type="dxa" w:w="1600"/>
          </w:tcPr>
          <w:p>
            <w:r>
              <w:rPr>
                <w:b w:val="false"/>
                <w:bCs w:val="false"/>
                <w:color w:val="000000"/>
              </w:rPr>
              <w:t xml:space="preserve">27.5</w:t>
            </w:r>
          </w:p>
        </w:tc>
      </w:tr>
      <w:tr>
        <w:tc>
          <w:tcPr>
            <w:tcW w:type="dxa" w:w="3200"/>
          </w:tcPr>
          <w:p>
            <w:r>
              <w:rPr>
                <w:b w:val="false"/>
                <w:bCs w:val="false"/>
                <w:color w:val="000000"/>
              </w:rPr>
              <w:t xml:space="preserve">Google Translate</w:t>
            </w:r>
          </w:p>
        </w:tc>
        <w:tc>
          <w:tcPr>
            <w:tcW w:type="dxa" w:w="1600"/>
          </w:tcPr>
          <w:p>
            <w:r>
              <w:rPr>
                <w:b w:val="false"/>
                <w:bCs w:val="false"/>
                <w:color w:val="000000"/>
              </w:rPr>
              <w:t xml:space="preserve">15.8</w:t>
            </w:r>
          </w:p>
        </w:tc>
        <w:tc>
          <w:tcPr>
            <w:tcW w:type="dxa" w:w="1600"/>
          </w:tcPr>
          <w:p>
            <w:r>
              <w:rPr>
                <w:b w:val="false"/>
                <w:bCs w:val="false"/>
                <w:color w:val="000000"/>
              </w:rPr>
              <w:t xml:space="preserve">4.9</w:t>
            </w:r>
          </w:p>
        </w:tc>
        <w:tc>
          <w:tcPr>
            <w:tcW w:type="dxa" w:w="1600"/>
          </w:tcPr>
          <w:p>
            <w:r>
              <w:rPr>
                <w:b w:val="false"/>
                <w:bCs w:val="false"/>
                <w:color w:val="000000"/>
              </w:rPr>
              <w:t xml:space="preserve">5.2</w:t>
            </w:r>
          </w:p>
        </w:tc>
        <w:tc>
          <w:tcPr>
            <w:tcW w:type="dxa" w:w="1600"/>
          </w:tcPr>
          <w:p>
            <w:r>
              <w:rPr>
                <w:b w:val="false"/>
                <w:bCs w:val="false"/>
                <w:color w:val="000000"/>
              </w:rPr>
              <w:t xml:space="preserve">0.0</w:t>
            </w:r>
          </w:p>
        </w:tc>
      </w:tr>
      <w:tr>
        <w:tc>
          <w:tcPr>
            <w:tcW w:type="dxa" w:w="3200"/>
          </w:tcPr>
          <w:p>
            <w:r>
              <w:rPr>
                <w:b w:val="false"/>
                <w:bCs w:val="false"/>
                <w:color w:val="000000"/>
              </w:rPr>
              <w:t xml:space="preserve">Google</w:t>
            </w:r>
          </w:p>
        </w:tc>
        <w:tc>
          <w:tcPr>
            <w:tcW w:type="dxa" w:w="1600"/>
          </w:tcPr>
          <w:p>
            <w:r>
              <w:rPr>
                <w:b w:val="false"/>
                <w:bCs w:val="false"/>
                <w:color w:val="000000"/>
              </w:rPr>
              <w:t xml:space="preserve">13.7</w:t>
            </w:r>
          </w:p>
        </w:tc>
        <w:tc>
          <w:tcPr>
            <w:tcW w:type="dxa" w:w="1600"/>
          </w:tcPr>
          <w:p>
            <w:r>
              <w:rPr>
                <w:b w:val="false"/>
                <w:bCs w:val="false"/>
                <w:color w:val="000000"/>
              </w:rPr>
              <w:t xml:space="preserve">1.6</w:t>
            </w:r>
          </w:p>
        </w:tc>
        <w:tc>
          <w:tcPr>
            <w:tcW w:type="dxa" w:w="1600"/>
          </w:tcPr>
          <w:p>
            <w:r>
              <w:rPr>
                <w:b w:val="false"/>
                <w:bCs w:val="false"/>
                <w:color w:val="000000"/>
              </w:rPr>
              <w:t xml:space="preserve">0.0</w:t>
            </w:r>
          </w:p>
        </w:tc>
        <w:tc>
          <w:tcPr>
            <w:tcW w:type="dxa" w:w="1600"/>
          </w:tcPr>
          <w:p>
            <w:r>
              <w:rPr>
                <w:b w:val="false"/>
                <w:bCs w:val="false"/>
                <w:color w:val="000000"/>
              </w:rPr>
              <w:t xml:space="preserve">13.8</w:t>
            </w:r>
          </w:p>
        </w:tc>
      </w:tr>
      <w:tr>
        <w:tc>
          <w:tcPr>
            <w:tcW w:type="dxa" w:w="3200"/>
          </w:tcPr>
          <w:p>
            <w:r>
              <w:rPr>
                <w:b w:val="false"/>
                <w:bCs w:val="false"/>
                <w:color w:val="000000"/>
              </w:rPr>
              <w:t xml:space="preserve">Deepl</w:t>
            </w:r>
          </w:p>
        </w:tc>
        <w:tc>
          <w:tcPr>
            <w:tcW w:type="dxa" w:w="1600"/>
          </w:tcPr>
          <w:p>
            <w:r>
              <w:rPr>
                <w:b w:val="false"/>
                <w:bCs w:val="false"/>
                <w:color w:val="000000"/>
              </w:rPr>
              <w:t xml:space="preserve">6.7</w:t>
            </w:r>
          </w:p>
        </w:tc>
        <w:tc>
          <w:tcPr>
            <w:tcW w:type="dxa" w:w="1600"/>
          </w:tcPr>
          <w:p>
            <w:r>
              <w:rPr>
                <w:b w:val="false"/>
                <w:bCs w:val="false"/>
                <w:color w:val="000000"/>
              </w:rPr>
              <w:t xml:space="preserve">0.0</w:t>
            </w:r>
          </w:p>
        </w:tc>
        <w:tc>
          <w:tcPr>
            <w:tcW w:type="dxa" w:w="1600"/>
          </w:tcPr>
          <w:p>
            <w:r>
              <w:rPr>
                <w:b w:val="false"/>
                <w:bCs w:val="false"/>
                <w:color w:val="000000"/>
              </w:rPr>
              <w:t xml:space="preserve">0.0</w:t>
            </w:r>
          </w:p>
        </w:tc>
        <w:tc>
          <w:tcPr>
            <w:tcW w:type="dxa" w:w="1600"/>
          </w:tcPr>
          <w:p>
            <w:r>
              <w:rPr>
                <w:b w:val="false"/>
                <w:bCs w:val="false"/>
                <w:color w:val="000000"/>
              </w:rPr>
              <w:t xml:space="preserve">4.6</w:t>
            </w:r>
          </w:p>
        </w:tc>
      </w:tr>
      <w:tr>
        <w:tc>
          <w:tcPr>
            <w:tcW w:type="dxa" w:w="3200"/>
          </w:tcPr>
          <w:p>
            <w:r>
              <w:rPr>
                <w:b w:val="false"/>
                <w:bCs w:val="false"/>
                <w:color w:val="000000"/>
              </w:rPr>
              <w:t xml:space="preserve">Amazon</w:t>
            </w:r>
          </w:p>
        </w:tc>
        <w:tc>
          <w:tcPr>
            <w:tcW w:type="dxa" w:w="1600"/>
          </w:tcPr>
          <w:p>
            <w:r>
              <w:rPr>
                <w:b w:val="false"/>
                <w:bCs w:val="false"/>
                <w:color w:val="000000"/>
              </w:rPr>
              <w:t xml:space="preserve">4.2</w:t>
            </w:r>
          </w:p>
        </w:tc>
        <w:tc>
          <w:tcPr>
            <w:tcW w:type="dxa" w:w="1600"/>
          </w:tcPr>
          <w:p>
            <w:r>
              <w:rPr>
                <w:b w:val="false"/>
                <w:bCs w:val="false"/>
                <w:color w:val="000000"/>
              </w:rPr>
              <w:t xml:space="preserve">1.6</w:t>
            </w:r>
          </w:p>
        </w:tc>
        <w:tc>
          <w:tcPr>
            <w:tcW w:type="dxa" w:w="1600"/>
          </w:tcPr>
          <w:p>
            <w:r>
              <w:rPr>
                <w:b w:val="false"/>
                <w:bCs w:val="false"/>
                <w:color w:val="000000"/>
              </w:rPr>
              <w:t xml:space="preserve">5.2</w:t>
            </w:r>
          </w:p>
        </w:tc>
        <w:tc>
          <w:tcPr>
            <w:tcW w:type="dxa" w:w="1600"/>
          </w:tcPr>
          <w:p>
            <w:r>
              <w:rPr>
                <w:b w:val="false"/>
                <w:bCs w:val="false"/>
                <w:color w:val="000000"/>
              </w:rPr>
              <w:t xml:space="preserve">4.6</w:t>
            </w:r>
          </w:p>
        </w:tc>
      </w:tr>
      <w:tr>
        <w:tc>
          <w:tcPr>
            <w:tcW w:type="dxa" w:w="3200"/>
          </w:tcPr>
          <w:p>
            <w:r>
              <w:rPr>
                <w:b w:val="false"/>
                <w:bCs w:val="false"/>
                <w:color w:val="000000"/>
              </w:rPr>
              <w:t xml:space="preserve">Mozilla Localization</w:t>
            </w:r>
          </w:p>
        </w:tc>
        <w:tc>
          <w:tcPr>
            <w:tcW w:type="dxa" w:w="1600"/>
          </w:tcPr>
          <w:p>
            <w:r>
              <w:rPr>
                <w:b w:val="false"/>
                <w:bCs w:val="false"/>
                <w:color w:val="000000"/>
              </w:rPr>
              <w:t xml:space="preserve">4.9</w:t>
            </w:r>
          </w:p>
        </w:tc>
        <w:tc>
          <w:tcPr>
            <w:tcW w:type="dxa" w:w="1600"/>
          </w:tcPr>
          <w:p>
            <w:r>
              <w:rPr>
                <w:b w:val="false"/>
                <w:bCs w:val="false"/>
                <w:color w:val="000000"/>
              </w:rPr>
              <w:t xml:space="preserve">0.0</w:t>
            </w:r>
          </w:p>
        </w:tc>
        <w:tc>
          <w:tcPr>
            <w:tcW w:type="dxa" w:w="1600"/>
          </w:tcPr>
          <w:p>
            <w:r>
              <w:rPr>
                <w:b w:val="false"/>
                <w:bCs w:val="false"/>
                <w:color w:val="000000"/>
              </w:rPr>
              <w:t xml:space="preserve">0.0</w:t>
            </w:r>
          </w:p>
        </w:tc>
        <w:tc>
          <w:tcPr>
            <w:tcW w:type="dxa" w:w="1600"/>
          </w:tcPr>
          <w:p>
            <w:r>
              <w:rPr>
                <w:b w:val="false"/>
                <w:bCs w:val="false"/>
                <w:color w:val="000000"/>
              </w:rPr>
              <w:t xml:space="preserve">0.0</w:t>
            </w:r>
          </w:p>
        </w:tc>
      </w:tr>
      <w:tr>
        <w:tc>
          <w:tcPr>
            <w:tcW w:type="dxa" w:w="3200"/>
          </w:tcPr>
          <w:p>
            <w:r>
              <w:rPr>
                <w:b w:val="false"/>
                <w:bCs w:val="false"/>
                <w:color w:val="000000"/>
              </w:rPr>
              <w:t xml:space="preserve">GPT</w:t>
            </w:r>
          </w:p>
        </w:tc>
        <w:tc>
          <w:tcPr>
            <w:tcW w:type="dxa" w:w="1600"/>
          </w:tcPr>
          <w:p>
            <w:r>
              <w:rPr>
                <w:b w:val="false"/>
                <w:bCs w:val="false"/>
                <w:color w:val="000000"/>
              </w:rPr>
              <w:t xml:space="preserve">3.2</w:t>
            </w:r>
          </w:p>
        </w:tc>
        <w:tc>
          <w:tcPr>
            <w:tcW w:type="dxa" w:w="1600"/>
          </w:tcPr>
          <w:p>
            <w:r>
              <w:rPr>
                <w:b w:val="false"/>
                <w:bCs w:val="false"/>
                <w:color w:val="000000"/>
              </w:rPr>
              <w:t xml:space="preserve">3.3</w:t>
            </w:r>
          </w:p>
        </w:tc>
        <w:tc>
          <w:tcPr>
            <w:tcW w:type="dxa" w:w="1600"/>
          </w:tcPr>
          <w:p>
            <w:r>
              <w:rPr>
                <w:b w:val="false"/>
                <w:bCs w:val="false"/>
                <w:color w:val="000000"/>
              </w:rPr>
              <w:t xml:space="preserve">0.0</w:t>
            </w:r>
          </w:p>
        </w:tc>
        <w:tc>
          <w:tcPr>
            <w:tcW w:type="dxa" w:w="1600"/>
          </w:tcPr>
          <w:p>
            <w:r>
              <w:rPr>
                <w:b w:val="false"/>
                <w:bCs w:val="false"/>
                <w:color w:val="000000"/>
              </w:rPr>
              <w:t xml:space="preserve">0.0</w:t>
            </w:r>
          </w:p>
        </w:tc>
      </w:tr>
      <w:tr>
        <w:tc>
          <w:tcPr>
            <w:tcW w:type="dxa" w:w="3200"/>
          </w:tcPr>
          <w:p>
            <w:r>
              <w:rPr>
                <w:b w:val="false"/>
                <w:bCs w:val="false"/>
                <w:color w:val="000000"/>
              </w:rPr>
              <w:t xml:space="preserve">YouTube</w:t>
            </w:r>
          </w:p>
        </w:tc>
        <w:tc>
          <w:tcPr>
            <w:tcW w:type="dxa" w:w="1600"/>
          </w:tcPr>
          <w:p>
            <w:r>
              <w:rPr>
                <w:b w:val="false"/>
                <w:bCs w:val="false"/>
                <w:color w:val="000000"/>
              </w:rPr>
              <w:t xml:space="preserve">2.5</w:t>
            </w:r>
          </w:p>
        </w:tc>
        <w:tc>
          <w:tcPr>
            <w:tcW w:type="dxa" w:w="1600"/>
          </w:tcPr>
          <w:p>
            <w:r>
              <w:rPr>
                <w:b w:val="false"/>
                <w:bCs w:val="false"/>
                <w:color w:val="000000"/>
              </w:rPr>
              <w:t xml:space="preserve">1.6</w:t>
            </w:r>
          </w:p>
        </w:tc>
        <w:tc>
          <w:tcPr>
            <w:tcW w:type="dxa" w:w="1600"/>
          </w:tcPr>
          <w:p>
            <w:r>
              <w:rPr>
                <w:b w:val="false"/>
                <w:bCs w:val="false"/>
                <w:color w:val="000000"/>
              </w:rPr>
              <w:t xml:space="preserve">5.2</w:t>
            </w:r>
          </w:p>
        </w:tc>
        <w:tc>
          <w:tcPr>
            <w:tcW w:type="dxa" w:w="1600"/>
          </w:tcPr>
          <w:p>
            <w:r>
              <w:rPr>
                <w:b w:val="false"/>
                <w:bCs w:val="false"/>
                <w:color w:val="000000"/>
              </w:rPr>
              <w:t xml:space="preserve">0.0</w:t>
            </w:r>
          </w:p>
        </w:tc>
      </w:tr>
      <w:tr>
        <w:tc>
          <w:tcPr>
            <w:tcW w:type="dxa" w:w="3200"/>
          </w:tcPr>
          <w:p>
            <w:r>
              <w:rPr>
                <w:b w:val="false"/>
                <w:bCs w:val="false"/>
                <w:color w:val="000000"/>
              </w:rPr>
              <w:t xml:space="preserve">Microsoft</w:t>
            </w:r>
          </w:p>
        </w:tc>
        <w:tc>
          <w:tcPr>
            <w:tcW w:type="dxa" w:w="1600"/>
          </w:tcPr>
          <w:p>
            <w:r>
              <w:rPr>
                <w:b w:val="false"/>
                <w:bCs w:val="false"/>
                <w:color w:val="000000"/>
              </w:rPr>
              <w:t xml:space="preserve">1.8</w:t>
            </w:r>
          </w:p>
        </w:tc>
        <w:tc>
          <w:tcPr>
            <w:tcW w:type="dxa" w:w="1600"/>
          </w:tcPr>
          <w:p>
            <w:r>
              <w:rPr>
                <w:b w:val="false"/>
                <w:bCs w:val="false"/>
                <w:color w:val="000000"/>
              </w:rPr>
              <w:t xml:space="preserve">1.6</w:t>
            </w:r>
          </w:p>
        </w:tc>
        <w:tc>
          <w:tcPr>
            <w:tcW w:type="dxa" w:w="1600"/>
          </w:tcPr>
          <w:p>
            <w:r>
              <w:rPr>
                <w:b w:val="false"/>
                <w:bCs w:val="false"/>
                <w:color w:val="000000"/>
              </w:rPr>
              <w:t xml:space="preserve">0.0</w:t>
            </w:r>
          </w:p>
        </w:tc>
        <w:tc>
          <w:tcPr>
            <w:tcW w:type="dxa" w:w="1600"/>
          </w:tcPr>
          <w:p>
            <w:r>
              <w:rPr>
                <w:b w:val="false"/>
                <w:bCs w:val="false"/>
                <w:color w:val="000000"/>
              </w:rPr>
              <w:t xml:space="preserve">0.0</w:t>
            </w:r>
          </w:p>
        </w:tc>
      </w:tr>
      <w:tr>
        <w:tc>
          <w:tcPr>
            <w:tcW w:type="dxa" w:w="3200"/>
          </w:tcPr>
          <w:p>
            <w:r>
              <w:rPr>
                <w:b w:val="false"/>
                <w:bCs w:val="false"/>
                <w:color w:val="000000"/>
              </w:rPr>
              <w:t xml:space="preserve">Claude</w:t>
            </w:r>
          </w:p>
        </w:tc>
        <w:tc>
          <w:tcPr>
            <w:tcW w:type="dxa" w:w="1600"/>
          </w:tcPr>
          <w:p>
            <w:r>
              <w:rPr>
                <w:b w:val="false"/>
                <w:bCs w:val="false"/>
                <w:color w:val="000000"/>
              </w:rPr>
              <w:t xml:space="preserve">1.1</w:t>
            </w:r>
          </w:p>
        </w:tc>
        <w:tc>
          <w:tcPr>
            <w:tcW w:type="dxa" w:w="1600"/>
          </w:tcPr>
          <w:p>
            <w:r>
              <w:rPr>
                <w:b w:val="false"/>
                <w:bCs w:val="false"/>
                <w:color w:val="000000"/>
              </w:rPr>
              <w:t xml:space="preserve">0.0</w:t>
            </w:r>
          </w:p>
        </w:tc>
        <w:tc>
          <w:tcPr>
            <w:tcW w:type="dxa" w:w="1600"/>
          </w:tcPr>
          <w:p>
            <w:r>
              <w:rPr>
                <w:b w:val="false"/>
                <w:bCs w:val="false"/>
                <w:color w:val="000000"/>
              </w:rPr>
              <w:t xml:space="preserve">5.2</w:t>
            </w:r>
          </w:p>
        </w:tc>
        <w:tc>
          <w:tcPr>
            <w:tcW w:type="dxa" w:w="1600"/>
          </w:tcPr>
          <w:p>
            <w:r>
              <w:rPr>
                <w:b w:val="false"/>
                <w:bCs w:val="false"/>
                <w:color w:val="000000"/>
              </w:rPr>
              <w:t xml:space="preserve">0.0</w:t>
            </w:r>
          </w:p>
        </w:tc>
      </w:tr>
      <w:tr>
        <w:tc>
          <w:tcPr>
            <w:tcW w:type="dxa" w:w="3200"/>
          </w:tcPr>
          <w:p>
            <w:r>
              <w:rPr>
                <w:b w:val="false"/>
                <w:bCs w:val="false"/>
                <w:color w:val="000000"/>
              </w:rPr>
              <w:t xml:space="preserve">Meta</w:t>
            </w:r>
          </w:p>
        </w:tc>
        <w:tc>
          <w:tcPr>
            <w:tcW w:type="dxa" w:w="1600"/>
          </w:tcPr>
          <w:p>
            <w:r>
              <w:rPr>
                <w:b w:val="false"/>
                <w:bCs w:val="false"/>
                <w:color w:val="000000"/>
              </w:rPr>
              <w:t xml:space="preserve">1.1</w:t>
            </w:r>
          </w:p>
        </w:tc>
        <w:tc>
          <w:tcPr>
            <w:tcW w:type="dxa" w:w="1600"/>
          </w:tcPr>
          <w:p>
            <w:r>
              <w:rPr>
                <w:b w:val="false"/>
                <w:bCs w:val="false"/>
                <w:color w:val="000000"/>
              </w:rPr>
              <w:t xml:space="preserve">1.6</w:t>
            </w:r>
          </w:p>
        </w:tc>
        <w:tc>
          <w:tcPr>
            <w:tcW w:type="dxa" w:w="1600"/>
          </w:tcPr>
          <w:p>
            <w:r>
              <w:rPr>
                <w:b w:val="false"/>
                <w:bCs w:val="false"/>
                <w:color w:val="000000"/>
              </w:rPr>
              <w:t xml:space="preserve">0.0</w:t>
            </w:r>
          </w:p>
        </w:tc>
        <w:tc>
          <w:tcPr>
            <w:tcW w:type="dxa" w:w="1600"/>
          </w:tcPr>
          <w:p>
            <w:r>
              <w:rPr>
                <w:b w:val="false"/>
                <w:bCs w:val="false"/>
                <w:color w:val="000000"/>
              </w:rPr>
              <w:t xml:space="preserve">0.0</w:t>
            </w:r>
          </w:p>
        </w:tc>
      </w:tr>
      <w:tr>
        <w:tc>
          <w:tcPr>
            <w:tcW w:type="dxa" w:w="3200"/>
          </w:tcPr>
          <w:p>
            <w:r>
              <w:rPr>
                <w:b w:val="false"/>
                <w:bCs w:val="false"/>
                <w:color w:val="000000"/>
              </w:rPr>
              <w:t xml:space="preserve">OpenAI</w:t>
            </w:r>
          </w:p>
        </w:tc>
        <w:tc>
          <w:tcPr>
            <w:tcW w:type="dxa" w:w="1600"/>
          </w:tcPr>
          <w:p>
            <w:r>
              <w:rPr>
                <w:b w:val="false"/>
                <w:bCs w:val="false"/>
                <w:color w:val="000000"/>
              </w:rPr>
              <w:t xml:space="preserve">1.1</w:t>
            </w:r>
          </w:p>
        </w:tc>
        <w:tc>
          <w:tcPr>
            <w:tcW w:type="dxa" w:w="1600"/>
          </w:tcPr>
          <w:p>
            <w:r>
              <w:rPr>
                <w:b w:val="false"/>
                <w:bCs w:val="false"/>
                <w:color w:val="000000"/>
              </w:rPr>
              <w:t xml:space="preserve">0.0</w:t>
            </w:r>
          </w:p>
        </w:tc>
        <w:tc>
          <w:tcPr>
            <w:tcW w:type="dxa" w:w="1600"/>
          </w:tcPr>
          <w:p>
            <w:r>
              <w:rPr>
                <w:b w:val="false"/>
                <w:bCs w:val="false"/>
                <w:color w:val="000000"/>
              </w:rPr>
              <w:t xml:space="preserve">0.0</w:t>
            </w:r>
          </w:p>
        </w:tc>
        <w:tc>
          <w:tcPr>
            <w:tcW w:type="dxa" w:w="1600"/>
          </w:tcPr>
          <w:p>
            <w:r>
              <w:rPr>
                <w:b w:val="false"/>
                <w:bCs w:val="false"/>
                <w:color w:val="000000"/>
              </w:rPr>
              <w:t xml:space="preserve">0.0</w:t>
            </w:r>
          </w:p>
        </w:tc>
      </w:tr>
      <w:tr>
        <w:tc>
          <w:tcPr>
            <w:tcW w:type="dxa" w:w="3200"/>
          </w:tcPr>
          <w:p>
            <w:r>
              <w:rPr>
                <w:b w:val="false"/>
                <w:bCs w:val="false"/>
                <w:color w:val="000000"/>
              </w:rPr>
              <w:t xml:space="preserve">ChatGPT</w:t>
            </w:r>
          </w:p>
        </w:tc>
        <w:tc>
          <w:tcPr>
            <w:tcW w:type="dxa" w:w="1600"/>
          </w:tcPr>
          <w:p>
            <w:r>
              <w:rPr>
                <w:b w:val="false"/>
                <w:bCs w:val="false"/>
                <w:color w:val="000000"/>
              </w:rPr>
              <w:t xml:space="preserve">0.0</w:t>
            </w:r>
          </w:p>
        </w:tc>
        <w:tc>
          <w:tcPr>
            <w:tcW w:type="dxa" w:w="1600"/>
          </w:tcPr>
          <w:p>
            <w:r>
              <w:rPr>
                <w:b w:val="false"/>
                <w:bCs w:val="false"/>
                <w:color w:val="000000"/>
              </w:rPr>
              <w:t xml:space="preserve">1.6</w:t>
            </w:r>
          </w:p>
        </w:tc>
        <w:tc>
          <w:tcPr>
            <w:tcW w:type="dxa" w:w="1600"/>
          </w:tcPr>
          <w:p>
            <w:r>
              <w:rPr>
                <w:b w:val="false"/>
                <w:bCs w:val="false"/>
                <w:color w:val="000000"/>
              </w:rPr>
              <w:t xml:space="preserve">0.0</w:t>
            </w:r>
          </w:p>
        </w:tc>
        <w:tc>
          <w:tcPr>
            <w:tcW w:type="dxa" w:w="1600"/>
          </w:tcPr>
          <w:p>
            <w:r>
              <w:rPr>
                <w:b w:val="false"/>
                <w:bCs w:val="false"/>
                <w:color w:val="000000"/>
              </w:rPr>
              <w:t xml:space="preserve">0.0</w:t>
            </w:r>
          </w:p>
        </w:tc>
      </w:tr>
    </w:tbl>
    <w:p>
      <w:pPr>
        <w:spacing w:after="100"/>
      </w:pPr>
    </w:p>
    <w:p>
      <w:pPr>
        <w:spacing w:after="100"/>
      </w:pPr>
      <w:r>
        <w:t xml:space="preserve">DeepL and Google Translate dominate across all groups. Tech users mention Claude and Amazon at a notably higher rate relative to group size, suggesting a lean toward LLM-based translation. These counts are small in absolute terms for professional/tech/unknown (193–610 posts total) — suggestive, not conclusive.</w:t>
      </w:r>
    </w:p>
    <w:p>
      <w:pPr>
        <w:pStyle w:val="Heading3"/>
        <w:spacing w:after="80" w:before="140"/>
      </w:pPr>
      <w:r>
        <w:t xml:space="preserve">4.2.4 Word clouds by sentiment</w:t>
      </w:r>
    </w:p>
    <w:p>
      <w:pPr>
        <w:spacing w:after="60" w:before="100"/>
        <w:jc w:val="center"/>
      </w:pPr>
      <w:r>
        <w:drawing>
          <wp:inline distT="0" distB="0" distL="0" distR="0">
            <wp:extent cx="4381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1724025"/>
                    </a:xfrm>
                    <a:prstGeom prst="rect">
                      <a:avLst/>
                    </a:prstGeom>
                  </pic:spPr>
                </pic:pic>
              </a:graphicData>
            </a:graphic>
          </wp:inline>
        </w:drawing>
      </w:r>
    </w:p>
    <w:p>
      <w:pPr>
        <w:spacing w:after="160"/>
        <w:jc w:val="center"/>
      </w:pPr>
      <w:r>
        <w:rPr>
          <w:i/>
          <w:iCs/>
          <w:color w:val="555555"/>
          <w:sz w:val="19"/>
          <w:szCs w:val="19"/>
        </w:rPr>
        <w:t xml:space="preserve">Figure 10 — Word clouds for VADER-positive (left) and VADER-negative (right) posts.</w:t>
      </w:r>
    </w:p>
    <w:p>
      <w:pPr>
        <w:pStyle w:val="Heading1"/>
        <w:spacing w:after="120" w:before="260"/>
      </w:pPr>
      <w:r>
        <w:t xml:space="preserve">5. Discussion &amp; Conclusions</w:t>
      </w:r>
    </w:p>
    <w:p>
      <w:pPr>
        <w:pStyle w:val="Heading2"/>
        <w:spacing w:after="100" w:before="200"/>
      </w:pPr>
      <w:r>
        <w:t xml:space="preserve">5.1 Content analysis conclusions</w:t>
      </w:r>
    </w:p>
    <w:p>
      <w:pPr>
        <w:spacing w:after="100"/>
      </w:pPr>
      <w:r>
        <w:t xml:space="preserve">RQ1 (tool vs. threat): the two sentiment tools disagree on 45.9% of posts. Taking the context-aware RoBERTa model as the more reliable signal, the discourse is genuinely mixed (23.1% / 46.0% / 31.0%) rather than predominantly positive — MT is discussed as both a useful tool and, in a substantial minority of posts, critically.</w:t>
      </w:r>
    </w:p>
    <w:p>
      <w:pPr>
        <w:spacing w:after="100"/>
      </w:pPr>
      <w:r>
        <w:t xml:space="preserve">RQ2/RQ3 (professional vs. general, utility vs. displacement): professionals score most positive on average (VADER mean compound 0.201 vs. 0.139 general, 0.173 tech, 0.112 unknown), consistent with acknowledging MT's day-to-day utility rather than uniformly framing it as a threat. The emotion analysis didn't meaningfully support or refute this — differences between user types were small next to the NRCLex/DistilRoBERTa disagreement, which is itself the more notable finding there.</w:t>
      </w:r>
    </w:p>
    <w:p>
      <w:pPr>
        <w:spacing w:after="100"/>
      </w:pPr>
      <w:r>
        <w:t xml:space="preserve">Named entity recognition shows DeepL and Google Translate as the dominant tools discussed by all groups, with tech users discussing Claude/Amazon disproportionately given their group size.</w:t>
      </w:r>
    </w:p>
    <w:p>
      <w:pPr>
        <w:pStyle w:val="Heading2"/>
        <w:spacing w:after="100" w:before="200"/>
      </w:pPr>
      <w:r>
        <w:t xml:space="preserve">5.2 Overall project conclusion</w:t>
      </w:r>
    </w:p>
    <w:p>
      <w:pPr>
        <w:spacing w:after="200" w:before="80"/>
      </w:pPr>
      <w:r>
        <w:rPr>
          <w:i/>
          <w:iCs/>
          <w:color w:val="666666"/>
        </w:rPr>
        <w:t xml:space="preserve">To be completed once the network analysis results are available, relating community structure / centrality findings to the framing and professional-vs-general differences found here.</w:t>
      </w:r>
    </w:p>
    <w:p>
      <w:pPr>
        <w:pStyle w:val="Heading1"/>
        <w:spacing w:after="120" w:before="260"/>
      </w:pPr>
      <w:r>
        <w:t xml:space="preserve">6. Limitations</w:t>
      </w:r>
    </w:p>
    <w:p>
      <w:pPr>
        <w:pStyle w:val="ListParagraph"/>
        <w:numPr>
          <w:ilvl w:val="0"/>
          <w:numId w:val="1"/>
        </w:numPr>
        <w:spacing w:after="40"/>
      </w:pPr>
      <w:r>
        <w:t xml:space="preserve">Ego-network sample: follow edges exist only around authors with ≥ 2 posts, so centrality comparisons are only valid within the post-authors subgraph. A 100-follower cap per author (visible as a spike in the in-degree distribution) and the followers-not-following crawl direction further shape the network's structure.</w:t>
      </w:r>
    </w:p>
    <w:p>
      <w:pPr>
        <w:pStyle w:val="ListParagraph"/>
        <w:numPr>
          <w:ilvl w:val="0"/>
          <w:numId w:val="1"/>
        </w:numPr>
        <w:spacing w:after="40"/>
      </w:pPr>
      <w:r>
        <w:t xml:space="preserve">Single platform (Bluesky), one ~12-month window, and a multilingual corpus filtered by keyword rather than language — findings may not generalize, and non-English posts are intentionally kept rather than the corpus being presented as English-only.</w:t>
      </w:r>
    </w:p>
    <w:p>
      <w:pPr>
        <w:pStyle w:val="ListParagraph"/>
        <w:numPr>
          <w:ilvl w:val="0"/>
          <w:numId w:val="1"/>
        </w:numPr>
        <w:spacing w:after="40"/>
      </w:pPr>
      <w:r>
        <w:t xml:space="preserve">Topical relevance filtering and author-type labeling are keyword-matching heuristics, not validated classifiers; no manual accuracy check was performed. The unknown category (Section 2.3) mitigates one failure mode — treating "no bio" as "general public" — but doesn't validate the labels that are assigned.</w:t>
      </w:r>
    </w:p>
    <w:p>
      <w:pPr>
        <w:pStyle w:val="ListParagraph"/>
        <w:numPr>
          <w:ilvl w:val="0"/>
          <w:numId w:val="1"/>
        </w:numPr>
        <w:spacing w:after="40"/>
      </w:pPr>
      <w:r>
        <w:t xml:space="preserve">spaCy's en_core_web_sm was trained on general news text and mis-tags several domain acronyms as organizations (Section 4.2.3, reported rather than filtered out).</w:t>
      </w:r>
    </w:p>
    <w:p>
      <w:pPr>
        <w:pStyle w:val="ListParagraph"/>
        <w:numPr>
          <w:ilvl w:val="0"/>
          <w:numId w:val="1"/>
        </w:numPr>
        <w:spacing w:after="40"/>
      </w:pPr>
      <w:r>
        <w:t xml:space="preserve">VADER and NRCLex are lexicon-based and diverge substantially from transformer alternatives (RoBERTa, DistilRoBERTa). Without gold-standard annotation we can't call either "correct" in absolute terms, only that they disagree — qualitative inspection favored the transformer models.</w:t>
      </w:r>
    </w:p>
    <w:p>
      <w:pPr>
        <w:pStyle w:val="ListParagraph"/>
        <w:numPr>
          <w:ilvl w:val="0"/>
          <w:numId w:val="1"/>
        </w:numPr>
        <w:spacing w:after="40"/>
      </w:pPr>
      <w:r>
        <w:t xml:space="preserve">Professional (610), tech (193), and unknown (218) groups are much smaller than general (2,843); comparisons use rates rather than raw counts, but per-entity counts for the smaller groups are still small enough to be noisy.</w:t>
      </w:r>
    </w:p>
    <w:p>
      <w:pPr>
        <w:pStyle w:val="ListParagraph"/>
        <w:numPr>
          <w:ilvl w:val="0"/>
          <w:numId w:val="1"/>
        </w:numPr>
        <w:spacing w:after="40"/>
      </w:pPr>
      <w:r>
        <w:t xml:space="preserve">Nodes are identified by Bluesky handle, not the more stable DID (stored as a fallback only). Only public posts and follower lists were collected, at polite request rates, via the official API.</w:t>
      </w:r>
    </w:p>
    <w:p>
      <w:pPr>
        <w:pStyle w:val="Heading1"/>
        <w:spacing w:after="120" w:before="260"/>
      </w:pPr>
      <w:r>
        <w:t xml:space="preserve">7. Tools and Libraries Used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2000"/>
      </w:tblGrid>
      <w:tr>
        <w:tc>
          <w:tcPr>
            <w:tcW w:type="dxa" w:w="3200"/>
            <w:shd w:fill="2A2A4A" w:val="clear"/>
          </w:tcPr>
          <w:p>
            <w:r>
              <w:rPr>
                <w:b/>
                <w:bCs/>
                <w:color w:val="FFFFFF"/>
              </w:rPr>
              <w:t xml:space="preserve">Task</w:t>
            </w:r>
          </w:p>
        </w:tc>
        <w:tc>
          <w:tcPr>
            <w:tcW w:type="dxa" w:w="4400"/>
            <w:shd w:fill="2A2A4A" w:val="clear"/>
          </w:tcPr>
          <w:p>
            <w:r>
              <w:rPr>
                <w:b/>
                <w:bCs/>
                <w:color w:val="FFFFFF"/>
              </w:rPr>
              <w:t xml:space="preserve">Tool / Model</w:t>
            </w:r>
          </w:p>
        </w:tc>
        <w:tc>
          <w:tcPr>
            <w:tcW w:type="dxa" w:w="2000"/>
            <w:shd w:fill="2A2A4A" w:val="clear"/>
          </w:tcPr>
          <w:p>
            <w:r>
              <w:rPr>
                <w:b/>
                <w:bCs/>
                <w:color w:val="FFFFFF"/>
              </w:rPr>
              <w:t xml:space="preserve">Type</w:t>
            </w:r>
          </w:p>
        </w:tc>
      </w:tr>
      <w:tr>
        <w:tc>
          <w:tcPr>
            <w:tcW w:type="dxa" w:w="3200"/>
          </w:tcPr>
          <w:p>
            <w:r>
              <w:rPr>
                <w:b w:val="false"/>
                <w:bCs w:val="false"/>
                <w:color w:val="000000"/>
              </w:rPr>
              <w:t xml:space="preserve">Data collection</w:t>
            </w:r>
          </w:p>
        </w:tc>
        <w:tc>
          <w:tcPr>
            <w:tcW w:type="dxa" w:w="4400"/>
          </w:tcPr>
          <w:p>
            <w:r>
              <w:rPr>
                <w:b w:val="false"/>
                <w:bCs w:val="false"/>
                <w:color w:val="000000"/>
              </w:rPr>
              <w:t xml:space="preserve">atproto (Bluesky API client)</w:t>
            </w:r>
          </w:p>
        </w:tc>
        <w:tc>
          <w:tcPr>
            <w:tcW w:type="dxa" w:w="2000"/>
          </w:tcPr>
          <w:p>
            <w:r>
              <w:rPr>
                <w:b w:val="false"/>
                <w:bCs w:val="false"/>
                <w:color w:val="000000"/>
              </w:rPr>
              <w:t xml:space="preserve">API client</w:t>
            </w:r>
          </w:p>
        </w:tc>
      </w:tr>
      <w:tr>
        <w:tc>
          <w:tcPr>
            <w:tcW w:type="dxa" w:w="3200"/>
          </w:tcPr>
          <w:p>
            <w:r>
              <w:rPr>
                <w:b w:val="false"/>
                <w:bCs w:val="false"/>
                <w:color w:val="000000"/>
              </w:rPr>
              <w:t xml:space="preserve">Network analysis</w:t>
            </w:r>
          </w:p>
        </w:tc>
        <w:tc>
          <w:tcPr>
            <w:tcW w:type="dxa" w:w="4400"/>
          </w:tcPr>
          <w:p>
            <w:r>
              <w:rPr>
                <w:b w:val="false"/>
                <w:bCs w:val="false"/>
                <w:color w:val="000000"/>
              </w:rPr>
              <w:t xml:space="preserve">networkx</w:t>
            </w:r>
          </w:p>
        </w:tc>
        <w:tc>
          <w:tcPr>
            <w:tcW w:type="dxa" w:w="2000"/>
          </w:tcPr>
          <w:p>
            <w:r>
              <w:rPr>
                <w:b w:val="false"/>
                <w:bCs w:val="false"/>
                <w:color w:val="000000"/>
              </w:rPr>
              <w:t xml:space="preserve">—</w:t>
            </w:r>
          </w:p>
        </w:tc>
      </w:tr>
      <w:tr>
        <w:tc>
          <w:tcPr>
            <w:tcW w:type="dxa" w:w="3200"/>
          </w:tcPr>
          <w:p>
            <w:r>
              <w:rPr>
                <w:b w:val="false"/>
                <w:bCs w:val="false"/>
                <w:color w:val="000000"/>
              </w:rPr>
              <w:t xml:space="preserve">Sentiment analysis</w:t>
            </w:r>
          </w:p>
        </w:tc>
        <w:tc>
          <w:tcPr>
            <w:tcW w:type="dxa" w:w="4400"/>
          </w:tcPr>
          <w:p>
            <w:r>
              <w:rPr>
                <w:b w:val="false"/>
                <w:bCs w:val="false"/>
                <w:color w:val="000000"/>
              </w:rPr>
              <w:t xml:space="preserve">vaderSentiment</w:t>
            </w:r>
          </w:p>
        </w:tc>
        <w:tc>
          <w:tcPr>
            <w:tcW w:type="dxa" w:w="2000"/>
          </w:tcPr>
          <w:p>
            <w:r>
              <w:rPr>
                <w:b w:val="false"/>
                <w:bCs w:val="false"/>
                <w:color w:val="000000"/>
              </w:rPr>
              <w:t xml:space="preserve">Lexicon-based</w:t>
            </w:r>
          </w:p>
        </w:tc>
      </w:tr>
      <w:tr>
        <w:tc>
          <w:tcPr>
            <w:tcW w:type="dxa" w:w="3200"/>
          </w:tcPr>
          <w:p>
            <w:r>
              <w:rPr>
                <w:b w:val="false"/>
                <w:bCs w:val="false"/>
                <w:color w:val="000000"/>
              </w:rPr>
              <w:t xml:space="preserve">Sentiment analysis</w:t>
            </w:r>
          </w:p>
        </w:tc>
        <w:tc>
          <w:tcPr>
            <w:tcW w:type="dxa" w:w="4400"/>
          </w:tcPr>
          <w:p>
            <w:r>
              <w:rPr>
                <w:b w:val="false"/>
                <w:bCs w:val="false"/>
                <w:color w:val="000000"/>
              </w:rPr>
              <w:t xml:space="preserve">cardiffnlp/twitter-roberta-base-sentiment</w:t>
            </w:r>
          </w:p>
        </w:tc>
        <w:tc>
          <w:tcPr>
            <w:tcW w:type="dxa" w:w="2000"/>
          </w:tcPr>
          <w:p>
            <w:r>
              <w:rPr>
                <w:b w:val="false"/>
                <w:bCs w:val="false"/>
                <w:color w:val="000000"/>
              </w:rPr>
              <w:t xml:space="preserve">Transformer</w:t>
            </w:r>
          </w:p>
        </w:tc>
      </w:tr>
      <w:tr>
        <w:tc>
          <w:tcPr>
            <w:tcW w:type="dxa" w:w="3200"/>
          </w:tcPr>
          <w:p>
            <w:r>
              <w:rPr>
                <w:b w:val="false"/>
                <w:bCs w:val="false"/>
                <w:color w:val="000000"/>
              </w:rPr>
              <w:t xml:space="preserve">Emotion analysis</w:t>
            </w:r>
          </w:p>
        </w:tc>
        <w:tc>
          <w:tcPr>
            <w:tcW w:type="dxa" w:w="4400"/>
          </w:tcPr>
          <w:p>
            <w:r>
              <w:rPr>
                <w:b w:val="false"/>
                <w:bCs w:val="false"/>
                <w:color w:val="000000"/>
              </w:rPr>
              <w:t xml:space="preserve">NRCLex</w:t>
            </w:r>
          </w:p>
        </w:tc>
        <w:tc>
          <w:tcPr>
            <w:tcW w:type="dxa" w:w="2000"/>
          </w:tcPr>
          <w:p>
            <w:r>
              <w:rPr>
                <w:b w:val="false"/>
                <w:bCs w:val="false"/>
                <w:color w:val="000000"/>
              </w:rPr>
              <w:t xml:space="preserve">Dictionary-based</w:t>
            </w:r>
          </w:p>
        </w:tc>
      </w:tr>
      <w:tr>
        <w:tc>
          <w:tcPr>
            <w:tcW w:type="dxa" w:w="3200"/>
          </w:tcPr>
          <w:p>
            <w:r>
              <w:rPr>
                <w:b w:val="false"/>
                <w:bCs w:val="false"/>
                <w:color w:val="000000"/>
              </w:rPr>
              <w:t xml:space="preserve">Emotion analysis</w:t>
            </w:r>
          </w:p>
        </w:tc>
        <w:tc>
          <w:tcPr>
            <w:tcW w:type="dxa" w:w="4400"/>
          </w:tcPr>
          <w:p>
            <w:r>
              <w:rPr>
                <w:b w:val="false"/>
                <w:bCs w:val="false"/>
                <w:color w:val="000000"/>
              </w:rPr>
              <w:t xml:space="preserve">j-hartmann/emotion-english-distilroberta-base</w:t>
            </w:r>
          </w:p>
        </w:tc>
        <w:tc>
          <w:tcPr>
            <w:tcW w:type="dxa" w:w="2000"/>
          </w:tcPr>
          <w:p>
            <w:r>
              <w:rPr>
                <w:b w:val="false"/>
                <w:bCs w:val="false"/>
                <w:color w:val="000000"/>
              </w:rPr>
              <w:t xml:space="preserve">Transformer</w:t>
            </w:r>
          </w:p>
        </w:tc>
      </w:tr>
      <w:tr>
        <w:tc>
          <w:tcPr>
            <w:tcW w:type="dxa" w:w="3200"/>
          </w:tcPr>
          <w:p>
            <w:r>
              <w:rPr>
                <w:b w:val="false"/>
                <w:bCs w:val="false"/>
                <w:color w:val="000000"/>
              </w:rPr>
              <w:t xml:space="preserve">Named entity recognition</w:t>
            </w:r>
          </w:p>
        </w:tc>
        <w:tc>
          <w:tcPr>
            <w:tcW w:type="dxa" w:w="4400"/>
          </w:tcPr>
          <w:p>
            <w:r>
              <w:rPr>
                <w:b w:val="false"/>
                <w:bCs w:val="false"/>
                <w:color w:val="000000"/>
              </w:rPr>
              <w:t xml:space="preserve">spaCy (en_core_web_sm)</w:t>
            </w:r>
          </w:p>
        </w:tc>
        <w:tc>
          <w:tcPr>
            <w:tcW w:type="dxa" w:w="2000"/>
          </w:tcPr>
          <w:p>
            <w:r>
              <w:rPr>
                <w:b w:val="false"/>
                <w:bCs w:val="false"/>
                <w:color w:val="000000"/>
              </w:rPr>
              <w:t xml:space="preserve">Pretrained pipeline</w:t>
            </w:r>
          </w:p>
        </w:tc>
      </w:tr>
      <w:tr>
        <w:tc>
          <w:tcPr>
            <w:tcW w:type="dxa" w:w="3200"/>
          </w:tcPr>
          <w:p>
            <w:r>
              <w:rPr>
                <w:b w:val="false"/>
                <w:bCs w:val="false"/>
                <w:color w:val="000000"/>
              </w:rPr>
              <w:t xml:space="preserve">Visualization</w:t>
            </w:r>
          </w:p>
        </w:tc>
        <w:tc>
          <w:tcPr>
            <w:tcW w:type="dxa" w:w="4400"/>
          </w:tcPr>
          <w:p>
            <w:r>
              <w:rPr>
                <w:b w:val="false"/>
                <w:bCs w:val="false"/>
                <w:color w:val="000000"/>
              </w:rPr>
              <w:t xml:space="preserve">matplotlib, wordcloud</w:t>
            </w:r>
          </w:p>
        </w:tc>
        <w:tc>
          <w:tcPr>
            <w:tcW w:type="dxa" w:w="2000"/>
          </w:tcPr>
          <w:p>
            <w:r>
              <w:rPr>
                <w:b w:val="false"/>
                <w:bCs w:val="false"/>
                <w:color w:val="000000"/>
              </w:rPr>
              <w:t xml:space="preserve">-</w:t>
            </w:r>
          </w:p>
        </w:tc>
      </w:tr>
    </w:tbl>
    <w:p>
      <w:pPr>
        <w:spacing w:before="400"/>
      </w:pPr>
    </w:p>
    <w:p>
      <w:pPr>
        <w:spacing w:before="200"/>
      </w:pPr>
      <w:r>
        <w:t xml:space="preserve">Full source code, data dictionary, and setup instructions are in the project README and in 01_data_collection.ipynb / 02_network_analysis.ipynb / 03_content_analysis.ipynb.</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990dfc028edc27fc8e66a03d90bb9e3a5a7aeeb.png"/><Relationship Id="rId8" Type="http://schemas.openxmlformats.org/officeDocument/2006/relationships/image" Target="media/919cb8d063f0ec08cf7d60ad7e10118d5a178324.png"/><Relationship Id="rId9" Type="http://schemas.openxmlformats.org/officeDocument/2006/relationships/image" Target="media/5074b6b1654b5267473162bd87819e9ffe69f995.png"/><Relationship Id="rId10" Type="http://schemas.openxmlformats.org/officeDocument/2006/relationships/image" Target="media/e59640da63d5dfa3e534312da4a6aeb9fe457caa.png"/><Relationship Id="rId11" Type="http://schemas.openxmlformats.org/officeDocument/2006/relationships/image" Target="media/385a081a4b121376b5b74d8b0f7444c56a35ff6c.png"/><Relationship Id="rId12" Type="http://schemas.openxmlformats.org/officeDocument/2006/relationships/image" Target="media/da70c92e0db016078d56bb4c3bcb7522267ec68f.png"/><Relationship Id="rId13" Type="http://schemas.openxmlformats.org/officeDocument/2006/relationships/image" Target="media/034c3c8ff4f489e4352beb10def24ad2930de8bf.png"/><Relationship Id="rId14" Type="http://schemas.openxmlformats.org/officeDocument/2006/relationships/image" Target="media/4fd9cea9731ad30e80301222de6dbded47685038.png"/><Relationship Id="rId15" Type="http://schemas.openxmlformats.org/officeDocument/2006/relationships/image" Target="media/b3cfbc64cb746bd7989c7a7ec82a5d106bfd9513.png"/><Relationship Id="rId16" Type="http://schemas.openxmlformats.org/officeDocument/2006/relationships/image" Target="media/b560f6bd7e4b3270072976658deb68edaeae0c0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2026-07-06T12:59:34.491Z</dcterms:created>
  <dcterms:modified xsi:type="dcterms:W3CDTF">2026-07-06T12:59:34.497Z</dcterms:modified>
</cp:coreProperties>
</file>

<file path=docProps/custom.xml><?xml version="1.0" encoding="utf-8"?>
<Properties xmlns="http://schemas.openxmlformats.org/officeDocument/2006/custom-properties" xmlns:vt="http://schemas.openxmlformats.org/officeDocument/2006/docPropsVTypes"/>
</file>