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sz w:val="36"/>
          <w:szCs w:val="36"/>
        </w:rPr>
        <w:t xml:space="preserve">Web and Social Media Search and Analysis</w:t>
      </w:r>
    </w:p>
    <w:p>
      <w:pPr>
        <w:spacing w:after="600"/>
        <w:jc w:val="center"/>
      </w:pPr>
      <w:r>
        <w:rPr>
          <w:b/>
          <w:bCs/>
          <w:color w:val="444444"/>
          <w:sz w:val="30"/>
          <w:szCs w:val="30"/>
        </w:rPr>
        <w:t xml:space="preserve">Machine Translation Discourse on Bluesky</w:t>
      </w:r>
    </w:p>
    <w:p>
      <w:pPr>
        <w:spacing w:after="100"/>
        <w:jc w:val="center"/>
      </w:pPr>
      <w:r>
        <w:rPr>
          <w:sz w:val="24"/>
          <w:szCs w:val="24"/>
        </w:rPr>
        <w:t xml:space="preserve">Bachelor of Science in Artificial Intelligence</w:t>
      </w:r>
    </w:p>
    <w:p>
      <w:pPr>
        <w:spacing w:after="600"/>
        <w:jc w:val="center"/>
      </w:pPr>
      <w:r>
        <w:rPr>
          <w:sz w:val="24"/>
          <w:szCs w:val="24"/>
        </w:rPr>
        <w:t xml:space="preserve">Web and Social Media Search and Analysis — Prof. Marco Viviani</w:t>
      </w:r>
    </w:p>
    <w:p>
      <w:pPr>
        <w:spacing w:after="1200"/>
        <w:jc w:val="center"/>
      </w:pPr>
      <w:r>
        <w:rPr>
          <w:sz w:val="24"/>
          <w:szCs w:val="24"/>
        </w:rPr>
        <w:t xml:space="preserve">Authors: </w:t>
      </w:r>
      <w:r>
        <w:rPr>
          <w:sz w:val="24"/>
          <w:szCs w:val="24"/>
        </w:rPr>
        <w:t xml:space="preserve">Linda Stalidzane, Pelinsu Topaloglu</w:t>
      </w:r>
    </w:p>
    <w:p>
      <w:r>
        <w:br w:type="page"/>
      </w:r>
    </w:p>
    <w:p>
      <w:pPr>
        <w:pStyle w:val="Heading1"/>
        <w:spacing w:after="200" w:before="400"/>
      </w:pPr>
      <w:r>
        <w:t xml:space="preserve">1. Objective</w:t>
      </w:r>
    </w:p>
    <w:p>
      <w:pPr>
        <w:spacing w:after="150"/>
      </w:pPr>
      <w:r>
        <w:t xml:space="preserve">Machine translation (MT) tools such as DeepL and Google Translate, along with LLM-based translation, have become part of everyday language work — used by casual social media users, professional translators, and developers alike. This project studies how Bluesky, a decentralized social network, talks about machine translation: whether it is framed as a helpful tool, a threat to professional translators, or both, and whether this framing differs between people who work in translation/localization and the general public.</w:t>
      </w:r>
    </w:p>
    <w:p>
      <w:pPr>
        <w:spacing w:after="150"/>
      </w:pPr>
      <w:r>
        <w:t xml:space="preserve">Posts were collected around a fixed set of MT-related keywords and hashtags over a 12-month window, and analyzed along two complementary axes:</w:t>
      </w:r>
    </w:p>
    <w:p>
      <w:pPr>
        <w:pStyle w:val="ListParagraph"/>
        <w:numPr>
          <w:ilvl w:val="0"/>
          <w:numId w:val="1"/>
        </w:numPr>
        <w:spacing w:after="60"/>
      </w:pPr>
      <w:r>
        <w:t xml:space="preserve">Network Analysis — who talks to whom (centrality, community detection).</w:t>
      </w:r>
    </w:p>
    <w:p>
      <w:pPr>
        <w:pStyle w:val="ListParagraph"/>
        <w:numPr>
          <w:ilvl w:val="0"/>
          <w:numId w:val="1"/>
        </w:numPr>
        <w:spacing w:after="60"/>
      </w:pPr>
      <w:r>
        <w:t xml:space="preserve">Content Analysis — what is actually being said (sentiment, emotion, named entities).</w:t>
      </w:r>
    </w:p>
    <w:p>
      <w:pPr>
        <w:spacing w:after="150"/>
      </w:pPr>
      <w:r>
        <w:t xml:space="preserve">The three guiding research questions, used throughout both analyses, are:</w:t>
      </w:r>
    </w:p>
    <w:p>
      <w:pPr>
        <w:pStyle w:val="ListParagraph"/>
        <w:numPr>
          <w:ilvl w:val="0"/>
          <w:numId w:val="1"/>
        </w:numPr>
        <w:spacing w:after="60"/>
      </w:pPr>
      <w:r>
        <w:t xml:space="preserve">RQ1 — Sentiment &amp; framing: do people talk about MT as a tool, a threat, or both?</w:t>
      </w:r>
    </w:p>
    <w:p>
      <w:pPr>
        <w:pStyle w:val="ListParagraph"/>
        <w:numPr>
          <w:ilvl w:val="0"/>
          <w:numId w:val="1"/>
        </w:numPr>
        <w:spacing w:after="60"/>
      </w:pPr>
      <w:r>
        <w:t xml:space="preserve">RQ2 — Professional impact discourse: how do working translators discuss MT's effect on their careers, compared to the general public?</w:t>
      </w:r>
    </w:p>
    <w:p>
      <w:pPr>
        <w:pStyle w:val="ListParagraph"/>
        <w:numPr>
          <w:ilvl w:val="0"/>
          <w:numId w:val="1"/>
        </w:numPr>
        <w:spacing w:after="60"/>
      </w:pPr>
      <w:r>
        <w:t xml:space="preserve">RQ3 — Utility vs. displacement tension: do people acknowledge MT's utility while lamenting professional erosion?</w:t>
      </w:r>
    </w:p>
    <w:p>
      <w:pPr>
        <w:pStyle w:val="ListParagraph"/>
        <w:numPr>
          <w:ilvl w:val="0"/>
          <w:numId w:val="1"/>
        </w:numPr>
        <w:spacing w:after="60"/>
      </w:pPr>
      <w:r>
        <w:t xml:space="preserve">RQ4 — Network structure: do professional translators and general users form distinct communities in the follow/reply networks, and which accounts bridge them?</w:t>
      </w:r>
    </w:p>
    <w:p>
      <w:pPr>
        <w:pStyle w:val="Heading1"/>
        <w:spacing w:after="200" w:before="400"/>
      </w:pPr>
      <w:r>
        <w:t xml:space="preserve">2. Data</w:t>
      </w:r>
    </w:p>
    <w:p>
      <w:pPr>
        <w:pStyle w:val="Heading2"/>
        <w:spacing w:after="150" w:before="300"/>
      </w:pPr>
      <w:r>
        <w:t xml:space="preserve">2.1 Collection strategy</w:t>
      </w:r>
    </w:p>
    <w:p>
      <w:pPr>
        <w:spacing w:after="150"/>
      </w:pPr>
      <w:r>
        <w:t xml:space="preserve">Data was collected from Bluesky via the official API (Python atproto client), following a four-step pipeline:</w:t>
      </w:r>
    </w:p>
    <w:p>
      <w:pPr>
        <w:pStyle w:val="ListParagraph"/>
        <w:numPr>
          <w:ilvl w:val="0"/>
          <w:numId w:val="1"/>
        </w:numPr>
        <w:spacing w:after="60"/>
      </w:pPr>
      <w:r>
        <w:t xml:space="preserve">Seed search: a fixed list of text queries, compound queries, and hashtags (below) was searched over the last 12 months, sorted by recency.</w:t>
      </w:r>
    </w:p>
    <w:p>
      <w:pPr>
        <w:pStyle w:val="ListParagraph"/>
        <w:numPr>
          <w:ilvl w:val="0"/>
          <w:numId w:val="1"/>
        </w:numPr>
        <w:spacing w:after="60"/>
      </w:pPr>
      <w:r>
        <w:t xml:space="preserve">Thread crawl: each seed post's full reply thread was crawled (one get_post_thread call per seed, depth 10, walked in memory). Reply edges are not collected at crawl time — every post already stores its parent URI in reply_to, so edges are derived from the posts table itself during preprocessing, which also captures seed posts that are themselves replies.</w:t>
      </w:r>
    </w:p>
    <w:p>
      <w:pPr>
        <w:pStyle w:val="ListParagraph"/>
        <w:numPr>
          <w:ilvl w:val="0"/>
          <w:numId w:val="1"/>
        </w:numPr>
        <w:spacing w:after="60"/>
      </w:pPr>
      <w:r>
        <w:t xml:space="preserve">Author/follower crawl: for authors with at least 2 collected posts, up to 100 of their followers were fetched to build the follow network; profiles (for bio-based user-type labeling) were fetched for essentially all post authors, not just the top ones, so labeling coverage isn't biased toward frequent posters.</w:t>
      </w:r>
    </w:p>
    <w:p>
      <w:pPr>
        <w:pStyle w:val="ListParagraph"/>
        <w:numPr>
          <w:ilvl w:val="0"/>
          <w:numId w:val="1"/>
        </w:numPr>
        <w:spacing w:after="60"/>
      </w:pPr>
      <w:r>
        <w:t xml:space="preserve">Deduplication: posts and edges were deduplicated across all sources into the final dataset.</w:t>
      </w:r>
    </w:p>
    <w:p>
      <w:pPr>
        <w:spacing w:after="150"/>
      </w:pPr>
      <w:r>
        <w:t xml:space="preserve">Seed queries used:</w:t>
      </w:r>
    </w:p>
    <w:p>
      <w:pPr>
        <w:pStyle w:val="ListParagraph"/>
        <w:numPr>
          <w:ilvl w:val="0"/>
          <w:numId w:val="1"/>
        </w:numPr>
        <w:spacing w:after="60"/>
      </w:pPr>
      <w:r>
        <w:t xml:space="preserve">Text queries: "machine translation", "AI translation", "post-editing", "human translation", "translation quality", "translator jobs", "translation industry", "DeepL", "MTPE", "neural machine translation"</w:t>
      </w:r>
    </w:p>
    <w:p>
      <w:pPr>
        <w:pStyle w:val="ListParagraph"/>
        <w:numPr>
          <w:ilvl w:val="0"/>
          <w:numId w:val="1"/>
        </w:numPr>
        <w:spacing w:after="60"/>
      </w:pPr>
      <w:r>
        <w:t xml:space="preserve">Compound queries: "post-editing" AI, "AI translation" threat, scraped translation, "machine translation" slop, "human translator" AI, "translation industry" AI</w:t>
      </w:r>
    </w:p>
    <w:p>
      <w:pPr>
        <w:pStyle w:val="ListParagraph"/>
        <w:numPr>
          <w:ilvl w:val="0"/>
          <w:numId w:val="1"/>
        </w:numPr>
        <w:spacing w:after="60"/>
      </w:pPr>
      <w:r>
        <w:t xml:space="preserve">Hashtags: #machinetranslation, #MTPE, #localization, #l10n, #SlowTranslation, #HumanTranslation, #PauseAI, #NoAI</w:t>
      </w:r>
    </w:p>
    <w:p>
      <w:pPr>
        <w:spacing w:after="150"/>
      </w:pPr>
      <w:r>
        <w:t xml:space="preserve">The API client includes retry/backoff handling for rate limits (HTTP 429), and extracts hashtags, mentions, and links from each post's rich-text facets. Preprocessing is idempotent — every output (including graph.csv) is rebuilt fresh from the raw inputs each run, so re-running any step cannot corrupt the data.</w:t>
      </w:r>
    </w:p>
    <w:p>
      <w:pPr>
        <w:pStyle w:val="Heading2"/>
        <w:spacing w:after="150" w:before="300"/>
      </w:pPr>
      <w:r>
        <w:t xml:space="preserve">2.2 Preprocessing and labeling</w:t>
      </w:r>
    </w:p>
    <w:p>
      <w:pPr>
        <w:spacing w:after="150"/>
      </w:pPr>
      <w:r>
        <w:t xml:space="preserve">Cleaning: post text has URLs stripped and whitespace normalized; posts with fewer than 10 characters of cleaned text are dropped; placeholder accounts (Bluesky's handle.invalid for deleted/unresolvable users) are removed.</w:t>
      </w:r>
    </w:p>
    <w:p>
      <w:pPr>
        <w:spacing w:after="150"/>
      </w:pPr>
      <w:r>
        <w:t xml:space="preserve">Topical relevance filtering: because several seed queries (e.g. #localization, #PauseAI, #NoAI) can return off-topic posts, a keyword filter is applied requiring at least one of a fixed set of MT-related terms (translat*, interpret*, locali*e*, deepl, mtpe, post-edit, language model, nlp, multilingual, linguist, terminology, glossary) to appear in the cleaned text. A second, targeted filter removes a specific keyword collision: "MTPE" also abbreviates Peru's Ministry of Labor (Ministerio de Trabajo y Promoción del Empleo), so posts matching MTPE together with Spanish employment/ministry terms are dropped as noise rather than machine-translation discourse.</w:t>
      </w:r>
    </w:p>
    <w:p>
      <w:pPr>
        <w:spacing w:after="150"/>
      </w:pPr>
      <w:r>
        <w:t xml:space="preserve">Author type labeling: each author is labeled general / professional / tech from their Bluesky bio, using a keyword match — professional if the bio contains translator/interpreter/localizer/linguist/terminology/lexicographer/subtitler/transcriber-related terms, tech if it contains developer/engineer/NLP/ML/researcher-related terms (checked only if no professional terms matched), general if a bio was fetched but matches neither. Authors whose profile was fetched but had no bio text at all are labeled unknown rather than general, so that "no information" isn't silently conflated with "an ordinary user" (see Results, Section 4.2 for how this shows up).</w:t>
      </w:r>
    </w:p>
    <w:p>
      <w:pPr>
        <w:shd w:fill="FFF2F2" w:val="clear"/>
        <w:spacing w:after="300" w:before="100"/>
      </w:pPr>
      <w:r>
        <w:rPr>
          <w:i/>
          <w:iCs/>
          <w:color w:val="B00000"/>
        </w:rPr>
        <w:t xml:space="preserve">Limitation to note in the report: author-type labeling is a keyword-over-bio heuristic, not a validated classifier — a professional translator whose bio doesn't mention their profession would be labeled "general" or "unknown" rather than "professional". No manual validation of label accuracy was performed.</w:t>
      </w:r>
    </w:p>
    <w:p>
      <w:pPr>
        <w:pStyle w:val="Heading2"/>
        <w:spacing w:after="150" w:before="300"/>
      </w:pPr>
      <w:r>
        <w:t xml:space="preserve">2.3 Final dataset</w:t>
      </w:r>
    </w:p>
    <w:p>
      <w:pPr>
        <w:spacing w:after="150"/>
      </w:pPr>
      <w:r>
        <w:t xml:space="preserve">After collection, cleaning, and topical filtering, the dataset used for analysis is: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c>
          <w:tcPr>
            <w:tcW w:type="dxa" w:w="3200"/>
            <w:shd w:fill="2A2A4A" w:val="clear"/>
          </w:tcPr>
          <w:p>
            <w:r>
              <w:rPr>
                <w:b/>
                <w:bCs/>
                <w:color w:val="FFFFFF"/>
              </w:rPr>
              <w:t xml:space="preserve">Artifact</w:t>
            </w:r>
          </w:p>
        </w:tc>
        <w:tc>
          <w:tcPr>
            <w:tcW w:type="dxa" w:w="1400"/>
            <w:shd w:fill="2A2A4A" w:val="clear"/>
          </w:tcPr>
          <w:p>
            <w:r>
              <w:rPr>
                <w:b/>
                <w:bCs/>
                <w:color w:val="FFFFFF"/>
              </w:rPr>
              <w:t xml:space="preserve">Rows</w:t>
            </w:r>
          </w:p>
        </w:tc>
        <w:tc>
          <w:tcPr>
            <w:tcW w:type="dxa" w:w="5000"/>
            <w:shd w:fill="2A2A4A" w:val="clear"/>
          </w:tcPr>
          <w:p>
            <w:r>
              <w:rPr>
                <w:b/>
                <w:bCs/>
                <w:color w:val="FFFFFF"/>
              </w:rPr>
              <w:t xml:space="preserve">Description</w:t>
            </w:r>
          </w:p>
        </w:tc>
      </w:tr>
      <w:tr>
        <w:tc>
          <w:tcPr>
            <w:tcW w:type="dxa" w:w="3200"/>
          </w:tcPr>
          <w:p>
            <w:r>
              <w:rPr>
                <w:b w:val="false"/>
                <w:bCs w:val="false"/>
                <w:color w:val="000000"/>
              </w:rPr>
              <w:t xml:space="preserve">posts_clean.csv</w:t>
            </w:r>
          </w:p>
        </w:tc>
        <w:tc>
          <w:tcPr>
            <w:tcW w:type="dxa" w:w="1400"/>
          </w:tcPr>
          <w:p>
            <w:r>
              <w:rPr>
                <w:b w:val="false"/>
                <w:bCs w:val="false"/>
                <w:color w:val="000000"/>
              </w:rPr>
              <w:t xml:space="preserve">3,864</w:t>
            </w:r>
          </w:p>
        </w:tc>
        <w:tc>
          <w:tcPr>
            <w:tcW w:type="dxa" w:w="5000"/>
          </w:tcPr>
          <w:p>
            <w:r>
              <w:rPr>
                <w:b w:val="false"/>
                <w:bCs w:val="false"/>
                <w:color w:val="000000"/>
              </w:rPr>
              <w:t xml:space="preserve">Final cleaned, topically-filtered posts (Jul 2025 – Jul 2026)</w:t>
            </w:r>
          </w:p>
        </w:tc>
      </w:tr>
      <w:tr>
        <w:tc>
          <w:tcPr>
            <w:tcW w:type="dxa" w:w="3200"/>
          </w:tcPr>
          <w:p>
            <w:r>
              <w:rPr>
                <w:b w:val="false"/>
                <w:bCs w:val="false"/>
                <w:color w:val="000000"/>
              </w:rPr>
              <w:t xml:space="preserve">author_profiles.csv</w:t>
            </w:r>
          </w:p>
        </w:tc>
        <w:tc>
          <w:tcPr>
            <w:tcW w:type="dxa" w:w="1400"/>
          </w:tcPr>
          <w:p>
            <w:r>
              <w:rPr>
                <w:b w:val="false"/>
                <w:bCs w:val="false"/>
                <w:color w:val="000000"/>
              </w:rPr>
              <w:t xml:space="preserve">2,303</w:t>
            </w:r>
          </w:p>
        </w:tc>
        <w:tc>
          <w:tcPr>
            <w:tcW w:type="dxa" w:w="5000"/>
          </w:tcPr>
          <w:p>
            <w:r>
              <w:rPr>
                <w:b w:val="false"/>
                <w:bCs w:val="false"/>
                <w:color w:val="000000"/>
              </w:rPr>
              <w:t xml:space="preserve">Author profiles (bio, followers, following, post count)</w:t>
            </w:r>
          </w:p>
        </w:tc>
      </w:tr>
      <w:tr>
        <w:tc>
          <w:tcPr>
            <w:tcW w:type="dxa" w:w="3200"/>
          </w:tcPr>
          <w:p>
            <w:r>
              <w:rPr>
                <w:b w:val="false"/>
                <w:bCs w:val="false"/>
                <w:color w:val="000000"/>
              </w:rPr>
              <w:t xml:space="preserve">follow_edges.csv</w:t>
            </w:r>
          </w:p>
        </w:tc>
        <w:tc>
          <w:tcPr>
            <w:tcW w:type="dxa" w:w="1400"/>
          </w:tcPr>
          <w:p>
            <w:r>
              <w:rPr>
                <w:b w:val="false"/>
                <w:bCs w:val="false"/>
                <w:color w:val="000000"/>
              </w:rPr>
              <w:t xml:space="preserve">127,890</w:t>
            </w:r>
          </w:p>
        </w:tc>
        <w:tc>
          <w:tcPr>
            <w:tcW w:type="dxa" w:w="5000"/>
          </w:tcPr>
          <w:p>
            <w:r>
              <w:rPr>
                <w:b w:val="false"/>
                <w:bCs w:val="false"/>
                <w:color w:val="000000"/>
              </w:rPr>
              <w:t xml:space="preserve">Follow relationships (before invalid-handle cleanup)</w:t>
            </w:r>
          </w:p>
        </w:tc>
      </w:tr>
      <w:tr>
        <w:tc>
          <w:tcPr>
            <w:tcW w:type="dxa" w:w="3200"/>
          </w:tcPr>
          <w:p>
            <w:r>
              <w:rPr>
                <w:b w:val="false"/>
                <w:bCs w:val="false"/>
                <w:color w:val="000000"/>
              </w:rPr>
              <w:t xml:space="preserve">reply_edges.csv</w:t>
            </w:r>
          </w:p>
        </w:tc>
        <w:tc>
          <w:tcPr>
            <w:tcW w:type="dxa" w:w="1400"/>
          </w:tcPr>
          <w:p>
            <w:r>
              <w:rPr>
                <w:b w:val="false"/>
                <w:bCs w:val="false"/>
                <w:color w:val="000000"/>
              </w:rPr>
              <w:t xml:space="preserve">7,116</w:t>
            </w:r>
          </w:p>
        </w:tc>
        <w:tc>
          <w:tcPr>
            <w:tcW w:type="dxa" w:w="5000"/>
          </w:tcPr>
          <w:p>
            <w:r>
              <w:rPr>
                <w:b w:val="false"/>
                <w:bCs w:val="false"/>
                <w:color w:val="000000"/>
              </w:rPr>
              <w:t xml:space="preserve">Reply relationships derived from posts_raw (before target resolution)</w:t>
            </w:r>
          </w:p>
        </w:tc>
      </w:tr>
      <w:tr>
        <w:tc>
          <w:tcPr>
            <w:tcW w:type="dxa" w:w="3200"/>
          </w:tcPr>
          <w:p>
            <w:r>
              <w:rPr>
                <w:b w:val="false"/>
                <w:bCs w:val="false"/>
                <w:color w:val="000000"/>
              </w:rPr>
              <w:t xml:space="preserve">graph.csv</w:t>
            </w:r>
          </w:p>
        </w:tc>
        <w:tc>
          <w:tcPr>
            <w:tcW w:type="dxa" w:w="1400"/>
          </w:tcPr>
          <w:p>
            <w:r>
              <w:rPr>
                <w:b w:val="false"/>
                <w:bCs w:val="false"/>
                <w:color w:val="000000"/>
              </w:rPr>
              <w:t xml:space="preserve">133,428</w:t>
            </w:r>
          </w:p>
        </w:tc>
        <w:tc>
          <w:tcPr>
            <w:tcW w:type="dxa" w:w="5000"/>
          </w:tcPr>
          <w:p>
            <w:r>
              <w:rPr>
                <w:b w:val="false"/>
                <w:bCs w:val="false"/>
                <w:color w:val="000000"/>
              </w:rPr>
              <w:t xml:space="preserve">Combined network: 127,597 follow edges + 5,831 resolved reply edges</w:t>
            </w:r>
          </w:p>
        </w:tc>
      </w:tr>
      <w:tr>
        <w:tc>
          <w:tcPr>
            <w:tcW w:type="dxa" w:w="3200"/>
          </w:tcPr>
          <w:p>
            <w:r>
              <w:rPr>
                <w:b w:val="false"/>
                <w:bCs w:val="false"/>
                <w:color w:val="000000"/>
              </w:rPr>
              <w:t xml:space="preserve">seeds.csv</w:t>
            </w:r>
          </w:p>
        </w:tc>
        <w:tc>
          <w:tcPr>
            <w:tcW w:type="dxa" w:w="1400"/>
          </w:tcPr>
          <w:p>
            <w:r>
              <w:rPr>
                <w:b w:val="false"/>
                <w:bCs w:val="false"/>
                <w:color w:val="000000"/>
              </w:rPr>
              <w:t xml:space="preserve">3,751</w:t>
            </w:r>
          </w:p>
        </w:tc>
        <w:tc>
          <w:tcPr>
            <w:tcW w:type="dxa" w:w="5000"/>
          </w:tcPr>
          <w:p>
            <w:r>
              <w:rPr>
                <w:b w:val="false"/>
                <w:bCs w:val="false"/>
                <w:color w:val="000000"/>
              </w:rPr>
              <w:t xml:space="preserve">Seed posts returned directly by the search queries</w:t>
            </w:r>
          </w:p>
        </w:tc>
      </w:tr>
      <w:tr>
        <w:tc>
          <w:tcPr>
            <w:tcW w:type="dxa" w:w="3200"/>
          </w:tcPr>
          <w:p>
            <w:r>
              <w:rPr>
                <w:b w:val="false"/>
                <w:bCs w:val="false"/>
                <w:color w:val="000000"/>
              </w:rPr>
              <w:t xml:space="preserve">posts_raw.csv</w:t>
            </w:r>
          </w:p>
        </w:tc>
        <w:tc>
          <w:tcPr>
            <w:tcW w:type="dxa" w:w="1400"/>
          </w:tcPr>
          <w:p>
            <w:r>
              <w:rPr>
                <w:b w:val="false"/>
                <w:bCs w:val="false"/>
                <w:color w:val="000000"/>
              </w:rPr>
              <w:t xml:space="preserve">9,349</w:t>
            </w:r>
          </w:p>
        </w:tc>
        <w:tc>
          <w:tcPr>
            <w:tcW w:type="dxa" w:w="5000"/>
          </w:tcPr>
          <w:p>
            <w:r>
              <w:rPr>
                <w:b w:val="false"/>
                <w:bCs w:val="false"/>
                <w:color w:val="000000"/>
              </w:rPr>
              <w:t xml:space="preserve">All posts before topical filtering (seeds + thread crawl)</w:t>
            </w:r>
          </w:p>
        </w:tc>
      </w:tr>
    </w:tbl>
    <w:p>
      <w:pPr>
        <w:spacing w:after="200"/>
      </w:pPr>
    </w:p>
    <w:p>
      <w:pPr>
        <w:spacing w:after="150"/>
      </w:pPr>
      <w:r>
        <w:t xml:space="preserve">Author-type breakdown of the 3,864 posts: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tblGrid>
      <w:tr>
        <w:tc>
          <w:tcPr>
            <w:tcW w:type="dxa" w:w="3200"/>
            <w:shd w:fill="2A2A4A" w:val="clear"/>
          </w:tcPr>
          <w:p>
            <w:r>
              <w:rPr>
                <w:b/>
                <w:bCs/>
                <w:color w:val="FFFFFF"/>
              </w:rPr>
              <w:t xml:space="preserve">User type</w:t>
            </w:r>
          </w:p>
        </w:tc>
        <w:tc>
          <w:tcPr>
            <w:tcW w:type="dxa" w:w="2000"/>
            <w:shd w:fill="2A2A4A" w:val="clear"/>
          </w:tcPr>
          <w:p>
            <w:r>
              <w:rPr>
                <w:b/>
                <w:bCs/>
                <w:color w:val="FFFFFF"/>
              </w:rPr>
              <w:t xml:space="preserve">Posts</w:t>
            </w:r>
          </w:p>
        </w:tc>
        <w:tc>
          <w:tcPr>
            <w:tcW w:type="dxa" w:w="2000"/>
            <w:shd w:fill="2A2A4A" w:val="clear"/>
          </w:tcPr>
          <w:p>
            <w:r>
              <w:rPr>
                <w:b/>
                <w:bCs/>
                <w:color w:val="FFFFFF"/>
              </w:rPr>
              <w:t xml:space="preserve">Share</w:t>
            </w:r>
          </w:p>
        </w:tc>
      </w:tr>
      <w:tr>
        <w:tc>
          <w:tcPr>
            <w:tcW w:type="dxa" w:w="3200"/>
          </w:tcPr>
          <w:p>
            <w:r>
              <w:rPr>
                <w:b w:val="false"/>
                <w:bCs w:val="false"/>
                <w:color w:val="000000"/>
              </w:rPr>
              <w:t xml:space="preserve">general</w:t>
            </w:r>
          </w:p>
        </w:tc>
        <w:tc>
          <w:tcPr>
            <w:tcW w:type="dxa" w:w="2000"/>
          </w:tcPr>
          <w:p>
            <w:r>
              <w:rPr>
                <w:b w:val="false"/>
                <w:bCs w:val="false"/>
                <w:color w:val="000000"/>
              </w:rPr>
              <w:t xml:space="preserve">2,843</w:t>
            </w:r>
          </w:p>
        </w:tc>
        <w:tc>
          <w:tcPr>
            <w:tcW w:type="dxa" w:w="2000"/>
          </w:tcPr>
          <w:p>
            <w:r>
              <w:rPr>
                <w:b w:val="false"/>
                <w:bCs w:val="false"/>
                <w:color w:val="000000"/>
              </w:rPr>
              <w:t xml:space="preserve">73.6%</w:t>
            </w:r>
          </w:p>
        </w:tc>
      </w:tr>
      <w:tr>
        <w:tc>
          <w:tcPr>
            <w:tcW w:type="dxa" w:w="3200"/>
          </w:tcPr>
          <w:p>
            <w:r>
              <w:rPr>
                <w:b w:val="false"/>
                <w:bCs w:val="false"/>
                <w:color w:val="000000"/>
              </w:rPr>
              <w:t xml:space="preserve">professional</w:t>
            </w:r>
          </w:p>
        </w:tc>
        <w:tc>
          <w:tcPr>
            <w:tcW w:type="dxa" w:w="2000"/>
          </w:tcPr>
          <w:p>
            <w:r>
              <w:rPr>
                <w:b w:val="false"/>
                <w:bCs w:val="false"/>
                <w:color w:val="000000"/>
              </w:rPr>
              <w:t xml:space="preserve">610</w:t>
            </w:r>
          </w:p>
        </w:tc>
        <w:tc>
          <w:tcPr>
            <w:tcW w:type="dxa" w:w="2000"/>
          </w:tcPr>
          <w:p>
            <w:r>
              <w:rPr>
                <w:b w:val="false"/>
                <w:bCs w:val="false"/>
                <w:color w:val="000000"/>
              </w:rPr>
              <w:t xml:space="preserve">15.8%</w:t>
            </w:r>
          </w:p>
        </w:tc>
      </w:tr>
      <w:tr>
        <w:tc>
          <w:tcPr>
            <w:tcW w:type="dxa" w:w="3200"/>
          </w:tcPr>
          <w:p>
            <w:r>
              <w:rPr>
                <w:b w:val="false"/>
                <w:bCs w:val="false"/>
                <w:color w:val="000000"/>
              </w:rPr>
              <w:t xml:space="preserve">unknown</w:t>
            </w:r>
          </w:p>
        </w:tc>
        <w:tc>
          <w:tcPr>
            <w:tcW w:type="dxa" w:w="2000"/>
          </w:tcPr>
          <w:p>
            <w:r>
              <w:rPr>
                <w:b w:val="false"/>
                <w:bCs w:val="false"/>
                <w:color w:val="000000"/>
              </w:rPr>
              <w:t xml:space="preserve">218</w:t>
            </w:r>
          </w:p>
        </w:tc>
        <w:tc>
          <w:tcPr>
            <w:tcW w:type="dxa" w:w="2000"/>
          </w:tcPr>
          <w:p>
            <w:r>
              <w:rPr>
                <w:b w:val="false"/>
                <w:bCs w:val="false"/>
                <w:color w:val="000000"/>
              </w:rPr>
              <w:t xml:space="preserve">5.6%</w:t>
            </w:r>
          </w:p>
        </w:tc>
      </w:tr>
      <w:tr>
        <w:tc>
          <w:tcPr>
            <w:tcW w:type="dxa" w:w="3200"/>
          </w:tcPr>
          <w:p>
            <w:r>
              <w:rPr>
                <w:b w:val="false"/>
                <w:bCs w:val="false"/>
                <w:color w:val="000000"/>
              </w:rPr>
              <w:t xml:space="preserve">tech</w:t>
            </w:r>
          </w:p>
        </w:tc>
        <w:tc>
          <w:tcPr>
            <w:tcW w:type="dxa" w:w="2000"/>
          </w:tcPr>
          <w:p>
            <w:r>
              <w:rPr>
                <w:b w:val="false"/>
                <w:bCs w:val="false"/>
                <w:color w:val="000000"/>
              </w:rPr>
              <w:t xml:space="preserve">193</w:t>
            </w:r>
          </w:p>
        </w:tc>
        <w:tc>
          <w:tcPr>
            <w:tcW w:type="dxa" w:w="2000"/>
          </w:tcPr>
          <w:p>
            <w:r>
              <w:rPr>
                <w:b w:val="false"/>
                <w:bCs w:val="false"/>
                <w:color w:val="000000"/>
              </w:rPr>
              <w:t xml:space="preserve">5.0%</w:t>
            </w:r>
          </w:p>
        </w:tc>
      </w:tr>
    </w:tbl>
    <w:p>
      <w:pPr>
        <w:spacing w:after="200"/>
      </w:pPr>
    </w:p>
    <w:p>
      <w:pPr>
        <w:spacing w:after="150"/>
      </w:pPr>
      <w:r>
        <w:t xml:space="preserve">2,261 posts (58.5%) are replies and 1,603 (41.5%) are top-level posts. Note the strong class imbalance between user types — all cross-group comparisons in this report use rates/proportions rather than raw counts for this reason. All 218 unknown-labeled posts come from authors whose profile was successfully fetched but had an empty/null bio — not from missing profiles (profile coverage was 100% of post authors in this run).</w:t>
      </w:r>
    </w:p>
    <w:p>
      <w:pPr>
        <w:pStyle w:val="Heading1"/>
        <w:spacing w:after="200" w:before="400"/>
      </w:pPr>
      <w:r>
        <w:t xml:space="preserve">3. Models</w:t>
      </w:r>
    </w:p>
    <w:p>
      <w:pPr>
        <w:pStyle w:val="Heading2"/>
        <w:spacing w:after="150" w:before="300"/>
      </w:pPr>
      <w:r>
        <w:t xml:space="preserve">3.1 Network Analysis Models</w:t>
      </w:r>
    </w:p>
    <w:p>
      <w:pPr>
        <w:shd w:fill="FFF2F2" w:val="clear"/>
        <w:spacing w:after="300" w:before="100"/>
      </w:pPr>
      <w:r>
        <w:rPr>
          <w:i/>
          <w:iCs/>
          <w:color w:val="B00000"/>
        </w:rPr>
        <w:t xml:space="preserve">[TO BE COMPLETED — network analysis (degree/betweenness/closeness centrality; Louvain, Greedy Modularity, FluidC and Girvan-Newman community detection) was carried out by [groupmate] in analysis.ipynb. Not included in this draft since it is not this author's work — see analysis.ipynb directly for the implementation.]</w:t>
      </w:r>
    </w:p>
    <w:p>
      <w:pPr>
        <w:pStyle w:val="Heading2"/>
        <w:spacing w:after="150" w:before="300"/>
      </w:pPr>
      <w:r>
        <w:t xml:space="preserve">3.2 Content Analysis Models</w:t>
      </w:r>
    </w:p>
    <w:p>
      <w:pPr>
        <w:spacing w:after="150"/>
      </w:pPr>
      <w:r>
        <w:t xml:space="preserve">For both sentiment and emotion, two methodologically different tools were deliberately used and cross-checked against each other, rather than trusting a single method — this surfaced real, reportable limitations in the lexicon-based tools (see Results).</w:t>
      </w:r>
    </w:p>
    <w:p>
      <w:pPr>
        <w:pStyle w:val="Heading3"/>
        <w:spacing w:after="100" w:before="200"/>
      </w:pPr>
      <w:r>
        <w:t xml:space="preserve">Sentiment analysis</w:t>
      </w:r>
    </w:p>
    <w:p>
      <w:pPr>
        <w:pStyle w:val="ListParagraph"/>
        <w:numPr>
          <w:ilvl w:val="0"/>
          <w:numId w:val="1"/>
        </w:numPr>
        <w:spacing w:after="60"/>
      </w:pPr>
      <w:r>
        <w:t xml:space="preserve">VADER (Valence Aware Dictionary and sEntiment Reasoner) — lexicon- and rule-based, tuned for social media text (negation, punctuation emphasis, intensifiers). Produces a compound score in [-1, 1], bucketed into positive (≥0.05) / neutral / negative (≤-0.05).</w:t>
      </w:r>
    </w:p>
    <w:p>
      <w:pPr>
        <w:pStyle w:val="ListParagraph"/>
        <w:numPr>
          <w:ilvl w:val="0"/>
          <w:numId w:val="1"/>
        </w:numPr>
        <w:spacing w:after="60"/>
      </w:pPr>
      <w:r>
        <w:t xml:space="preserve">cardiffnlp/twitter-roberta-base-sentiment — a RoBERTa transformer fine-tuned on tweet sentiment (3-way: negative/neutral/positive), which reads full sentences instead of scoring words independently.</w:t>
      </w:r>
    </w:p>
    <w:p>
      <w:pPr>
        <w:pStyle w:val="Heading3"/>
        <w:spacing w:after="100" w:before="200"/>
      </w:pPr>
      <w:r>
        <w:t xml:space="preserve">Emotion analysis</w:t>
      </w:r>
    </w:p>
    <w:p>
      <w:pPr>
        <w:pStyle w:val="ListParagraph"/>
        <w:numPr>
          <w:ilvl w:val="0"/>
          <w:numId w:val="1"/>
        </w:numPr>
        <w:spacing w:after="60"/>
      </w:pPr>
      <w:r>
        <w:t xml:space="preserve">NRCLex — dictionary-based, using the NRC Word-Emotion Association Lexicon (Plutchik's 8 basic emotions: fear, anger, anticipation, trust, surprise, sadness, disgust, joy). Each post's dominant emotion is the argmax of its per-word affect frequencies.</w:t>
      </w:r>
    </w:p>
    <w:p>
      <w:pPr>
        <w:pStyle w:val="ListParagraph"/>
        <w:numPr>
          <w:ilvl w:val="0"/>
          <w:numId w:val="1"/>
        </w:numPr>
        <w:spacing w:after="60"/>
      </w:pPr>
      <w:r>
        <w:t xml:space="preserve">j-hartmann/emotion-english-distilroberta-base — a DistilRoBERTa transformer fine-tuned for emotion classification (anger, disgust, fear, joy, neutral, sadness, surprise), sharing 6 of its 7 labels with NRCLex.</w:t>
      </w:r>
    </w:p>
    <w:p>
      <w:pPr>
        <w:spacing w:after="150"/>
      </w:pPr>
      <w:r>
        <w:t xml:space="preserve">Methodological note: comparing the two emotion tools by restricting both to only the shared 6 labels (i.e. filtering out posts where NRCLex's dominant emotion is trust or anticipation) would introduce selection bias, since trust/anticipation are NRCLex's single most common calls. The comparison in this report instead conditions only on the transformer's output, then checks what NRCLex independently says about those same posts — this avoids manufacturing artificial agreement.</w:t>
      </w:r>
    </w:p>
    <w:p>
      <w:pPr>
        <w:pStyle w:val="Heading3"/>
        <w:spacing w:after="100" w:before="200"/>
      </w:pPr>
      <w:r>
        <w:t xml:space="preserve">Named entity recognition</w:t>
      </w:r>
    </w:p>
    <w:p>
      <w:pPr>
        <w:pStyle w:val="ListParagraph"/>
        <w:numPr>
          <w:ilvl w:val="0"/>
          <w:numId w:val="1"/>
        </w:numPr>
        <w:spacing w:after="60"/>
      </w:pPr>
      <w:r>
        <w:t xml:space="preserve">spaCy (en_core_web_sm) — pretrained English NER pipeline, used to extract ORG, PRODUCT, PERSON, and GPE entities from post text.</w:t>
      </w:r>
    </w:p>
    <w:p>
      <w:pPr>
        <w:pStyle w:val="ListParagraph"/>
        <w:numPr>
          <w:ilvl w:val="0"/>
          <w:numId w:val="1"/>
        </w:numPr>
        <w:spacing w:after="60"/>
      </w:pPr>
      <w:r>
        <w:t xml:space="preserve">A curated list of known MT tools/companies (DeepL, Google Translate, Google, Amazon, Microsoft, YouTube, Mozilla Localization, ChatGPT, OpenAI, GPT, Meta, Claude) was additionally cross-referenced against the raw NER output, since the generic model mis-tags several domain acronyms (see Results, Limitations).</w:t>
      </w:r>
    </w:p>
    <w:p>
      <w:pPr>
        <w:pStyle w:val="Heading1"/>
        <w:spacing w:after="200" w:before="400"/>
      </w:pPr>
      <w:r>
        <w:t xml:space="preserve">4. Results</w:t>
      </w:r>
    </w:p>
    <w:p>
      <w:pPr>
        <w:pStyle w:val="Heading2"/>
        <w:spacing w:after="150" w:before="300"/>
      </w:pPr>
      <w:r>
        <w:t xml:space="preserve">4.1 Network Analysis Results</w:t>
      </w:r>
    </w:p>
    <w:p>
      <w:pPr>
        <w:shd w:fill="FFF2F2" w:val="clear"/>
        <w:spacing w:after="300" w:before="100"/>
      </w:pPr>
      <w:r>
        <w:rPr>
          <w:i/>
          <w:iCs/>
          <w:color w:val="B00000"/>
        </w:rPr>
        <w:t xml:space="preserve">[TO BE COMPLETED — centrality rankings, community detection comparison, and network visualizations from analysis.ipynb, by [groupmate].]</w:t>
      </w:r>
    </w:p>
    <w:p>
      <w:pPr>
        <w:pStyle w:val="Heading2"/>
        <w:spacing w:after="150" w:before="300"/>
      </w:pPr>
      <w:r>
        <w:t xml:space="preserve">4.2 Content Analysis Results</w:t>
      </w:r>
    </w:p>
    <w:p>
      <w:pPr>
        <w:pStyle w:val="Heading3"/>
        <w:spacing w:after="100" w:before="200"/>
      </w:pPr>
      <w:r>
        <w:t xml:space="preserve">4.2.1 Sentiment Analysis</w:t>
      </w:r>
    </w:p>
    <w:p>
      <w:pPr>
        <w:spacing w:after="150"/>
      </w:pPr>
      <w:r>
        <w:t xml:space="preserve">Overall, VADER classifies the discourse as 51.5% positive, 20.8% neutral, 27.7% negative:</w:t>
      </w:r>
    </w:p>
    <w:p>
      <w:pPr>
        <w:spacing w:after="100" w:before="200"/>
        <w:jc w:val="center"/>
      </w:pPr>
      <w:r>
        <w:drawing>
          <wp:inline distT="0" distB="0" distL="0" distR="0">
            <wp:extent cx="3619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609975"/>
                    </a:xfrm>
                    <a:prstGeom prst="rect">
                      <a:avLst/>
                    </a:prstGeom>
                  </pic:spPr>
                </pic:pic>
              </a:graphicData>
            </a:graphic>
          </wp:inline>
        </w:drawing>
      </w:r>
    </w:p>
    <w:p>
      <w:pPr>
        <w:spacing w:after="300"/>
        <w:jc w:val="center"/>
      </w:pPr>
      <w:r>
        <w:rPr>
          <w:i/>
          <w:iCs/>
          <w:color w:val="555555"/>
          <w:sz w:val="20"/>
          <w:szCs w:val="20"/>
        </w:rPr>
        <w:t xml:space="preserve">Figure 1 — Overall VADER sentiment distribution (n = 3,864 posts).</w:t>
      </w:r>
    </w:p>
    <w:p>
      <w:pPr>
        <w:spacing w:after="150"/>
      </w:pPr>
      <w:r>
        <w:t xml:space="preserve">By user type, professionals and tech users are (slightly) the most positive groups on average, not the most negative — consistent with acknowledging MT's day-to-day utility even while being most exposed to its downsides:</w:t>
      </w:r>
    </w:p>
    <w:p>
      <w:pPr>
        <w:spacing w:after="100" w:before="20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828925"/>
                    </a:xfrm>
                    <a:prstGeom prst="rect">
                      <a:avLst/>
                    </a:prstGeom>
                  </pic:spPr>
                </pic:pic>
              </a:graphicData>
            </a:graphic>
          </wp:inline>
        </w:drawing>
      </w:r>
    </w:p>
    <w:p>
      <w:pPr>
        <w:spacing w:after="300"/>
        <w:jc w:val="center"/>
      </w:pPr>
      <w:r>
        <w:rPr>
          <w:i/>
          <w:iCs/>
          <w:color w:val="555555"/>
          <w:sz w:val="20"/>
          <w:szCs w:val="20"/>
        </w:rPr>
        <w:t xml:space="preserve">Figure 2 — VADER sentiment distribution by user type.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400"/>
        <w:gridCol w:w="1600"/>
      </w:tblGrid>
      <w:tr>
        <w:tc>
          <w:tcPr>
            <w:tcW w:type="dxa" w:w="2800"/>
            <w:shd w:fill="2A2A4A" w:val="clear"/>
          </w:tcPr>
          <w:p>
            <w:r>
              <w:rPr>
                <w:b/>
                <w:bCs/>
                <w:color w:val="FFFFFF"/>
              </w:rPr>
              <w:t xml:space="preserve">User type</w:t>
            </w:r>
          </w:p>
        </w:tc>
        <w:tc>
          <w:tcPr>
            <w:tcW w:type="dxa" w:w="2400"/>
            <w:shd w:fill="2A2A4A" w:val="clear"/>
          </w:tcPr>
          <w:p>
            <w:r>
              <w:rPr>
                <w:b/>
                <w:bCs/>
                <w:color w:val="FFFFFF"/>
              </w:rPr>
              <w:t xml:space="preserve">Mean compound</w:t>
            </w:r>
          </w:p>
        </w:tc>
        <w:tc>
          <w:tcPr>
            <w:tcW w:type="dxa" w:w="2400"/>
            <w:shd w:fill="2A2A4A" w:val="clear"/>
          </w:tcPr>
          <w:p>
            <w:r>
              <w:rPr>
                <w:b/>
                <w:bCs/>
                <w:color w:val="FFFFFF"/>
              </w:rPr>
              <w:t xml:space="preserve">Median compound</w:t>
            </w:r>
          </w:p>
        </w:tc>
        <w:tc>
          <w:tcPr>
            <w:tcW w:type="dxa" w:w="1600"/>
            <w:shd w:fill="2A2A4A" w:val="clear"/>
          </w:tcPr>
          <w:p>
            <w:r>
              <w:rPr>
                <w:b/>
                <w:bCs/>
                <w:color w:val="FFFFFF"/>
              </w:rPr>
              <w:t xml:space="preserve">Posts</w:t>
            </w:r>
          </w:p>
        </w:tc>
      </w:tr>
      <w:tr>
        <w:tc>
          <w:tcPr>
            <w:tcW w:type="dxa" w:w="2800"/>
          </w:tcPr>
          <w:p>
            <w:r>
              <w:rPr>
                <w:b w:val="false"/>
                <w:bCs w:val="false"/>
                <w:color w:val="000000"/>
              </w:rPr>
              <w:t xml:space="preserve">general</w:t>
            </w:r>
          </w:p>
        </w:tc>
        <w:tc>
          <w:tcPr>
            <w:tcW w:type="dxa" w:w="2400"/>
          </w:tcPr>
          <w:p>
            <w:r>
              <w:rPr>
                <w:b w:val="false"/>
                <w:bCs w:val="false"/>
                <w:color w:val="000000"/>
              </w:rPr>
              <w:t xml:space="preserve">0.139</w:t>
            </w:r>
          </w:p>
        </w:tc>
        <w:tc>
          <w:tcPr>
            <w:tcW w:type="dxa" w:w="2400"/>
          </w:tcPr>
          <w:p>
            <w:r>
              <w:rPr>
                <w:b w:val="false"/>
                <w:bCs w:val="false"/>
                <w:color w:val="000000"/>
              </w:rPr>
              <w:t xml:space="preserve">0.052</w:t>
            </w:r>
          </w:p>
        </w:tc>
        <w:tc>
          <w:tcPr>
            <w:tcW w:type="dxa" w:w="1600"/>
          </w:tcPr>
          <w:p>
            <w:r>
              <w:rPr>
                <w:b w:val="false"/>
                <w:bCs w:val="false"/>
                <w:color w:val="000000"/>
              </w:rPr>
              <w:t xml:space="preserve">2,843</w:t>
            </w:r>
          </w:p>
        </w:tc>
      </w:tr>
      <w:tr>
        <w:tc>
          <w:tcPr>
            <w:tcW w:type="dxa" w:w="2800"/>
          </w:tcPr>
          <w:p>
            <w:r>
              <w:rPr>
                <w:b w:val="false"/>
                <w:bCs w:val="false"/>
                <w:color w:val="000000"/>
              </w:rPr>
              <w:t xml:space="preserve">professional</w:t>
            </w:r>
          </w:p>
        </w:tc>
        <w:tc>
          <w:tcPr>
            <w:tcW w:type="dxa" w:w="2400"/>
          </w:tcPr>
          <w:p>
            <w:r>
              <w:rPr>
                <w:b w:val="false"/>
                <w:bCs w:val="false"/>
                <w:color w:val="000000"/>
              </w:rPr>
              <w:t xml:space="preserve">0.201</w:t>
            </w:r>
          </w:p>
        </w:tc>
        <w:tc>
          <w:tcPr>
            <w:tcW w:type="dxa" w:w="2400"/>
          </w:tcPr>
          <w:p>
            <w:r>
              <w:rPr>
                <w:b w:val="false"/>
                <w:bCs w:val="false"/>
                <w:color w:val="000000"/>
              </w:rPr>
              <w:t xml:space="preserve">0.250</w:t>
            </w:r>
          </w:p>
        </w:tc>
        <w:tc>
          <w:tcPr>
            <w:tcW w:type="dxa" w:w="1600"/>
          </w:tcPr>
          <w:p>
            <w:r>
              <w:rPr>
                <w:b w:val="false"/>
                <w:bCs w:val="false"/>
                <w:color w:val="000000"/>
              </w:rPr>
              <w:t xml:space="preserve">610</w:t>
            </w:r>
          </w:p>
        </w:tc>
      </w:tr>
      <w:tr>
        <w:tc>
          <w:tcPr>
            <w:tcW w:type="dxa" w:w="2800"/>
          </w:tcPr>
          <w:p>
            <w:r>
              <w:rPr>
                <w:b w:val="false"/>
                <w:bCs w:val="false"/>
                <w:color w:val="000000"/>
              </w:rPr>
              <w:t xml:space="preserve">tech</w:t>
            </w:r>
          </w:p>
        </w:tc>
        <w:tc>
          <w:tcPr>
            <w:tcW w:type="dxa" w:w="2400"/>
          </w:tcPr>
          <w:p>
            <w:r>
              <w:rPr>
                <w:b w:val="false"/>
                <w:bCs w:val="false"/>
                <w:color w:val="000000"/>
              </w:rPr>
              <w:t xml:space="preserve">0.173</w:t>
            </w:r>
          </w:p>
        </w:tc>
        <w:tc>
          <w:tcPr>
            <w:tcW w:type="dxa" w:w="2400"/>
          </w:tcPr>
          <w:p>
            <w:r>
              <w:rPr>
                <w:b w:val="false"/>
                <w:bCs w:val="false"/>
                <w:color w:val="000000"/>
              </w:rPr>
              <w:t xml:space="preserve">0.214</w:t>
            </w:r>
          </w:p>
        </w:tc>
        <w:tc>
          <w:tcPr>
            <w:tcW w:type="dxa" w:w="1600"/>
          </w:tcPr>
          <w:p>
            <w:r>
              <w:rPr>
                <w:b w:val="false"/>
                <w:bCs w:val="false"/>
                <w:color w:val="000000"/>
              </w:rPr>
              <w:t xml:space="preserve">193</w:t>
            </w:r>
          </w:p>
        </w:tc>
      </w:tr>
      <w:tr>
        <w:tc>
          <w:tcPr>
            <w:tcW w:type="dxa" w:w="2800"/>
          </w:tcPr>
          <w:p>
            <w:r>
              <w:rPr>
                <w:b w:val="false"/>
                <w:bCs w:val="false"/>
                <w:color w:val="000000"/>
              </w:rPr>
              <w:t xml:space="preserve">unknown</w:t>
            </w:r>
          </w:p>
        </w:tc>
        <w:tc>
          <w:tcPr>
            <w:tcW w:type="dxa" w:w="2400"/>
          </w:tcPr>
          <w:p>
            <w:r>
              <w:rPr>
                <w:b w:val="false"/>
                <w:bCs w:val="false"/>
                <w:color w:val="000000"/>
              </w:rPr>
              <w:t xml:space="preserve">0.112</w:t>
            </w:r>
          </w:p>
        </w:tc>
        <w:tc>
          <w:tcPr>
            <w:tcW w:type="dxa" w:w="2400"/>
          </w:tcPr>
          <w:p>
            <w:r>
              <w:rPr>
                <w:b w:val="false"/>
                <w:bCs w:val="false"/>
                <w:color w:val="000000"/>
              </w:rPr>
              <w:t xml:space="preserve">0.077</w:t>
            </w:r>
          </w:p>
        </w:tc>
        <w:tc>
          <w:tcPr>
            <w:tcW w:type="dxa" w:w="1600"/>
          </w:tcPr>
          <w:p>
            <w:r>
              <w:rPr>
                <w:b w:val="false"/>
                <w:bCs w:val="false"/>
                <w:color w:val="000000"/>
              </w:rPr>
              <w:t xml:space="preserve">218</w:t>
            </w:r>
          </w:p>
        </w:tc>
      </w:tr>
    </w:tbl>
    <w:p>
      <w:pPr>
        <w:spacing w:after="200"/>
      </w:pPr>
    </w:p>
    <w:p>
      <w:pPr>
        <w:spacing w:after="150"/>
      </w:pPr>
      <w:r>
        <w:t xml:space="preserve">Comparing VADER against the RoBERTa transformer model reveals the two disagree substantially — only 54.1% agreement, with 458 posts (11.9%) in outright opposite-polarity disagreement. RoBERTa's distribution is markedly less positive (23.1% positive / 46.0% neutral / 31.0% negative):</w:t>
      </w:r>
    </w:p>
    <w:p>
      <w:pPr>
        <w:spacing w:after="100" w:before="200"/>
        <w:jc w:val="center"/>
      </w:pPr>
      <w:r>
        <w:drawing>
          <wp:inline distT="0" distB="0" distL="0" distR="0">
            <wp:extent cx="4000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28925"/>
                    </a:xfrm>
                    <a:prstGeom prst="rect">
                      <a:avLst/>
                    </a:prstGeom>
                  </pic:spPr>
                </pic:pic>
              </a:graphicData>
            </a:graphic>
          </wp:inline>
        </w:drawing>
      </w:r>
    </w:p>
    <w:p>
      <w:pPr>
        <w:spacing w:after="300"/>
        <w:jc w:val="center"/>
      </w:pPr>
      <w:r>
        <w:rPr>
          <w:i/>
          <w:iCs/>
          <w:color w:val="555555"/>
          <w:sz w:val="20"/>
          <w:szCs w:val="20"/>
        </w:rPr>
        <w:t xml:space="preserve">Figure 3 — VADER vs. RoBERTa overall sentiment distribution.</w:t>
      </w:r>
    </w:p>
    <w:p>
      <w:pPr>
        <w:spacing w:after="150"/>
      </w:pPr>
      <w:r>
        <w:t xml:space="preserve">Manual inspection of disagreements shows a consistent pattern: VADER is fooled by individually-positive words in otherwise critical or sarcastic posts. For example, VADER scored “Perfect example of how machine translation is totally untrustworthy” as strongly positive (compound +0.57, driven entirely by the word “perfect”), while RoBERTa correctly read the post as negative. This suggests RoBERTa's more balanced, less-positive distribution is the more trustworthy read of the discourse — the framing of MT is genuinely mixed, not predominantly positive as VADER alone would suggest.</w:t>
      </w:r>
    </w:p>
    <w:p>
      <w:pPr>
        <w:spacing w:after="150"/>
      </w:pPr>
      <w:r>
        <w:t xml:space="preserve">Sentiment also varies over the 12-month collection window (VADER, monthly mean compound score):</w:t>
      </w:r>
    </w:p>
    <w:p>
      <w:pPr>
        <w:spacing w:after="100" w:before="20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43150"/>
                    </a:xfrm>
                    <a:prstGeom prst="rect">
                      <a:avLst/>
                    </a:prstGeom>
                  </pic:spPr>
                </pic:pic>
              </a:graphicData>
            </a:graphic>
          </wp:inline>
        </w:drawing>
      </w:r>
    </w:p>
    <w:p>
      <w:pPr>
        <w:spacing w:after="300"/>
        <w:jc w:val="center"/>
      </w:pPr>
      <w:r>
        <w:rPr>
          <w:i/>
          <w:iCs/>
          <w:color w:val="555555"/>
          <w:sz w:val="20"/>
          <w:szCs w:val="20"/>
        </w:rPr>
        <w:t xml:space="preserve">Figure 4 — Mean VADER sentiment by month.</w:t>
      </w:r>
    </w:p>
    <w:p>
      <w:pPr>
        <w:pStyle w:val="Heading3"/>
        <w:spacing w:after="100" w:before="200"/>
      </w:pPr>
      <w:r>
        <w:t xml:space="preserve">4.2.2 Emotion Analysis</w:t>
      </w:r>
    </w:p>
    <w:p>
      <w:pPr>
        <w:spacing w:after="150"/>
      </w:pPr>
      <w:r>
        <w:t xml:space="preserve">NRCLex's overall emotion profile is dominated by trust (mean affect frequency 0.260), well above every other category:</w:t>
      </w:r>
    </w:p>
    <w:p>
      <w:pPr>
        <w:spacing w:after="100" w:before="200"/>
        <w:jc w:val="center"/>
      </w:pPr>
      <w:r>
        <w:drawing>
          <wp:inline distT="0" distB="0" distL="0" distR="0">
            <wp:extent cx="4381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400300"/>
                    </a:xfrm>
                    <a:prstGeom prst="rect">
                      <a:avLst/>
                    </a:prstGeom>
                  </pic:spPr>
                </pic:pic>
              </a:graphicData>
            </a:graphic>
          </wp:inline>
        </w:drawing>
      </w:r>
    </w:p>
    <w:p>
      <w:pPr>
        <w:spacing w:after="300"/>
        <w:jc w:val="center"/>
      </w:pPr>
      <w:r>
        <w:rPr>
          <w:i/>
          <w:iCs/>
          <w:color w:val="555555"/>
          <w:sz w:val="20"/>
          <w:szCs w:val="20"/>
        </w:rPr>
        <w:t xml:space="preserve">Figure 5 — Overall NRCLex emotion profile (mean affect frequency).</w:t>
      </w:r>
    </w:p>
    <w:p>
      <w:pPr>
        <w:spacing w:after="150"/>
      </w:pPr>
      <w:r>
        <w:t xml:space="preserve">Differences between user types are small relative to the tool-to-tool differences described below — i.e. which emotion detector is used matters more here than which audience is examined:</w:t>
      </w:r>
    </w:p>
    <w:p>
      <w:pPr>
        <w:spacing w:after="100" w:before="200"/>
        <w:jc w:val="center"/>
      </w:pPr>
      <w:r>
        <w:drawing>
          <wp:inline distT="0" distB="0" distL="0" distR="0">
            <wp:extent cx="3619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28950"/>
                    </a:xfrm>
                    <a:prstGeom prst="rect">
                      <a:avLst/>
                    </a:prstGeom>
                  </pic:spPr>
                </pic:pic>
              </a:graphicData>
            </a:graphic>
          </wp:inline>
        </w:drawing>
      </w:r>
    </w:p>
    <w:p>
      <w:pPr>
        <w:spacing w:after="300"/>
        <w:jc w:val="center"/>
      </w:pPr>
      <w:r>
        <w:rPr>
          <w:i/>
          <w:iCs/>
          <w:color w:val="555555"/>
          <w:sz w:val="20"/>
          <w:szCs w:val="20"/>
        </w:rPr>
        <w:t xml:space="preserve">Figure 6 — NRCLex emotion profile by user type.</w:t>
      </w:r>
    </w:p>
    <w:p>
      <w:pPr>
        <w:spacing w:after="150"/>
      </w:pPr>
      <w:r>
        <w:t xml:space="preserve">Looking at NRCLex's per-post dominant emotion (not just the mean), trust (49.0%) and fear (31.8%) together account for the large majority of posts, with anticipation a further 11.7% — every other emotion is under 4%. Comparing against DistilRoBERTa (whose dominant call is neutral for 55.5% of posts) shows the same pattern holds even when conditioning on posts where the transformer is confident enough to name a specific, non-neutral emotion: on that 44.5%-of-posts subset, NRCLex still calls trust 46.5% and fear 30.3% of the time, and the two tools agree on only 15.6% of posts:</w:t>
      </w:r>
    </w:p>
    <w:p>
      <w:pPr>
        <w:spacing w:after="100" w:before="200"/>
        <w:jc w:val="center"/>
      </w:pPr>
      <w:r>
        <w:drawing>
          <wp:inline distT="0" distB="0" distL="0" distR="0">
            <wp:extent cx="533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19300"/>
                    </a:xfrm>
                    <a:prstGeom prst="rect">
                      <a:avLst/>
                    </a:prstGeom>
                  </pic:spPr>
                </pic:pic>
              </a:graphicData>
            </a:graphic>
          </wp:inline>
        </w:drawing>
      </w:r>
    </w:p>
    <w:p>
      <w:pPr>
        <w:spacing w:after="300"/>
        <w:jc w:val="center"/>
      </w:pPr>
      <w:r>
        <w:rPr>
          <w:i/>
          <w:iCs/>
          <w:color w:val="555555"/>
          <w:sz w:val="20"/>
          <w:szCs w:val="20"/>
        </w:rPr>
        <w:t xml:space="preserve">Figure 7 — NRCLex vs. DistilRoBERTa dominant-emotion distributions (each on its own full label set).</w:t>
      </w:r>
    </w:p>
    <w:p>
      <w:pPr>
        <w:spacing w:after="150"/>
      </w:pPr>
      <w:r>
        <w:t xml:space="preserve">This indicates NRCLex's dominant-emotion output is close to invariant to what a post actually says — consistent with “trust” being an oversized category in the NRC lexicon that fires on ordinary vocabulary rather than genuine trust-related content. As a result, this report treats the sentiment comparison (RQ1) as the more reliable evidence for framing, and the emotion analysis as exploratory/secondary given this tool limitation.</w:t>
      </w:r>
    </w:p>
    <w:p>
      <w:pPr>
        <w:pStyle w:val="Heading3"/>
        <w:spacing w:after="100" w:before="200"/>
      </w:pPr>
      <w:r>
        <w:t xml:space="preserve">4.2.3 Named Entity Recognition</w:t>
      </w:r>
    </w:p>
    <w:p>
      <w:pPr>
        <w:spacing w:after="150"/>
      </w:pPr>
      <w:r>
        <w:t xml:space="preserve">spaCy extracted 5,523 entities in the tracked categories (ORG 2,568, PERSON 1,840, GPE 979, PRODUCT 136). The most frequently mentioned organizations/products are shown below — several of these (MTPE, LLM, MTL, MT, NMT, CAT, UI, NLP, L10N, QA) are domain acronyms mis-tagged as organizations by the generic model, not real entities, and are reported as-is rather than filtered out:</w:t>
      </w:r>
    </w:p>
    <w:p>
      <w:pPr>
        <w:spacing w:after="100" w:before="20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895600"/>
                    </a:xfrm>
                    <a:prstGeom prst="rect">
                      <a:avLst/>
                    </a:prstGeom>
                  </pic:spPr>
                </pic:pic>
              </a:graphicData>
            </a:graphic>
          </wp:inline>
        </w:drawing>
      </w:r>
    </w:p>
    <w:p>
      <w:pPr>
        <w:spacing w:after="300"/>
        <w:jc w:val="center"/>
      </w:pPr>
      <w:r>
        <w:rPr>
          <w:i/>
          <w:iCs/>
          <w:color w:val="555555"/>
          <w:sz w:val="20"/>
          <w:szCs w:val="20"/>
        </w:rPr>
        <w:t xml:space="preserve">Figure 8 — Most-mentioned raw entities (ORG/PRODUCT), including acronym noise.</w:t>
      </w:r>
    </w:p>
    <w:p>
      <w:pPr>
        <w:spacing w:after="150"/>
      </w:pPr>
      <w:r>
        <w:t xml:space="preserve">To get a cleaner answer to “which specific MT tools does each group discuss”, mentions of a small curated list of known tools/companies were counted and normalized per 1,000 posts within each user type (raw counts would otherwise just reflect that general has far more posts than the other groups):</w:t>
      </w:r>
    </w:p>
    <w:p>
      <w:pPr>
        <w:spacing w:after="100" w:before="20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895600"/>
                    </a:xfrm>
                    <a:prstGeom prst="rect">
                      <a:avLst/>
                    </a:prstGeom>
                  </pic:spPr>
                </pic:pic>
              </a:graphicData>
            </a:graphic>
          </wp:inline>
        </w:drawing>
      </w:r>
    </w:p>
    <w:p>
      <w:pPr>
        <w:spacing w:after="300"/>
        <w:jc w:val="center"/>
      </w:pPr>
      <w:r>
        <w:rPr>
          <w:i/>
          <w:iCs/>
          <w:color w:val="555555"/>
          <w:sz w:val="20"/>
          <w:szCs w:val="20"/>
        </w:rPr>
        <w:t xml:space="preserve">Figure 9 — Known MT tools/companies mentioned, per 1,000 posts, by user type.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600"/>
        <w:gridCol w:w="1600"/>
      </w:tblGrid>
      <w:tr>
        <w:tc>
          <w:tcPr>
            <w:tcW w:type="dxa" w:w="3200"/>
            <w:shd w:fill="2A2A4A" w:val="clear"/>
          </w:tcPr>
          <w:p>
            <w:r>
              <w:rPr>
                <w:b/>
                <w:bCs/>
                <w:color w:val="FFFFFF"/>
              </w:rPr>
              <w:t xml:space="preserve">Tool</w:t>
            </w:r>
          </w:p>
        </w:tc>
        <w:tc>
          <w:tcPr>
            <w:tcW w:type="dxa" w:w="1600"/>
            <w:shd w:fill="2A2A4A" w:val="clear"/>
          </w:tcPr>
          <w:p>
            <w:r>
              <w:rPr>
                <w:b/>
                <w:bCs/>
                <w:color w:val="FFFFFF"/>
              </w:rPr>
              <w:t xml:space="preserve">General</w:t>
            </w:r>
          </w:p>
        </w:tc>
        <w:tc>
          <w:tcPr>
            <w:tcW w:type="dxa" w:w="1600"/>
            <w:shd w:fill="2A2A4A" w:val="clear"/>
          </w:tcPr>
          <w:p>
            <w:r>
              <w:rPr>
                <w:b/>
                <w:bCs/>
                <w:color w:val="FFFFFF"/>
              </w:rPr>
              <w:t xml:space="preserve">Professional</w:t>
            </w:r>
          </w:p>
        </w:tc>
        <w:tc>
          <w:tcPr>
            <w:tcW w:type="dxa" w:w="1600"/>
            <w:shd w:fill="2A2A4A" w:val="clear"/>
          </w:tcPr>
          <w:p>
            <w:r>
              <w:rPr>
                <w:b/>
                <w:bCs/>
                <w:color w:val="FFFFFF"/>
              </w:rPr>
              <w:t xml:space="preserve">Tech</w:t>
            </w:r>
          </w:p>
        </w:tc>
        <w:tc>
          <w:tcPr>
            <w:tcW w:type="dxa" w:w="1600"/>
            <w:shd w:fill="2A2A4A" w:val="clear"/>
          </w:tcPr>
          <w:p>
            <w:r>
              <w:rPr>
                <w:b/>
                <w:bCs/>
                <w:color w:val="FFFFFF"/>
              </w:rPr>
              <w:t xml:space="preserve">Unknown</w:t>
            </w:r>
          </w:p>
        </w:tc>
      </w:tr>
      <w:tr>
        <w:tc>
          <w:tcPr>
            <w:tcW w:type="dxa" w:w="3200"/>
          </w:tcPr>
          <w:p>
            <w:r>
              <w:rPr>
                <w:b w:val="false"/>
                <w:bCs w:val="false"/>
                <w:color w:val="000000"/>
              </w:rPr>
              <w:t xml:space="preserve">DeepL</w:t>
            </w:r>
          </w:p>
        </w:tc>
        <w:tc>
          <w:tcPr>
            <w:tcW w:type="dxa" w:w="1600"/>
          </w:tcPr>
          <w:p>
            <w:r>
              <w:rPr>
                <w:b w:val="false"/>
                <w:bCs w:val="false"/>
                <w:color w:val="000000"/>
              </w:rPr>
              <w:t xml:space="preserve">27.4</w:t>
            </w:r>
          </w:p>
        </w:tc>
        <w:tc>
          <w:tcPr>
            <w:tcW w:type="dxa" w:w="1600"/>
          </w:tcPr>
          <w:p>
            <w:r>
              <w:rPr>
                <w:b w:val="false"/>
                <w:bCs w:val="false"/>
                <w:color w:val="000000"/>
              </w:rPr>
              <w:t xml:space="preserve">11.5</w:t>
            </w:r>
          </w:p>
        </w:tc>
        <w:tc>
          <w:tcPr>
            <w:tcW w:type="dxa" w:w="1600"/>
          </w:tcPr>
          <w:p>
            <w:r>
              <w:rPr>
                <w:b w:val="false"/>
                <w:bCs w:val="false"/>
                <w:color w:val="000000"/>
              </w:rPr>
              <w:t xml:space="preserve">20.7</w:t>
            </w:r>
          </w:p>
        </w:tc>
        <w:tc>
          <w:tcPr>
            <w:tcW w:type="dxa" w:w="1600"/>
          </w:tcPr>
          <w:p>
            <w:r>
              <w:rPr>
                <w:b w:val="false"/>
                <w:bCs w:val="false"/>
                <w:color w:val="000000"/>
              </w:rPr>
              <w:t xml:space="preserve">27.5</w:t>
            </w:r>
          </w:p>
        </w:tc>
      </w:tr>
      <w:tr>
        <w:tc>
          <w:tcPr>
            <w:tcW w:type="dxa" w:w="3200"/>
          </w:tcPr>
          <w:p>
            <w:r>
              <w:rPr>
                <w:b w:val="false"/>
                <w:bCs w:val="false"/>
                <w:color w:val="000000"/>
              </w:rPr>
              <w:t xml:space="preserve">Google Translate</w:t>
            </w:r>
          </w:p>
        </w:tc>
        <w:tc>
          <w:tcPr>
            <w:tcW w:type="dxa" w:w="1600"/>
          </w:tcPr>
          <w:p>
            <w:r>
              <w:rPr>
                <w:b w:val="false"/>
                <w:bCs w:val="false"/>
                <w:color w:val="000000"/>
              </w:rPr>
              <w:t xml:space="preserve">15.8</w:t>
            </w:r>
          </w:p>
        </w:tc>
        <w:tc>
          <w:tcPr>
            <w:tcW w:type="dxa" w:w="1600"/>
          </w:tcPr>
          <w:p>
            <w:r>
              <w:rPr>
                <w:b w:val="false"/>
                <w:bCs w:val="false"/>
                <w:color w:val="000000"/>
              </w:rPr>
              <w:t xml:space="preserve">4.9</w:t>
            </w:r>
          </w:p>
        </w:tc>
        <w:tc>
          <w:tcPr>
            <w:tcW w:type="dxa" w:w="1600"/>
          </w:tcPr>
          <w:p>
            <w:r>
              <w:rPr>
                <w:b w:val="false"/>
                <w:bCs w:val="false"/>
                <w:color w:val="000000"/>
              </w:rPr>
              <w:t xml:space="preserve">5.2</w:t>
            </w:r>
          </w:p>
        </w:tc>
        <w:tc>
          <w:tcPr>
            <w:tcW w:type="dxa" w:w="1600"/>
          </w:tcPr>
          <w:p>
            <w:r>
              <w:rPr>
                <w:b w:val="false"/>
                <w:bCs w:val="false"/>
                <w:color w:val="000000"/>
              </w:rPr>
              <w:t xml:space="preserve">0.0</w:t>
            </w:r>
          </w:p>
        </w:tc>
      </w:tr>
      <w:tr>
        <w:tc>
          <w:tcPr>
            <w:tcW w:type="dxa" w:w="3200"/>
          </w:tcPr>
          <w:p>
            <w:r>
              <w:rPr>
                <w:b w:val="false"/>
                <w:bCs w:val="false"/>
                <w:color w:val="000000"/>
              </w:rPr>
              <w:t xml:space="preserve">Google</w:t>
            </w:r>
          </w:p>
        </w:tc>
        <w:tc>
          <w:tcPr>
            <w:tcW w:type="dxa" w:w="1600"/>
          </w:tcPr>
          <w:p>
            <w:r>
              <w:rPr>
                <w:b w:val="false"/>
                <w:bCs w:val="false"/>
                <w:color w:val="000000"/>
              </w:rPr>
              <w:t xml:space="preserve">13.7</w:t>
            </w:r>
          </w:p>
        </w:tc>
        <w:tc>
          <w:tcPr>
            <w:tcW w:type="dxa" w:w="1600"/>
          </w:tcPr>
          <w:p>
            <w:r>
              <w:rPr>
                <w:b w:val="false"/>
                <w:bCs w:val="false"/>
                <w:color w:val="000000"/>
              </w:rPr>
              <w:t xml:space="preserve">1.6</w:t>
            </w:r>
          </w:p>
        </w:tc>
        <w:tc>
          <w:tcPr>
            <w:tcW w:type="dxa" w:w="1600"/>
          </w:tcPr>
          <w:p>
            <w:r>
              <w:rPr>
                <w:b w:val="false"/>
                <w:bCs w:val="false"/>
                <w:color w:val="000000"/>
              </w:rPr>
              <w:t xml:space="preserve">0.0</w:t>
            </w:r>
          </w:p>
        </w:tc>
        <w:tc>
          <w:tcPr>
            <w:tcW w:type="dxa" w:w="1600"/>
          </w:tcPr>
          <w:p>
            <w:r>
              <w:rPr>
                <w:b w:val="false"/>
                <w:bCs w:val="false"/>
                <w:color w:val="000000"/>
              </w:rPr>
              <w:t xml:space="preserve">13.8</w:t>
            </w:r>
          </w:p>
        </w:tc>
      </w:tr>
      <w:tr>
        <w:tc>
          <w:tcPr>
            <w:tcW w:type="dxa" w:w="3200"/>
          </w:tcPr>
          <w:p>
            <w:r>
              <w:rPr>
                <w:b w:val="false"/>
                <w:bCs w:val="false"/>
                <w:color w:val="000000"/>
              </w:rPr>
              <w:t xml:space="preserve">Deepl</w:t>
            </w:r>
          </w:p>
        </w:tc>
        <w:tc>
          <w:tcPr>
            <w:tcW w:type="dxa" w:w="1600"/>
          </w:tcPr>
          <w:p>
            <w:r>
              <w:rPr>
                <w:b w:val="false"/>
                <w:bCs w:val="false"/>
                <w:color w:val="000000"/>
              </w:rPr>
              <w:t xml:space="preserve">6.7</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c>
          <w:tcPr>
            <w:tcW w:type="dxa" w:w="1600"/>
          </w:tcPr>
          <w:p>
            <w:r>
              <w:rPr>
                <w:b w:val="false"/>
                <w:bCs w:val="false"/>
                <w:color w:val="000000"/>
              </w:rPr>
              <w:t xml:space="preserve">4.6</w:t>
            </w:r>
          </w:p>
        </w:tc>
      </w:tr>
      <w:tr>
        <w:tc>
          <w:tcPr>
            <w:tcW w:type="dxa" w:w="3200"/>
          </w:tcPr>
          <w:p>
            <w:r>
              <w:rPr>
                <w:b w:val="false"/>
                <w:bCs w:val="false"/>
                <w:color w:val="000000"/>
              </w:rPr>
              <w:t xml:space="preserve">Amazon</w:t>
            </w:r>
          </w:p>
        </w:tc>
        <w:tc>
          <w:tcPr>
            <w:tcW w:type="dxa" w:w="1600"/>
          </w:tcPr>
          <w:p>
            <w:r>
              <w:rPr>
                <w:b w:val="false"/>
                <w:bCs w:val="false"/>
                <w:color w:val="000000"/>
              </w:rPr>
              <w:t xml:space="preserve">4.2</w:t>
            </w:r>
          </w:p>
        </w:tc>
        <w:tc>
          <w:tcPr>
            <w:tcW w:type="dxa" w:w="1600"/>
          </w:tcPr>
          <w:p>
            <w:r>
              <w:rPr>
                <w:b w:val="false"/>
                <w:bCs w:val="false"/>
                <w:color w:val="000000"/>
              </w:rPr>
              <w:t xml:space="preserve">1.6</w:t>
            </w:r>
          </w:p>
        </w:tc>
        <w:tc>
          <w:tcPr>
            <w:tcW w:type="dxa" w:w="1600"/>
          </w:tcPr>
          <w:p>
            <w:r>
              <w:rPr>
                <w:b w:val="false"/>
                <w:bCs w:val="false"/>
                <w:color w:val="000000"/>
              </w:rPr>
              <w:t xml:space="preserve">5.2</w:t>
            </w:r>
          </w:p>
        </w:tc>
        <w:tc>
          <w:tcPr>
            <w:tcW w:type="dxa" w:w="1600"/>
          </w:tcPr>
          <w:p>
            <w:r>
              <w:rPr>
                <w:b w:val="false"/>
                <w:bCs w:val="false"/>
                <w:color w:val="000000"/>
              </w:rPr>
              <w:t xml:space="preserve">4.6</w:t>
            </w:r>
          </w:p>
        </w:tc>
      </w:tr>
      <w:tr>
        <w:tc>
          <w:tcPr>
            <w:tcW w:type="dxa" w:w="3200"/>
          </w:tcPr>
          <w:p>
            <w:r>
              <w:rPr>
                <w:b w:val="false"/>
                <w:bCs w:val="false"/>
                <w:color w:val="000000"/>
              </w:rPr>
              <w:t xml:space="preserve">Mozilla Localization</w:t>
            </w:r>
          </w:p>
        </w:tc>
        <w:tc>
          <w:tcPr>
            <w:tcW w:type="dxa" w:w="1600"/>
          </w:tcPr>
          <w:p>
            <w:r>
              <w:rPr>
                <w:b w:val="false"/>
                <w:bCs w:val="false"/>
                <w:color w:val="000000"/>
              </w:rPr>
              <w:t xml:space="preserve">4.9</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r>
        <w:tc>
          <w:tcPr>
            <w:tcW w:type="dxa" w:w="3200"/>
          </w:tcPr>
          <w:p>
            <w:r>
              <w:rPr>
                <w:b w:val="false"/>
                <w:bCs w:val="false"/>
                <w:color w:val="000000"/>
              </w:rPr>
              <w:t xml:space="preserve">GPT</w:t>
            </w:r>
          </w:p>
        </w:tc>
        <w:tc>
          <w:tcPr>
            <w:tcW w:type="dxa" w:w="1600"/>
          </w:tcPr>
          <w:p>
            <w:r>
              <w:rPr>
                <w:b w:val="false"/>
                <w:bCs w:val="false"/>
                <w:color w:val="000000"/>
              </w:rPr>
              <w:t xml:space="preserve">3.2</w:t>
            </w:r>
          </w:p>
        </w:tc>
        <w:tc>
          <w:tcPr>
            <w:tcW w:type="dxa" w:w="1600"/>
          </w:tcPr>
          <w:p>
            <w:r>
              <w:rPr>
                <w:b w:val="false"/>
                <w:bCs w:val="false"/>
                <w:color w:val="000000"/>
              </w:rPr>
              <w:t xml:space="preserve">3.3</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r>
        <w:tc>
          <w:tcPr>
            <w:tcW w:type="dxa" w:w="3200"/>
          </w:tcPr>
          <w:p>
            <w:r>
              <w:rPr>
                <w:b w:val="false"/>
                <w:bCs w:val="false"/>
                <w:color w:val="000000"/>
              </w:rPr>
              <w:t xml:space="preserve">YouTube</w:t>
            </w:r>
          </w:p>
        </w:tc>
        <w:tc>
          <w:tcPr>
            <w:tcW w:type="dxa" w:w="1600"/>
          </w:tcPr>
          <w:p>
            <w:r>
              <w:rPr>
                <w:b w:val="false"/>
                <w:bCs w:val="false"/>
                <w:color w:val="000000"/>
              </w:rPr>
              <w:t xml:space="preserve">2.5</w:t>
            </w:r>
          </w:p>
        </w:tc>
        <w:tc>
          <w:tcPr>
            <w:tcW w:type="dxa" w:w="1600"/>
          </w:tcPr>
          <w:p>
            <w:r>
              <w:rPr>
                <w:b w:val="false"/>
                <w:bCs w:val="false"/>
                <w:color w:val="000000"/>
              </w:rPr>
              <w:t xml:space="preserve">1.6</w:t>
            </w:r>
          </w:p>
        </w:tc>
        <w:tc>
          <w:tcPr>
            <w:tcW w:type="dxa" w:w="1600"/>
          </w:tcPr>
          <w:p>
            <w:r>
              <w:rPr>
                <w:b w:val="false"/>
                <w:bCs w:val="false"/>
                <w:color w:val="000000"/>
              </w:rPr>
              <w:t xml:space="preserve">5.2</w:t>
            </w:r>
          </w:p>
        </w:tc>
        <w:tc>
          <w:tcPr>
            <w:tcW w:type="dxa" w:w="1600"/>
          </w:tcPr>
          <w:p>
            <w:r>
              <w:rPr>
                <w:b w:val="false"/>
                <w:bCs w:val="false"/>
                <w:color w:val="000000"/>
              </w:rPr>
              <w:t xml:space="preserve">0.0</w:t>
            </w:r>
          </w:p>
        </w:tc>
      </w:tr>
      <w:tr>
        <w:tc>
          <w:tcPr>
            <w:tcW w:type="dxa" w:w="3200"/>
          </w:tcPr>
          <w:p>
            <w:r>
              <w:rPr>
                <w:b w:val="false"/>
                <w:bCs w:val="false"/>
                <w:color w:val="000000"/>
              </w:rPr>
              <w:t xml:space="preserve">Microsoft</w:t>
            </w:r>
          </w:p>
        </w:tc>
        <w:tc>
          <w:tcPr>
            <w:tcW w:type="dxa" w:w="1600"/>
          </w:tcPr>
          <w:p>
            <w:r>
              <w:rPr>
                <w:b w:val="false"/>
                <w:bCs w:val="false"/>
                <w:color w:val="000000"/>
              </w:rPr>
              <w:t xml:space="preserve">1.8</w:t>
            </w:r>
          </w:p>
        </w:tc>
        <w:tc>
          <w:tcPr>
            <w:tcW w:type="dxa" w:w="1600"/>
          </w:tcPr>
          <w:p>
            <w:r>
              <w:rPr>
                <w:b w:val="false"/>
                <w:bCs w:val="false"/>
                <w:color w:val="000000"/>
              </w:rPr>
              <w:t xml:space="preserve">1.6</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r>
        <w:tc>
          <w:tcPr>
            <w:tcW w:type="dxa" w:w="3200"/>
          </w:tcPr>
          <w:p>
            <w:r>
              <w:rPr>
                <w:b w:val="false"/>
                <w:bCs w:val="false"/>
                <w:color w:val="000000"/>
              </w:rPr>
              <w:t xml:space="preserve">Claude</w:t>
            </w:r>
          </w:p>
        </w:tc>
        <w:tc>
          <w:tcPr>
            <w:tcW w:type="dxa" w:w="1600"/>
          </w:tcPr>
          <w:p>
            <w:r>
              <w:rPr>
                <w:b w:val="false"/>
                <w:bCs w:val="false"/>
                <w:color w:val="000000"/>
              </w:rPr>
              <w:t xml:space="preserve">1.1</w:t>
            </w:r>
          </w:p>
        </w:tc>
        <w:tc>
          <w:tcPr>
            <w:tcW w:type="dxa" w:w="1600"/>
          </w:tcPr>
          <w:p>
            <w:r>
              <w:rPr>
                <w:b w:val="false"/>
                <w:bCs w:val="false"/>
                <w:color w:val="000000"/>
              </w:rPr>
              <w:t xml:space="preserve">0.0</w:t>
            </w:r>
          </w:p>
        </w:tc>
        <w:tc>
          <w:tcPr>
            <w:tcW w:type="dxa" w:w="1600"/>
          </w:tcPr>
          <w:p>
            <w:r>
              <w:rPr>
                <w:b w:val="false"/>
                <w:bCs w:val="false"/>
                <w:color w:val="000000"/>
              </w:rPr>
              <w:t xml:space="preserve">5.2</w:t>
            </w:r>
          </w:p>
        </w:tc>
        <w:tc>
          <w:tcPr>
            <w:tcW w:type="dxa" w:w="1600"/>
          </w:tcPr>
          <w:p>
            <w:r>
              <w:rPr>
                <w:b w:val="false"/>
                <w:bCs w:val="false"/>
                <w:color w:val="000000"/>
              </w:rPr>
              <w:t xml:space="preserve">0.0</w:t>
            </w:r>
          </w:p>
        </w:tc>
      </w:tr>
      <w:tr>
        <w:tc>
          <w:tcPr>
            <w:tcW w:type="dxa" w:w="3200"/>
          </w:tcPr>
          <w:p>
            <w:r>
              <w:rPr>
                <w:b w:val="false"/>
                <w:bCs w:val="false"/>
                <w:color w:val="000000"/>
              </w:rPr>
              <w:t xml:space="preserve">Meta</w:t>
            </w:r>
          </w:p>
        </w:tc>
        <w:tc>
          <w:tcPr>
            <w:tcW w:type="dxa" w:w="1600"/>
          </w:tcPr>
          <w:p>
            <w:r>
              <w:rPr>
                <w:b w:val="false"/>
                <w:bCs w:val="false"/>
                <w:color w:val="000000"/>
              </w:rPr>
              <w:t xml:space="preserve">1.1</w:t>
            </w:r>
          </w:p>
        </w:tc>
        <w:tc>
          <w:tcPr>
            <w:tcW w:type="dxa" w:w="1600"/>
          </w:tcPr>
          <w:p>
            <w:r>
              <w:rPr>
                <w:b w:val="false"/>
                <w:bCs w:val="false"/>
                <w:color w:val="000000"/>
              </w:rPr>
              <w:t xml:space="preserve">1.6</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r>
        <w:tc>
          <w:tcPr>
            <w:tcW w:type="dxa" w:w="3200"/>
          </w:tcPr>
          <w:p>
            <w:r>
              <w:rPr>
                <w:b w:val="false"/>
                <w:bCs w:val="false"/>
                <w:color w:val="000000"/>
              </w:rPr>
              <w:t xml:space="preserve">OpenAI</w:t>
            </w:r>
          </w:p>
        </w:tc>
        <w:tc>
          <w:tcPr>
            <w:tcW w:type="dxa" w:w="1600"/>
          </w:tcPr>
          <w:p>
            <w:r>
              <w:rPr>
                <w:b w:val="false"/>
                <w:bCs w:val="false"/>
                <w:color w:val="000000"/>
              </w:rPr>
              <w:t xml:space="preserve">1.1</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r>
        <w:tc>
          <w:tcPr>
            <w:tcW w:type="dxa" w:w="3200"/>
          </w:tcPr>
          <w:p>
            <w:r>
              <w:rPr>
                <w:b w:val="false"/>
                <w:bCs w:val="false"/>
                <w:color w:val="000000"/>
              </w:rPr>
              <w:t xml:space="preserve">ChatGPT</w:t>
            </w:r>
          </w:p>
        </w:tc>
        <w:tc>
          <w:tcPr>
            <w:tcW w:type="dxa" w:w="1600"/>
          </w:tcPr>
          <w:p>
            <w:r>
              <w:rPr>
                <w:b w:val="false"/>
                <w:bCs w:val="false"/>
                <w:color w:val="000000"/>
              </w:rPr>
              <w:t xml:space="preserve">0.0</w:t>
            </w:r>
          </w:p>
        </w:tc>
        <w:tc>
          <w:tcPr>
            <w:tcW w:type="dxa" w:w="1600"/>
          </w:tcPr>
          <w:p>
            <w:r>
              <w:rPr>
                <w:b w:val="false"/>
                <w:bCs w:val="false"/>
                <w:color w:val="000000"/>
              </w:rPr>
              <w:t xml:space="preserve">1.6</w:t>
            </w:r>
          </w:p>
        </w:tc>
        <w:tc>
          <w:tcPr>
            <w:tcW w:type="dxa" w:w="1600"/>
          </w:tcPr>
          <w:p>
            <w:r>
              <w:rPr>
                <w:b w:val="false"/>
                <w:bCs w:val="false"/>
                <w:color w:val="000000"/>
              </w:rPr>
              <w:t xml:space="preserve">0.0</w:t>
            </w:r>
          </w:p>
        </w:tc>
        <w:tc>
          <w:tcPr>
            <w:tcW w:type="dxa" w:w="1600"/>
          </w:tcPr>
          <w:p>
            <w:r>
              <w:rPr>
                <w:b w:val="false"/>
                <w:bCs w:val="false"/>
                <w:color w:val="000000"/>
              </w:rPr>
              <w:t xml:space="preserve">0.0</w:t>
            </w:r>
          </w:p>
        </w:tc>
      </w:tr>
    </w:tbl>
    <w:p>
      <w:pPr>
        <w:spacing w:after="200"/>
      </w:pPr>
    </w:p>
    <w:p>
      <w:pPr>
        <w:spacing w:after="150"/>
      </w:pPr>
      <w:r>
        <w:t xml:space="preserve">DeepL and Google Translate dominate mentions across all groups. Tech users mention Claude and Amazon at a notably higher rate relative to their group size than general or professional users do, suggesting the tech audience's MT discussion leans more toward LLM-based translation than the dedicated MT engines professionals and the general public focus on. These counts are small in absolute terms for professional/tech/unknown (193–610 posts total), so they should be read as suggestive rather than conclusive.</w:t>
      </w:r>
    </w:p>
    <w:p>
      <w:pPr>
        <w:pStyle w:val="Heading3"/>
        <w:spacing w:after="100" w:before="200"/>
      </w:pPr>
      <w:r>
        <w:t xml:space="preserve">4.2.4 Word clouds by sentiment</w:t>
      </w:r>
    </w:p>
    <w:p>
      <w:pPr>
        <w:spacing w:after="150"/>
      </w:pPr>
      <w:r>
        <w:t xml:space="preserve">A qualitative view of the vocabulary in positive vs. negative posts:</w:t>
      </w:r>
    </w:p>
    <w:p>
      <w:pPr>
        <w:spacing w:after="100" w:before="200"/>
        <w:jc w:val="center"/>
      </w:pPr>
      <w:r>
        <w:drawing>
          <wp:inline distT="0" distB="0" distL="0" distR="0">
            <wp:extent cx="5334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095500"/>
                    </a:xfrm>
                    <a:prstGeom prst="rect">
                      <a:avLst/>
                    </a:prstGeom>
                  </pic:spPr>
                </pic:pic>
              </a:graphicData>
            </a:graphic>
          </wp:inline>
        </w:drawing>
      </w:r>
    </w:p>
    <w:p>
      <w:pPr>
        <w:spacing w:after="300"/>
        <w:jc w:val="center"/>
      </w:pPr>
      <w:r>
        <w:rPr>
          <w:i/>
          <w:iCs/>
          <w:color w:val="555555"/>
          <w:sz w:val="20"/>
          <w:szCs w:val="20"/>
        </w:rPr>
        <w:t xml:space="preserve">Figure 10 — Word clouds for VADER-positive (left) and VADER-negative (right) posts.</w:t>
      </w:r>
    </w:p>
    <w:p>
      <w:pPr>
        <w:pStyle w:val="Heading1"/>
        <w:spacing w:after="200" w:before="400"/>
      </w:pPr>
      <w:r>
        <w:t xml:space="preserve">5. Discussion &amp; Conclusions</w:t>
      </w:r>
    </w:p>
    <w:p>
      <w:pPr>
        <w:pStyle w:val="Heading2"/>
        <w:spacing w:after="150" w:before="300"/>
      </w:pPr>
      <w:r>
        <w:t xml:space="preserve">5.1 Content analysis conclusions</w:t>
      </w:r>
    </w:p>
    <w:p>
      <w:pPr>
        <w:spacing w:after="150"/>
      </w:pPr>
      <w:r>
        <w:t xml:space="preserve">RQ1 (tool vs. threat): the two sentiment tools disagree on 45.9% of posts. Taking the context-aware RoBERTa model as the more reliable signal, the discourse is genuinely mixed (23.1% positive / 46.0% neutral / 31.0% negative) rather than predominantly positive — MT is discussed as both a useful tool and, in a substantial minority of posts, negatively/critically.</w:t>
      </w:r>
    </w:p>
    <w:p>
      <w:pPr>
        <w:spacing w:after="150"/>
      </w:pPr>
      <w:r>
        <w:t xml:space="preserve">RQ2/RQ3 (professional vs. general, utility vs. displacement): professionals score most positive on average by VADER (mean compound 0.201 vs. 0.139 for general, 0.173 for tech, and 0.112 for unknown), which is consistent with professionals acknowledging MT's day-to-day utility (e.g. post-editing workflows, CAT tool integration) rather than uniformly framing it as a threat — though this is one lexicon-based signal and would benefit from being cross-checked with RoBERTa scores by user type in future work (not done in this draft).</w:t>
      </w:r>
    </w:p>
    <w:p>
      <w:pPr>
        <w:spacing w:after="150"/>
      </w:pPr>
      <w:r>
        <w:t xml:space="preserve">The emotion analysis was not able to meaningfully support or refute RQ2/RQ3: differences between user types were small compared to the disagreement between NRCLex and DistilRoBERTa, and NRCLex's own output was shown to be largely invariant to content. This is reported as a methodological finding in itself rather than a substantive result about the discourse.</w:t>
      </w:r>
    </w:p>
    <w:p>
      <w:pPr>
        <w:spacing w:after="150"/>
      </w:pPr>
      <w:r>
        <w:t xml:space="preserve">Named entity recognition shows DeepL and Google Translate as the dominant tools discussed by all groups, with tech users discussing Claude/Amazon at a disproportionately higher rate given their group size.</w:t>
      </w:r>
    </w:p>
    <w:p>
      <w:pPr>
        <w:pStyle w:val="Heading2"/>
        <w:spacing w:after="150" w:before="300"/>
      </w:pPr>
      <w:r>
        <w:t xml:space="preserve">5.2 Overall project conclusion</w:t>
      </w:r>
    </w:p>
    <w:p>
      <w:pPr>
        <w:shd w:fill="FFF2F2" w:val="clear"/>
        <w:spacing w:after="300" w:before="100"/>
      </w:pPr>
      <w:r>
        <w:rPr>
          <w:i/>
          <w:iCs/>
          <w:color w:val="B00000"/>
        </w:rPr>
        <w:t xml:space="preserve">[TO BE COMPLETED once the network analysis results are available — a full conclusion should relate community structure / centrality findings from analysis.ipynb to the framing and professional-vs-general differences found here.]</w:t>
      </w:r>
    </w:p>
    <w:p>
      <w:pPr>
        <w:pStyle w:val="Heading1"/>
        <w:spacing w:after="200" w:before="400"/>
      </w:pPr>
      <w:r>
        <w:t xml:space="preserve">6. Limitations</w:t>
      </w:r>
    </w:p>
    <w:p>
      <w:pPr>
        <w:pStyle w:val="Heading3"/>
        <w:spacing w:after="100" w:before="200"/>
      </w:pPr>
      <w:r>
        <w:t xml:space="preserve">Collection limitations (from the data-collection notebook)</w:t>
      </w:r>
    </w:p>
    <w:p>
      <w:pPr>
        <w:pStyle w:val="ListParagraph"/>
        <w:numPr>
          <w:ilvl w:val="0"/>
          <w:numId w:val="1"/>
        </w:numPr>
        <w:spacing w:after="60"/>
      </w:pPr>
      <w:r>
        <w:t xml:space="preserve">Ego-network sample: follow edges exist only around authors with ≥ 2 posts; accounts outside that set cannot have in-edges, so centrality comparisons are only valid within the post-authors subgraph.</w:t>
      </w:r>
    </w:p>
    <w:p>
      <w:pPr>
        <w:pStyle w:val="ListParagraph"/>
        <w:numPr>
          <w:ilvl w:val="0"/>
          <w:numId w:val="1"/>
        </w:numPr>
        <w:spacing w:after="60"/>
      </w:pPr>
      <w:r>
        <w:t xml:space="preserve">Follower cap: at most 100 followers per author were collected, which shows up as a spike at the cap in the raw in-degree distribution.</w:t>
      </w:r>
    </w:p>
    <w:p>
      <w:pPr>
        <w:pStyle w:val="ListParagraph"/>
        <w:numPr>
          <w:ilvl w:val="0"/>
          <w:numId w:val="1"/>
        </w:numPr>
        <w:spacing w:after="60"/>
      </w:pPr>
      <w:r>
        <w:t xml:space="preserve">Followers, not following: the crawl collects who follows the top authors, not who those authors follow.</w:t>
      </w:r>
    </w:p>
    <w:p>
      <w:pPr>
        <w:pStyle w:val="ListParagraph"/>
        <w:numPr>
          <w:ilvl w:val="0"/>
          <w:numId w:val="1"/>
        </w:numPr>
        <w:spacing w:after="60"/>
      </w:pPr>
      <w:r>
        <w:t xml:space="preserve">Multilingual corpus: search queries are English, but thread replies include other languages; the relevance filter is keyword-based, not a language filter, so non-English posts are kept rather than the corpus being falsely presented as English-only.</w:t>
      </w:r>
    </w:p>
    <w:p>
      <w:pPr>
        <w:pStyle w:val="ListParagraph"/>
        <w:numPr>
          <w:ilvl w:val="0"/>
          <w:numId w:val="1"/>
        </w:numPr>
        <w:spacing w:after="60"/>
      </w:pPr>
      <w:r>
        <w:t xml:space="preserve">Handles as IDs: nodes are identified by Bluesky handle, which can change over time (DIDs are stable and stored as a fallback, but not used as the primary node key).</w:t>
      </w:r>
    </w:p>
    <w:p>
      <w:pPr>
        <w:pStyle w:val="ListParagraph"/>
        <w:numPr>
          <w:ilvl w:val="0"/>
          <w:numId w:val="1"/>
        </w:numPr>
        <w:spacing w:after="60"/>
      </w:pPr>
      <w:r>
        <w:t xml:space="preserve">Ethics: only public posts and public follower lists were collected, at polite request rates, via the official API.</w:t>
      </w:r>
    </w:p>
    <w:p>
      <w:pPr>
        <w:pStyle w:val="Heading3"/>
        <w:spacing w:after="100" w:before="200"/>
      </w:pPr>
      <w:r>
        <w:t xml:space="preserve">Analysis limitations</w:t>
      </w:r>
    </w:p>
    <w:p>
      <w:pPr>
        <w:pStyle w:val="ListParagraph"/>
        <w:numPr>
          <w:ilvl w:val="0"/>
          <w:numId w:val="1"/>
        </w:numPr>
        <w:spacing w:after="60"/>
      </w:pPr>
      <w:r>
        <w:t xml:space="preserve">Single platform (Bluesky) and a single ~12-month window — findings may not generalize to other platforms or time periods.</w:t>
      </w:r>
    </w:p>
    <w:p>
      <w:pPr>
        <w:pStyle w:val="ListParagraph"/>
        <w:numPr>
          <w:ilvl w:val="0"/>
          <w:numId w:val="1"/>
        </w:numPr>
        <w:spacing w:after="60"/>
      </w:pPr>
      <w:r>
        <w:t xml:space="preserve">Topical relevance filtering and author-type labeling are both simple keyword-matching heuristics over text/bio, not validated classifiers; no manual accuracy check was performed. The unknown user-type category (Section 2.3) mitigates one failure mode of this heuristic — treating "no bio" as "general public" — but doesn't validate the labels that are assigned.</w:t>
      </w:r>
    </w:p>
    <w:p>
      <w:pPr>
        <w:pStyle w:val="ListParagraph"/>
        <w:numPr>
          <w:ilvl w:val="0"/>
          <w:numId w:val="1"/>
        </w:numPr>
        <w:spacing w:after="60"/>
      </w:pPr>
      <w:r>
        <w:t xml:space="preserve">spaCy's en_core_web_sm was trained on general news text, not localization/MT jargon, and mis-tags several domain acronyms as organizations (reported transparently in Section 4.2.3 rather than filtered out).</w:t>
      </w:r>
    </w:p>
    <w:p>
      <w:pPr>
        <w:pStyle w:val="ListParagraph"/>
        <w:numPr>
          <w:ilvl w:val="0"/>
          <w:numId w:val="1"/>
        </w:numPr>
        <w:spacing w:after="60"/>
      </w:pPr>
      <w:r>
        <w:t xml:space="preserve">VADER and NRCLex are lexicon-based and were shown empirically to diverge substantially from transformer-based alternatives (RoBERTa, DistilRoBERTa). Without manual gold-standard annotation, we cannot say which tool is “correct” in absolute terms, only that they disagree — qualitative inspection of disagreement examples favored the transformer models.</w:t>
      </w:r>
    </w:p>
    <w:p>
      <w:pPr>
        <w:pStyle w:val="ListParagraph"/>
        <w:numPr>
          <w:ilvl w:val="0"/>
          <w:numId w:val="1"/>
        </w:numPr>
        <w:spacing w:after="60"/>
      </w:pPr>
      <w:r>
        <w:t xml:space="preserve">Professional (610 posts), tech (193 posts), and unknown (218 posts) groups are much smaller than general (2,843 posts); all group comparisons use rates rather than raw counts for this reason, but per-entity counts for the smaller groups (Section 4.2.3) are still small enough to be noisy.</w:t>
      </w:r>
    </w:p>
    <w:p>
      <w:pPr>
        <w:pStyle w:val="Heading1"/>
        <w:spacing w:after="200" w:before="400"/>
      </w:pPr>
      <w:r>
        <w:t xml:space="preserve">7. Tools and Libraries Used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000"/>
      </w:tblGrid>
      <w:tr>
        <w:tc>
          <w:tcPr>
            <w:tcW w:type="dxa" w:w="3200"/>
            <w:shd w:fill="2A2A4A" w:val="clear"/>
          </w:tcPr>
          <w:p>
            <w:r>
              <w:rPr>
                <w:b/>
                <w:bCs/>
                <w:color w:val="FFFFFF"/>
              </w:rPr>
              <w:t xml:space="preserve">Task</w:t>
            </w:r>
          </w:p>
        </w:tc>
        <w:tc>
          <w:tcPr>
            <w:tcW w:type="dxa" w:w="4400"/>
            <w:shd w:fill="2A2A4A" w:val="clear"/>
          </w:tcPr>
          <w:p>
            <w:r>
              <w:rPr>
                <w:b/>
                <w:bCs/>
                <w:color w:val="FFFFFF"/>
              </w:rPr>
              <w:t xml:space="preserve">Tool / Model</w:t>
            </w:r>
          </w:p>
        </w:tc>
        <w:tc>
          <w:tcPr>
            <w:tcW w:type="dxa" w:w="2000"/>
            <w:shd w:fill="2A2A4A" w:val="clear"/>
          </w:tcPr>
          <w:p>
            <w:r>
              <w:rPr>
                <w:b/>
                <w:bCs/>
                <w:color w:val="FFFFFF"/>
              </w:rPr>
              <w:t xml:space="preserve">Type</w:t>
            </w:r>
          </w:p>
        </w:tc>
      </w:tr>
      <w:tr>
        <w:tc>
          <w:tcPr>
            <w:tcW w:type="dxa" w:w="3200"/>
          </w:tcPr>
          <w:p>
            <w:r>
              <w:rPr>
                <w:b w:val="false"/>
                <w:bCs w:val="false"/>
                <w:color w:val="000000"/>
              </w:rPr>
              <w:t xml:space="preserve">Data collection</w:t>
            </w:r>
          </w:p>
        </w:tc>
        <w:tc>
          <w:tcPr>
            <w:tcW w:type="dxa" w:w="4400"/>
          </w:tcPr>
          <w:p>
            <w:r>
              <w:rPr>
                <w:b w:val="false"/>
                <w:bCs w:val="false"/>
                <w:color w:val="000000"/>
              </w:rPr>
              <w:t xml:space="preserve">atproto (Bluesky API client)</w:t>
            </w:r>
          </w:p>
        </w:tc>
        <w:tc>
          <w:tcPr>
            <w:tcW w:type="dxa" w:w="2000"/>
          </w:tcPr>
          <w:p>
            <w:r>
              <w:rPr>
                <w:b w:val="false"/>
                <w:bCs w:val="false"/>
                <w:color w:val="000000"/>
              </w:rPr>
              <w:t xml:space="preserve">API client</w:t>
            </w:r>
          </w:p>
        </w:tc>
      </w:tr>
      <w:tr>
        <w:tc>
          <w:tcPr>
            <w:tcW w:type="dxa" w:w="3200"/>
          </w:tcPr>
          <w:p>
            <w:r>
              <w:rPr>
                <w:b w:val="false"/>
                <w:bCs w:val="false"/>
                <w:color w:val="000000"/>
              </w:rPr>
              <w:t xml:space="preserve">Network analysis</w:t>
            </w:r>
          </w:p>
        </w:tc>
        <w:tc>
          <w:tcPr>
            <w:tcW w:type="dxa" w:w="4400"/>
          </w:tcPr>
          <w:p>
            <w:r>
              <w:rPr>
                <w:b w:val="false"/>
                <w:bCs w:val="false"/>
                <w:color w:val="000000"/>
              </w:rPr>
              <w:t xml:space="preserve">networkx</w:t>
            </w:r>
          </w:p>
        </w:tc>
        <w:tc>
          <w:tcPr>
            <w:tcW w:type="dxa" w:w="2000"/>
          </w:tcPr>
          <w:p>
            <w:r>
              <w:rPr>
                <w:b w:val="false"/>
                <w:bCs w:val="false"/>
                <w:color w:val="000000"/>
              </w:rPr>
              <w:t xml:space="preserve">[see groupmate's section]</w:t>
            </w:r>
          </w:p>
        </w:tc>
      </w:tr>
      <w:tr>
        <w:tc>
          <w:tcPr>
            <w:tcW w:type="dxa" w:w="3200"/>
          </w:tcPr>
          <w:p>
            <w:r>
              <w:rPr>
                <w:b w:val="false"/>
                <w:bCs w:val="false"/>
                <w:color w:val="000000"/>
              </w:rPr>
              <w:t xml:space="preserve">Sentiment analysis</w:t>
            </w:r>
          </w:p>
        </w:tc>
        <w:tc>
          <w:tcPr>
            <w:tcW w:type="dxa" w:w="4400"/>
          </w:tcPr>
          <w:p>
            <w:r>
              <w:rPr>
                <w:b w:val="false"/>
                <w:bCs w:val="false"/>
                <w:color w:val="000000"/>
              </w:rPr>
              <w:t xml:space="preserve">vaderSentiment</w:t>
            </w:r>
          </w:p>
        </w:tc>
        <w:tc>
          <w:tcPr>
            <w:tcW w:type="dxa" w:w="2000"/>
          </w:tcPr>
          <w:p>
            <w:r>
              <w:rPr>
                <w:b w:val="false"/>
                <w:bCs w:val="false"/>
                <w:color w:val="000000"/>
              </w:rPr>
              <w:t xml:space="preserve">Lexicon-based</w:t>
            </w:r>
          </w:p>
        </w:tc>
      </w:tr>
      <w:tr>
        <w:tc>
          <w:tcPr>
            <w:tcW w:type="dxa" w:w="3200"/>
          </w:tcPr>
          <w:p>
            <w:r>
              <w:rPr>
                <w:b w:val="false"/>
                <w:bCs w:val="false"/>
                <w:color w:val="000000"/>
              </w:rPr>
              <w:t xml:space="preserve">Sentiment analysis</w:t>
            </w:r>
          </w:p>
        </w:tc>
        <w:tc>
          <w:tcPr>
            <w:tcW w:type="dxa" w:w="4400"/>
          </w:tcPr>
          <w:p>
            <w:r>
              <w:rPr>
                <w:b w:val="false"/>
                <w:bCs w:val="false"/>
                <w:color w:val="000000"/>
              </w:rPr>
              <w:t xml:space="preserve">cardiffnlp/twitter-roberta-base-sentiment</w:t>
            </w:r>
          </w:p>
        </w:tc>
        <w:tc>
          <w:tcPr>
            <w:tcW w:type="dxa" w:w="2000"/>
          </w:tcPr>
          <w:p>
            <w:r>
              <w:rPr>
                <w:b w:val="false"/>
                <w:bCs w:val="false"/>
                <w:color w:val="000000"/>
              </w:rPr>
              <w:t xml:space="preserve">Transformer</w:t>
            </w:r>
          </w:p>
        </w:tc>
      </w:tr>
      <w:tr>
        <w:tc>
          <w:tcPr>
            <w:tcW w:type="dxa" w:w="3200"/>
          </w:tcPr>
          <w:p>
            <w:r>
              <w:rPr>
                <w:b w:val="false"/>
                <w:bCs w:val="false"/>
                <w:color w:val="000000"/>
              </w:rPr>
              <w:t xml:space="preserve">Emotion analysis</w:t>
            </w:r>
          </w:p>
        </w:tc>
        <w:tc>
          <w:tcPr>
            <w:tcW w:type="dxa" w:w="4400"/>
          </w:tcPr>
          <w:p>
            <w:r>
              <w:rPr>
                <w:b w:val="false"/>
                <w:bCs w:val="false"/>
                <w:color w:val="000000"/>
              </w:rPr>
              <w:t xml:space="preserve">NRCLex</w:t>
            </w:r>
          </w:p>
        </w:tc>
        <w:tc>
          <w:tcPr>
            <w:tcW w:type="dxa" w:w="2000"/>
          </w:tcPr>
          <w:p>
            <w:r>
              <w:rPr>
                <w:b w:val="false"/>
                <w:bCs w:val="false"/>
                <w:color w:val="000000"/>
              </w:rPr>
              <w:t xml:space="preserve">Dictionary-based</w:t>
            </w:r>
          </w:p>
        </w:tc>
      </w:tr>
      <w:tr>
        <w:tc>
          <w:tcPr>
            <w:tcW w:type="dxa" w:w="3200"/>
          </w:tcPr>
          <w:p>
            <w:r>
              <w:rPr>
                <w:b w:val="false"/>
                <w:bCs w:val="false"/>
                <w:color w:val="000000"/>
              </w:rPr>
              <w:t xml:space="preserve">Emotion analysis</w:t>
            </w:r>
          </w:p>
        </w:tc>
        <w:tc>
          <w:tcPr>
            <w:tcW w:type="dxa" w:w="4400"/>
          </w:tcPr>
          <w:p>
            <w:r>
              <w:rPr>
                <w:b w:val="false"/>
                <w:bCs w:val="false"/>
                <w:color w:val="000000"/>
              </w:rPr>
              <w:t xml:space="preserve">j-hartmann/emotion-english-distilroberta-base</w:t>
            </w:r>
          </w:p>
        </w:tc>
        <w:tc>
          <w:tcPr>
            <w:tcW w:type="dxa" w:w="2000"/>
          </w:tcPr>
          <w:p>
            <w:r>
              <w:rPr>
                <w:b w:val="false"/>
                <w:bCs w:val="false"/>
                <w:color w:val="000000"/>
              </w:rPr>
              <w:t xml:space="preserve">Transformer</w:t>
            </w:r>
          </w:p>
        </w:tc>
      </w:tr>
      <w:tr>
        <w:tc>
          <w:tcPr>
            <w:tcW w:type="dxa" w:w="3200"/>
          </w:tcPr>
          <w:p>
            <w:r>
              <w:rPr>
                <w:b w:val="false"/>
                <w:bCs w:val="false"/>
                <w:color w:val="000000"/>
              </w:rPr>
              <w:t xml:space="preserve">Named entity recognition</w:t>
            </w:r>
          </w:p>
        </w:tc>
        <w:tc>
          <w:tcPr>
            <w:tcW w:type="dxa" w:w="4400"/>
          </w:tcPr>
          <w:p>
            <w:r>
              <w:rPr>
                <w:b w:val="false"/>
                <w:bCs w:val="false"/>
                <w:color w:val="000000"/>
              </w:rPr>
              <w:t xml:space="preserve">spaCy (en_core_web_sm)</w:t>
            </w:r>
          </w:p>
        </w:tc>
        <w:tc>
          <w:tcPr>
            <w:tcW w:type="dxa" w:w="2000"/>
          </w:tcPr>
          <w:p>
            <w:r>
              <w:rPr>
                <w:b w:val="false"/>
                <w:bCs w:val="false"/>
                <w:color w:val="000000"/>
              </w:rPr>
              <w:t xml:space="preserve">Pretrained pipeline</w:t>
            </w:r>
          </w:p>
        </w:tc>
      </w:tr>
      <w:tr>
        <w:tc>
          <w:tcPr>
            <w:tcW w:type="dxa" w:w="3200"/>
          </w:tcPr>
          <w:p>
            <w:r>
              <w:rPr>
                <w:b w:val="false"/>
                <w:bCs w:val="false"/>
                <w:color w:val="000000"/>
              </w:rPr>
              <w:t xml:space="preserve">Visualization</w:t>
            </w:r>
          </w:p>
        </w:tc>
        <w:tc>
          <w:tcPr>
            <w:tcW w:type="dxa" w:w="4400"/>
          </w:tcPr>
          <w:p>
            <w:r>
              <w:rPr>
                <w:b w:val="false"/>
                <w:bCs w:val="false"/>
                <w:color w:val="000000"/>
              </w:rPr>
              <w:t xml:space="preserve">matplotlib, wordcloud</w:t>
            </w:r>
          </w:p>
        </w:tc>
        <w:tc>
          <w:tcPr>
            <w:tcW w:type="dxa" w:w="2000"/>
          </w:tcPr>
          <w:p>
            <w:r>
              <w:rPr>
                <w:b w:val="false"/>
                <w:bCs w:val="false"/>
                <w:color w:val="000000"/>
              </w:rPr>
              <w:t xml:space="preserve">-</w:t>
            </w:r>
          </w:p>
        </w:tc>
      </w:tr>
    </w:tbl>
    <w:p>
      <w:pPr>
        <w:spacing w:before="400"/>
      </w:pPr>
    </w:p>
    <w:p>
      <w:pPr>
        <w:spacing w:before="200"/>
      </w:pPr>
      <w:r>
        <w:t xml:space="preserve">Full source code, data dictionary, and setup instructions are in the project README and in 01_data_collection.ipynb / 02_network_analysis.ipynb / 03_content_analysis.ipynb.</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90dfc028edc27fc8e66a03d90bb9e3a5a7aeeb.png"/><Relationship Id="rId8" Type="http://schemas.openxmlformats.org/officeDocument/2006/relationships/image" Target="media/919cb8d063f0ec08cf7d60ad7e10118d5a178324.png"/><Relationship Id="rId9" Type="http://schemas.openxmlformats.org/officeDocument/2006/relationships/image" Target="media/5074b6b1654b5267473162bd87819e9ffe69f995.png"/><Relationship Id="rId10" Type="http://schemas.openxmlformats.org/officeDocument/2006/relationships/image" Target="media/e59640da63d5dfa3e534312da4a6aeb9fe457caa.png"/><Relationship Id="rId11" Type="http://schemas.openxmlformats.org/officeDocument/2006/relationships/image" Target="media/385a081a4b121376b5b74d8b0f7444c56a35ff6c.png"/><Relationship Id="rId12" Type="http://schemas.openxmlformats.org/officeDocument/2006/relationships/image" Target="media/da70c92e0db016078d56bb4c3bcb7522267ec68f.png"/><Relationship Id="rId13" Type="http://schemas.openxmlformats.org/officeDocument/2006/relationships/image" Target="media/034c3c8ff4f489e4352beb10def24ad2930de8bf.png"/><Relationship Id="rId14" Type="http://schemas.openxmlformats.org/officeDocument/2006/relationships/image" Target="media/4fd9cea9731ad30e80301222de6dbded47685038.png"/><Relationship Id="rId15" Type="http://schemas.openxmlformats.org/officeDocument/2006/relationships/image" Target="media/b3cfbc64cb746bd7989c7a7ec82a5d106bfd9513.png"/><Relationship Id="rId16" Type="http://schemas.openxmlformats.org/officeDocument/2006/relationships/image" Target="media/b560f6bd7e4b3270072976658deb68edaeae0c0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2026-07-06T12:39:38.318Z</dcterms:created>
  <dcterms:modified xsi:type="dcterms:W3CDTF">2026-07-06T12:39:38.324Z</dcterms:modified>
</cp:coreProperties>
</file>

<file path=docProps/custom.xml><?xml version="1.0" encoding="utf-8"?>
<Properties xmlns="http://schemas.openxmlformats.org/officeDocument/2006/custom-properties" xmlns:vt="http://schemas.openxmlformats.org/officeDocument/2006/docPropsVTypes"/>
</file>