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1A1AC" w14:textId="77777777" w:rsidR="00164018" w:rsidRDefault="00000000">
      <w:pPr>
        <w:pStyle w:val="Ttulo1"/>
      </w:pPr>
      <w:r>
        <w:t>Comparison Between Contracted Scope and ESA-Requested Middleware Administrator Profile</w:t>
      </w:r>
    </w:p>
    <w:p w14:paraId="7C4413E1" w14:textId="77777777" w:rsidR="00164018" w:rsidRDefault="00000000">
      <w:r>
        <w:t>An analysis was conducted comparing the functions specified in the contracted scope of work with the functions requested by ESA for the resource responsible for Middleware administration. The analysis indicates that the profile requested by ESA partially overlaps with functions already explicitly included in the contracted scope, implying that several of these functions are already covered.</w:t>
      </w:r>
    </w:p>
    <w:p w14:paraId="5ABB9B1E" w14:textId="77777777" w:rsidR="00164018" w:rsidRDefault="00000000">
      <w:pPr>
        <w:pStyle w:val="Ttulo2"/>
      </w:pPr>
      <w:r>
        <w:t>Contracted Scope vs. ESA-Requested Competencies</w:t>
      </w:r>
    </w:p>
    <w:tbl>
      <w:tblPr>
        <w:tblStyle w:val="a"/>
        <w:tblW w:w="8833"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160"/>
        <w:gridCol w:w="2353"/>
        <w:gridCol w:w="2160"/>
      </w:tblGrid>
      <w:tr w:rsidR="00164018" w14:paraId="7235C1E3" w14:textId="77777777">
        <w:tc>
          <w:tcPr>
            <w:tcW w:w="2160" w:type="dxa"/>
            <w:shd w:val="clear" w:color="auto" w:fill="DBE5F1"/>
          </w:tcPr>
          <w:p w14:paraId="6A3ABBD1" w14:textId="77777777" w:rsidR="00164018" w:rsidRDefault="00000000">
            <w:pPr>
              <w:rPr>
                <w:b/>
                <w:bCs/>
              </w:rPr>
            </w:pPr>
            <w:r>
              <w:rPr>
                <w:b/>
                <w:bCs/>
              </w:rPr>
              <w:t>Area / Competency</w:t>
            </w:r>
          </w:p>
        </w:tc>
        <w:tc>
          <w:tcPr>
            <w:tcW w:w="2160" w:type="dxa"/>
            <w:shd w:val="clear" w:color="auto" w:fill="DBE5F1"/>
          </w:tcPr>
          <w:p w14:paraId="6A442CAC" w14:textId="77777777" w:rsidR="00164018" w:rsidRDefault="00000000">
            <w:pPr>
              <w:rPr>
                <w:b/>
                <w:bCs/>
              </w:rPr>
            </w:pPr>
            <w:r>
              <w:rPr>
                <w:b/>
                <w:bCs/>
              </w:rPr>
              <w:t xml:space="preserve">Contracted Scope (IaaS / </w:t>
            </w:r>
            <w:proofErr w:type="spellStart"/>
            <w:r>
              <w:rPr>
                <w:b/>
                <w:bCs/>
              </w:rPr>
              <w:t>KaaS</w:t>
            </w:r>
            <w:proofErr w:type="spellEnd"/>
            <w:r>
              <w:rPr>
                <w:b/>
                <w:bCs/>
              </w:rPr>
              <w:t xml:space="preserve"> / DBaaS)</w:t>
            </w:r>
          </w:p>
        </w:tc>
        <w:tc>
          <w:tcPr>
            <w:tcW w:w="2353" w:type="dxa"/>
            <w:shd w:val="clear" w:color="auto" w:fill="DBE5F1"/>
          </w:tcPr>
          <w:p w14:paraId="5472A3F7" w14:textId="77777777" w:rsidR="00164018" w:rsidRDefault="00000000">
            <w:pPr>
              <w:rPr>
                <w:b/>
                <w:bCs/>
              </w:rPr>
            </w:pPr>
            <w:r>
              <w:rPr>
                <w:b/>
                <w:bCs/>
              </w:rPr>
              <w:t>ESA-Requested Profile</w:t>
            </w:r>
          </w:p>
        </w:tc>
        <w:tc>
          <w:tcPr>
            <w:tcW w:w="2160" w:type="dxa"/>
            <w:shd w:val="clear" w:color="auto" w:fill="DBE5F1"/>
          </w:tcPr>
          <w:p w14:paraId="4D0920A2" w14:textId="77777777" w:rsidR="00164018" w:rsidRDefault="00000000">
            <w:pPr>
              <w:rPr>
                <w:b/>
                <w:bCs/>
              </w:rPr>
            </w:pPr>
            <w:r>
              <w:rPr>
                <w:b/>
                <w:bCs/>
              </w:rPr>
              <w:t>Coverage</w:t>
            </w:r>
          </w:p>
        </w:tc>
      </w:tr>
      <w:tr w:rsidR="00164018" w14:paraId="08EC23C8" w14:textId="77777777">
        <w:tc>
          <w:tcPr>
            <w:tcW w:w="2160" w:type="dxa"/>
            <w:shd w:val="clear" w:color="auto" w:fill="DBE5F1"/>
          </w:tcPr>
          <w:p w14:paraId="135C15E8" w14:textId="77777777" w:rsidR="00164018" w:rsidRDefault="00000000">
            <w:pPr>
              <w:rPr>
                <w:b/>
                <w:bCs/>
              </w:rPr>
            </w:pPr>
            <w:r>
              <w:rPr>
                <w:b/>
                <w:bCs/>
              </w:rPr>
              <w:t>Kubernetes – Cluster Lifecycle</w:t>
            </w:r>
          </w:p>
        </w:tc>
        <w:tc>
          <w:tcPr>
            <w:tcW w:w="2160" w:type="dxa"/>
          </w:tcPr>
          <w:p w14:paraId="4EC1233F" w14:textId="77777777" w:rsidR="00164018" w:rsidRDefault="00000000">
            <w:r>
              <w:t>Deployment, initial configuration, upgrades, patching, HA, ETCD, master nodes</w:t>
            </w:r>
          </w:p>
        </w:tc>
        <w:tc>
          <w:tcPr>
            <w:tcW w:w="2353" w:type="dxa"/>
          </w:tcPr>
          <w:p w14:paraId="62720A0A" w14:textId="77777777" w:rsidR="00164018" w:rsidRDefault="00000000">
            <w:r>
              <w:t>Cluster lifecycle (provisioning, upgrades, scaling, failures)</w:t>
            </w:r>
          </w:p>
        </w:tc>
        <w:tc>
          <w:tcPr>
            <w:tcW w:w="2160" w:type="dxa"/>
          </w:tcPr>
          <w:p w14:paraId="4BF81FE3" w14:textId="77777777" w:rsidR="00164018" w:rsidRDefault="00000000">
            <w:pPr>
              <w:rPr>
                <w:color w:val="00FF00"/>
              </w:rPr>
            </w:pPr>
            <w:r>
              <w:rPr>
                <w:color w:val="00FF00"/>
              </w:rPr>
              <w:t>Covered</w:t>
            </w:r>
          </w:p>
        </w:tc>
      </w:tr>
      <w:tr w:rsidR="00164018" w14:paraId="4E9EB221" w14:textId="77777777">
        <w:tc>
          <w:tcPr>
            <w:tcW w:w="2160" w:type="dxa"/>
            <w:shd w:val="clear" w:color="auto" w:fill="DBE5F1"/>
          </w:tcPr>
          <w:p w14:paraId="66255ABD" w14:textId="77777777" w:rsidR="00164018" w:rsidRDefault="00000000">
            <w:pPr>
              <w:rPr>
                <w:b/>
                <w:bCs/>
              </w:rPr>
            </w:pPr>
            <w:r>
              <w:rPr>
                <w:b/>
                <w:bCs/>
              </w:rPr>
              <w:t>Workload Operations</w:t>
            </w:r>
          </w:p>
        </w:tc>
        <w:tc>
          <w:tcPr>
            <w:tcW w:w="2160" w:type="dxa"/>
          </w:tcPr>
          <w:p w14:paraId="4216EF82" w14:textId="77777777" w:rsidR="00164018" w:rsidRDefault="00000000">
            <w:r>
              <w:t>Cluster operation and support for deployed applications</w:t>
            </w:r>
          </w:p>
        </w:tc>
        <w:tc>
          <w:tcPr>
            <w:tcW w:w="2353" w:type="dxa"/>
          </w:tcPr>
          <w:p w14:paraId="04EF28D2" w14:textId="77777777" w:rsidR="00164018" w:rsidRDefault="00000000">
            <w:r>
              <w:t>Helm/manifests, rollout/rollback, troubleshooting</w:t>
            </w:r>
          </w:p>
        </w:tc>
        <w:tc>
          <w:tcPr>
            <w:tcW w:w="2160" w:type="dxa"/>
          </w:tcPr>
          <w:p w14:paraId="65FDA48D" w14:textId="77777777" w:rsidR="00164018" w:rsidRDefault="00000000">
            <w:r>
              <w:t>Partial (operations, not advanced engineering)</w:t>
            </w:r>
          </w:p>
        </w:tc>
      </w:tr>
      <w:tr w:rsidR="00164018" w14:paraId="3F08771B" w14:textId="77777777">
        <w:tc>
          <w:tcPr>
            <w:tcW w:w="2160" w:type="dxa"/>
            <w:shd w:val="clear" w:color="auto" w:fill="DBE5F1"/>
          </w:tcPr>
          <w:p w14:paraId="39246DF6" w14:textId="77777777" w:rsidR="00164018" w:rsidRDefault="00000000">
            <w:pPr>
              <w:rPr>
                <w:b/>
                <w:bCs/>
              </w:rPr>
            </w:pPr>
            <w:r>
              <w:rPr>
                <w:b/>
                <w:bCs/>
              </w:rPr>
              <w:t>Kubernetes Storage</w:t>
            </w:r>
          </w:p>
        </w:tc>
        <w:tc>
          <w:tcPr>
            <w:tcW w:w="2160" w:type="dxa"/>
          </w:tcPr>
          <w:p w14:paraId="459B4544" w14:textId="77777777" w:rsidR="00164018" w:rsidRDefault="00000000">
            <w:r>
              <w:t xml:space="preserve">Provisioning and management of </w:t>
            </w:r>
            <w:proofErr w:type="spellStart"/>
            <w:r>
              <w:t>StorageClasses</w:t>
            </w:r>
            <w:proofErr w:type="spellEnd"/>
            <w:r>
              <w:t>, ETCD backup</w:t>
            </w:r>
          </w:p>
        </w:tc>
        <w:tc>
          <w:tcPr>
            <w:tcW w:w="2353" w:type="dxa"/>
          </w:tcPr>
          <w:p w14:paraId="70BD25CE" w14:textId="77777777" w:rsidR="00164018" w:rsidRDefault="00000000">
            <w:proofErr w:type="spellStart"/>
            <w:r>
              <w:t>StorageClasses</w:t>
            </w:r>
            <w:proofErr w:type="spellEnd"/>
            <w:r>
              <w:t>, PV/PVC, CSI concepts</w:t>
            </w:r>
          </w:p>
        </w:tc>
        <w:tc>
          <w:tcPr>
            <w:tcW w:w="2160" w:type="dxa"/>
          </w:tcPr>
          <w:p w14:paraId="23604374" w14:textId="77777777" w:rsidR="00164018" w:rsidRDefault="00000000">
            <w:pPr>
              <w:rPr>
                <w:color w:val="00FF00"/>
              </w:rPr>
            </w:pPr>
            <w:r>
              <w:rPr>
                <w:color w:val="00FF00"/>
              </w:rPr>
              <w:t>Covered</w:t>
            </w:r>
          </w:p>
        </w:tc>
      </w:tr>
      <w:tr w:rsidR="00164018" w14:paraId="713D222D" w14:textId="77777777">
        <w:tc>
          <w:tcPr>
            <w:tcW w:w="2160" w:type="dxa"/>
            <w:shd w:val="clear" w:color="auto" w:fill="DBE5F1"/>
          </w:tcPr>
          <w:p w14:paraId="42CE28F7" w14:textId="77777777" w:rsidR="00164018" w:rsidRDefault="00000000">
            <w:pPr>
              <w:rPr>
                <w:b/>
                <w:bCs/>
              </w:rPr>
            </w:pPr>
            <w:r>
              <w:rPr>
                <w:b/>
                <w:bCs/>
              </w:rPr>
              <w:t>Ingress / Networking</w:t>
            </w:r>
          </w:p>
        </w:tc>
        <w:tc>
          <w:tcPr>
            <w:tcW w:w="2160" w:type="dxa"/>
          </w:tcPr>
          <w:p w14:paraId="7A06639E" w14:textId="77777777" w:rsidR="00164018" w:rsidRDefault="00000000">
            <w:r>
              <w:t>Ingress Controllers, network policies, security</w:t>
            </w:r>
          </w:p>
        </w:tc>
        <w:tc>
          <w:tcPr>
            <w:tcW w:w="2353" w:type="dxa"/>
          </w:tcPr>
          <w:p w14:paraId="6228A712" w14:textId="77777777" w:rsidR="00164018" w:rsidRDefault="00000000">
            <w:r>
              <w:t>Ingress/TLS, DNS basics</w:t>
            </w:r>
          </w:p>
        </w:tc>
        <w:tc>
          <w:tcPr>
            <w:tcW w:w="2160" w:type="dxa"/>
          </w:tcPr>
          <w:p w14:paraId="4C9E5559" w14:textId="77777777" w:rsidR="00164018" w:rsidRDefault="00000000">
            <w:pPr>
              <w:rPr>
                <w:color w:val="00FF00"/>
              </w:rPr>
            </w:pPr>
            <w:r>
              <w:rPr>
                <w:color w:val="00FF00"/>
              </w:rPr>
              <w:t>Covered</w:t>
            </w:r>
          </w:p>
        </w:tc>
      </w:tr>
      <w:tr w:rsidR="00164018" w14:paraId="1962CEB5" w14:textId="77777777">
        <w:tc>
          <w:tcPr>
            <w:tcW w:w="2160" w:type="dxa"/>
            <w:shd w:val="clear" w:color="auto" w:fill="DBE5F1"/>
          </w:tcPr>
          <w:p w14:paraId="5155194C" w14:textId="77777777" w:rsidR="00164018" w:rsidRDefault="00000000">
            <w:pPr>
              <w:rPr>
                <w:b/>
                <w:bCs/>
              </w:rPr>
            </w:pPr>
            <w:r>
              <w:rPr>
                <w:b/>
                <w:bCs/>
              </w:rPr>
              <w:t>Kubernetes Security</w:t>
            </w:r>
          </w:p>
        </w:tc>
        <w:tc>
          <w:tcPr>
            <w:tcW w:w="2160" w:type="dxa"/>
          </w:tcPr>
          <w:p w14:paraId="48B869AD" w14:textId="77777777" w:rsidR="00164018" w:rsidRDefault="00000000">
            <w:r>
              <w:t>RBAC, namespaces, authentication, isolation</w:t>
            </w:r>
          </w:p>
        </w:tc>
        <w:tc>
          <w:tcPr>
            <w:tcW w:w="2353" w:type="dxa"/>
          </w:tcPr>
          <w:p w14:paraId="65BAEF5B" w14:textId="77777777" w:rsidR="00164018" w:rsidRDefault="00000000">
            <w:r>
              <w:t>RBAC, quotas, network policies</w:t>
            </w:r>
          </w:p>
        </w:tc>
        <w:tc>
          <w:tcPr>
            <w:tcW w:w="2160" w:type="dxa"/>
          </w:tcPr>
          <w:p w14:paraId="4F7D6A46" w14:textId="77777777" w:rsidR="00164018" w:rsidRDefault="00000000">
            <w:pPr>
              <w:rPr>
                <w:color w:val="00FF00"/>
              </w:rPr>
            </w:pPr>
            <w:r>
              <w:rPr>
                <w:color w:val="00FF00"/>
              </w:rPr>
              <w:t>Covered</w:t>
            </w:r>
          </w:p>
        </w:tc>
      </w:tr>
      <w:tr w:rsidR="00164018" w14:paraId="4703CBF2" w14:textId="77777777">
        <w:tc>
          <w:tcPr>
            <w:tcW w:w="2160" w:type="dxa"/>
            <w:shd w:val="clear" w:color="auto" w:fill="DBE5F1"/>
          </w:tcPr>
          <w:p w14:paraId="7EA0AFF8" w14:textId="77777777" w:rsidR="00164018" w:rsidRDefault="00000000">
            <w:pPr>
              <w:rPr>
                <w:b/>
                <w:bCs/>
              </w:rPr>
            </w:pPr>
            <w:r>
              <w:rPr>
                <w:b/>
                <w:bCs/>
              </w:rPr>
              <w:t>Observability</w:t>
            </w:r>
          </w:p>
        </w:tc>
        <w:tc>
          <w:tcPr>
            <w:tcW w:w="2160" w:type="dxa"/>
          </w:tcPr>
          <w:p w14:paraId="758BC277" w14:textId="77777777" w:rsidR="00164018" w:rsidRDefault="00000000">
            <w:r>
              <w:t>Metrics, logs, cluster events</w:t>
            </w:r>
          </w:p>
        </w:tc>
        <w:tc>
          <w:tcPr>
            <w:tcW w:w="2353" w:type="dxa"/>
          </w:tcPr>
          <w:p w14:paraId="0DB0355C" w14:textId="77777777" w:rsidR="00164018" w:rsidRDefault="00000000">
            <w:r>
              <w:t>Events, metrics, logs</w:t>
            </w:r>
          </w:p>
        </w:tc>
        <w:tc>
          <w:tcPr>
            <w:tcW w:w="2160" w:type="dxa"/>
          </w:tcPr>
          <w:p w14:paraId="3BFBD414" w14:textId="77777777" w:rsidR="00164018" w:rsidRDefault="00000000">
            <w:pPr>
              <w:rPr>
                <w:color w:val="00FF00"/>
              </w:rPr>
            </w:pPr>
            <w:r>
              <w:rPr>
                <w:color w:val="00FF00"/>
              </w:rPr>
              <w:t>Covered</w:t>
            </w:r>
          </w:p>
        </w:tc>
      </w:tr>
      <w:tr w:rsidR="00164018" w14:paraId="522FA16D" w14:textId="77777777">
        <w:tc>
          <w:tcPr>
            <w:tcW w:w="2160" w:type="dxa"/>
            <w:shd w:val="clear" w:color="auto" w:fill="DBE5F1"/>
          </w:tcPr>
          <w:p w14:paraId="77B3E418" w14:textId="77777777" w:rsidR="00164018" w:rsidRDefault="00000000">
            <w:pPr>
              <w:rPr>
                <w:b/>
                <w:bCs/>
              </w:rPr>
            </w:pPr>
            <w:r>
              <w:rPr>
                <w:b/>
                <w:bCs/>
              </w:rPr>
              <w:lastRenderedPageBreak/>
              <w:t>DBaaS – PostgreSQL Operations</w:t>
            </w:r>
          </w:p>
        </w:tc>
        <w:tc>
          <w:tcPr>
            <w:tcW w:w="2160" w:type="dxa"/>
          </w:tcPr>
          <w:p w14:paraId="4B425D1C" w14:textId="77777777" w:rsidR="00164018" w:rsidRDefault="00000000">
            <w:r>
              <w:t>HA, backups, restore, monitoring, patching, scalability</w:t>
            </w:r>
          </w:p>
        </w:tc>
        <w:tc>
          <w:tcPr>
            <w:tcW w:w="2353" w:type="dxa"/>
          </w:tcPr>
          <w:p w14:paraId="4BFAE6B2" w14:textId="77777777" w:rsidR="00164018" w:rsidRDefault="00000000">
            <w:r>
              <w:t>HA, backup verification, performance triage</w:t>
            </w:r>
          </w:p>
        </w:tc>
        <w:tc>
          <w:tcPr>
            <w:tcW w:w="2160" w:type="dxa"/>
          </w:tcPr>
          <w:p w14:paraId="7371073D" w14:textId="77777777" w:rsidR="00164018" w:rsidRDefault="00000000">
            <w:pPr>
              <w:rPr>
                <w:color w:val="00FF00"/>
              </w:rPr>
            </w:pPr>
            <w:r>
              <w:rPr>
                <w:color w:val="00FF00"/>
              </w:rPr>
              <w:t>Covered</w:t>
            </w:r>
          </w:p>
        </w:tc>
      </w:tr>
      <w:tr w:rsidR="00164018" w14:paraId="32D3D4E0" w14:textId="77777777">
        <w:tc>
          <w:tcPr>
            <w:tcW w:w="2160" w:type="dxa"/>
            <w:shd w:val="clear" w:color="auto" w:fill="DBE5F1"/>
          </w:tcPr>
          <w:p w14:paraId="0850AC97" w14:textId="77777777" w:rsidR="00164018" w:rsidRDefault="00000000">
            <w:pPr>
              <w:rPr>
                <w:b/>
                <w:bCs/>
              </w:rPr>
            </w:pPr>
            <w:r>
              <w:rPr>
                <w:b/>
                <w:bCs/>
              </w:rPr>
              <w:t>Database Access Management</w:t>
            </w:r>
          </w:p>
        </w:tc>
        <w:tc>
          <w:tcPr>
            <w:tcW w:w="2160" w:type="dxa"/>
          </w:tcPr>
          <w:p w14:paraId="19F9D61A" w14:textId="77777777" w:rsidR="00164018" w:rsidRDefault="00000000">
            <w:r>
              <w:t>User and administrative access management</w:t>
            </w:r>
          </w:p>
        </w:tc>
        <w:tc>
          <w:tcPr>
            <w:tcW w:w="2353" w:type="dxa"/>
          </w:tcPr>
          <w:p w14:paraId="20977498" w14:textId="77777777" w:rsidR="00164018" w:rsidRDefault="00000000">
            <w:r>
              <w:t>Privileged access, audit trails</w:t>
            </w:r>
          </w:p>
        </w:tc>
        <w:tc>
          <w:tcPr>
            <w:tcW w:w="2160" w:type="dxa"/>
          </w:tcPr>
          <w:p w14:paraId="6D60BA31" w14:textId="77777777" w:rsidR="00164018" w:rsidRDefault="00000000">
            <w:pPr>
              <w:rPr>
                <w:color w:val="00FF00"/>
              </w:rPr>
            </w:pPr>
            <w:r>
              <w:rPr>
                <w:color w:val="00FF00"/>
              </w:rPr>
              <w:t>Covered</w:t>
            </w:r>
          </w:p>
        </w:tc>
      </w:tr>
      <w:tr w:rsidR="00164018" w14:paraId="1F0D77AF" w14:textId="77777777">
        <w:tc>
          <w:tcPr>
            <w:tcW w:w="2160" w:type="dxa"/>
            <w:shd w:val="clear" w:color="auto" w:fill="DBE5F1"/>
          </w:tcPr>
          <w:p w14:paraId="039A5E95" w14:textId="77777777" w:rsidR="00164018" w:rsidRDefault="00000000">
            <w:pPr>
              <w:rPr>
                <w:b/>
                <w:bCs/>
              </w:rPr>
            </w:pPr>
            <w:r>
              <w:rPr>
                <w:b/>
                <w:bCs/>
              </w:rPr>
              <w:t>S3 Object Storage</w:t>
            </w:r>
          </w:p>
        </w:tc>
        <w:tc>
          <w:tcPr>
            <w:tcW w:w="2160" w:type="dxa"/>
          </w:tcPr>
          <w:p w14:paraId="542B3F5D" w14:textId="77777777" w:rsidR="00164018" w:rsidRDefault="00000000">
            <w:r>
              <w:t>Not included in contracted scope</w:t>
            </w:r>
          </w:p>
        </w:tc>
        <w:tc>
          <w:tcPr>
            <w:tcW w:w="2353" w:type="dxa"/>
          </w:tcPr>
          <w:p w14:paraId="1A2AA655" w14:textId="77777777" w:rsidR="00164018" w:rsidRDefault="00000000">
            <w:r>
              <w:t>IAM, lifecycle, retention</w:t>
            </w:r>
          </w:p>
        </w:tc>
        <w:tc>
          <w:tcPr>
            <w:tcW w:w="2160" w:type="dxa"/>
          </w:tcPr>
          <w:p w14:paraId="713BD2A8" w14:textId="77777777" w:rsidR="00164018" w:rsidRDefault="00000000">
            <w:pPr>
              <w:rPr>
                <w:color w:val="EE0000"/>
              </w:rPr>
            </w:pPr>
            <w:r>
              <w:rPr>
                <w:color w:val="EE0000"/>
              </w:rPr>
              <w:t>Not covered</w:t>
            </w:r>
          </w:p>
        </w:tc>
      </w:tr>
      <w:tr w:rsidR="00164018" w14:paraId="0031D05D" w14:textId="77777777">
        <w:tc>
          <w:tcPr>
            <w:tcW w:w="2160" w:type="dxa"/>
            <w:shd w:val="clear" w:color="auto" w:fill="DBE5F1"/>
          </w:tcPr>
          <w:p w14:paraId="62B549C4" w14:textId="77777777" w:rsidR="00164018" w:rsidRDefault="00000000">
            <w:pPr>
              <w:rPr>
                <w:b/>
                <w:bCs/>
              </w:rPr>
            </w:pPr>
            <w:r>
              <w:rPr>
                <w:b/>
                <w:bCs/>
              </w:rPr>
              <w:t>Platform Domains Support (Copernicus)</w:t>
            </w:r>
          </w:p>
        </w:tc>
        <w:tc>
          <w:tcPr>
            <w:tcW w:w="2160" w:type="dxa"/>
          </w:tcPr>
          <w:p w14:paraId="5FDBD232" w14:textId="77777777" w:rsidR="00164018" w:rsidRDefault="00000000">
            <w:r>
              <w:t>Not included (infrastructure only)</w:t>
            </w:r>
          </w:p>
        </w:tc>
        <w:tc>
          <w:tcPr>
            <w:tcW w:w="2353" w:type="dxa"/>
          </w:tcPr>
          <w:p w14:paraId="0F1BBAE2" w14:textId="77777777" w:rsidR="00164018" w:rsidRDefault="00000000">
            <w:r>
              <w:t>Ingestion, catalog, workflows, registry, workspace</w:t>
            </w:r>
          </w:p>
        </w:tc>
        <w:tc>
          <w:tcPr>
            <w:tcW w:w="2160" w:type="dxa"/>
          </w:tcPr>
          <w:p w14:paraId="35DD271A" w14:textId="77777777" w:rsidR="00164018" w:rsidRDefault="00000000">
            <w:pPr>
              <w:rPr>
                <w:color w:val="EE0000"/>
              </w:rPr>
            </w:pPr>
            <w:r>
              <w:rPr>
                <w:color w:val="EE0000"/>
              </w:rPr>
              <w:t>Not covered</w:t>
            </w:r>
          </w:p>
        </w:tc>
      </w:tr>
      <w:tr w:rsidR="00164018" w14:paraId="3944D983" w14:textId="77777777">
        <w:tc>
          <w:tcPr>
            <w:tcW w:w="2160" w:type="dxa"/>
            <w:shd w:val="clear" w:color="auto" w:fill="DBE5F1"/>
          </w:tcPr>
          <w:p w14:paraId="121330F1" w14:textId="77777777" w:rsidR="00164018" w:rsidRDefault="00000000">
            <w:pPr>
              <w:rPr>
                <w:b/>
                <w:bCs/>
              </w:rPr>
            </w:pPr>
            <w:r>
              <w:rPr>
                <w:b/>
                <w:bCs/>
              </w:rPr>
              <w:t>Advanced Incident Management</w:t>
            </w:r>
          </w:p>
        </w:tc>
        <w:tc>
          <w:tcPr>
            <w:tcW w:w="2160" w:type="dxa"/>
          </w:tcPr>
          <w:p w14:paraId="05494707" w14:textId="77777777" w:rsidR="00164018" w:rsidRDefault="00000000">
            <w:r>
              <w:t>Infrastructure incident operations</w:t>
            </w:r>
          </w:p>
        </w:tc>
        <w:tc>
          <w:tcPr>
            <w:tcW w:w="2353" w:type="dxa"/>
          </w:tcPr>
          <w:p w14:paraId="67367F3C" w14:textId="77777777" w:rsidR="00164018" w:rsidRDefault="00000000">
            <w:r>
              <w:t>Post-incident analysis, functional corrective actions</w:t>
            </w:r>
          </w:p>
        </w:tc>
        <w:tc>
          <w:tcPr>
            <w:tcW w:w="2160" w:type="dxa"/>
          </w:tcPr>
          <w:p w14:paraId="30BC0CD3" w14:textId="77777777" w:rsidR="00164018" w:rsidRDefault="00000000">
            <w:r>
              <w:t>Partial</w:t>
            </w:r>
          </w:p>
        </w:tc>
      </w:tr>
      <w:tr w:rsidR="00164018" w14:paraId="4C8B9841" w14:textId="77777777">
        <w:tc>
          <w:tcPr>
            <w:tcW w:w="2160" w:type="dxa"/>
            <w:shd w:val="clear" w:color="auto" w:fill="DBE5F1"/>
          </w:tcPr>
          <w:p w14:paraId="21594EC8" w14:textId="77777777" w:rsidR="00164018" w:rsidRDefault="00000000">
            <w:pPr>
              <w:rPr>
                <w:b/>
                <w:bCs/>
              </w:rPr>
            </w:pPr>
            <w:r>
              <w:rPr>
                <w:b/>
                <w:bCs/>
              </w:rPr>
              <w:t>Functional Change Management</w:t>
            </w:r>
          </w:p>
        </w:tc>
        <w:tc>
          <w:tcPr>
            <w:tcW w:w="2160" w:type="dxa"/>
          </w:tcPr>
          <w:p w14:paraId="7A30207A" w14:textId="77777777" w:rsidR="00164018" w:rsidRDefault="00000000">
            <w:r>
              <w:t>Infrastructure changes</w:t>
            </w:r>
          </w:p>
        </w:tc>
        <w:tc>
          <w:tcPr>
            <w:tcW w:w="2353" w:type="dxa"/>
          </w:tcPr>
          <w:p w14:paraId="235ACFA6" w14:textId="77777777" w:rsidR="00164018" w:rsidRDefault="00000000">
            <w:r>
              <w:t>Platform/middleware-level changes</w:t>
            </w:r>
          </w:p>
        </w:tc>
        <w:tc>
          <w:tcPr>
            <w:tcW w:w="2160" w:type="dxa"/>
          </w:tcPr>
          <w:p w14:paraId="6DDCD95C" w14:textId="77777777" w:rsidR="00164018" w:rsidRDefault="00000000">
            <w:pPr>
              <w:rPr>
                <w:color w:val="EE0000"/>
              </w:rPr>
            </w:pPr>
            <w:r>
              <w:rPr>
                <w:color w:val="EE0000"/>
              </w:rPr>
              <w:t>Not covered</w:t>
            </w:r>
          </w:p>
        </w:tc>
      </w:tr>
      <w:tr w:rsidR="00164018" w14:paraId="3728C6D2" w14:textId="77777777">
        <w:tc>
          <w:tcPr>
            <w:tcW w:w="2160" w:type="dxa"/>
            <w:shd w:val="clear" w:color="auto" w:fill="DBE5F1"/>
          </w:tcPr>
          <w:p w14:paraId="225CDCF1" w14:textId="77777777" w:rsidR="00164018" w:rsidRDefault="00000000">
            <w:pPr>
              <w:rPr>
                <w:b/>
                <w:bCs/>
              </w:rPr>
            </w:pPr>
            <w:r>
              <w:rPr>
                <w:b/>
                <w:bCs/>
              </w:rPr>
              <w:t>Operational Documentation</w:t>
            </w:r>
          </w:p>
        </w:tc>
        <w:tc>
          <w:tcPr>
            <w:tcW w:w="2160" w:type="dxa"/>
          </w:tcPr>
          <w:p w14:paraId="5F94CF88" w14:textId="77777777" w:rsidR="00164018" w:rsidRDefault="00000000">
            <w:r>
              <w:t>Configuration and change documentation</w:t>
            </w:r>
          </w:p>
        </w:tc>
        <w:tc>
          <w:tcPr>
            <w:tcW w:w="2353" w:type="dxa"/>
          </w:tcPr>
          <w:p w14:paraId="6AEA8745" w14:textId="77777777" w:rsidR="00164018" w:rsidRDefault="00000000">
            <w:r>
              <w:t>Runbooks, SOPs, platform checklists</w:t>
            </w:r>
          </w:p>
        </w:tc>
        <w:tc>
          <w:tcPr>
            <w:tcW w:w="2160" w:type="dxa"/>
          </w:tcPr>
          <w:p w14:paraId="42544D5D" w14:textId="77777777" w:rsidR="00164018" w:rsidRDefault="00000000">
            <w:r>
              <w:t>Partial</w:t>
            </w:r>
          </w:p>
        </w:tc>
      </w:tr>
      <w:tr w:rsidR="00164018" w14:paraId="1C2445E5" w14:textId="77777777">
        <w:tc>
          <w:tcPr>
            <w:tcW w:w="2160" w:type="dxa"/>
            <w:shd w:val="clear" w:color="auto" w:fill="DBE5F1"/>
          </w:tcPr>
          <w:p w14:paraId="32603E8E" w14:textId="77777777" w:rsidR="00164018" w:rsidRDefault="00000000">
            <w:pPr>
              <w:rPr>
                <w:b/>
                <w:bCs/>
              </w:rPr>
            </w:pPr>
            <w:r>
              <w:rPr>
                <w:b/>
                <w:bCs/>
              </w:rPr>
              <w:t>Middleware Optimization Engineering</w:t>
            </w:r>
          </w:p>
        </w:tc>
        <w:tc>
          <w:tcPr>
            <w:tcW w:w="2160" w:type="dxa"/>
          </w:tcPr>
          <w:p w14:paraId="314CA661" w14:textId="77777777" w:rsidR="00164018" w:rsidRDefault="00000000">
            <w:r>
              <w:t>Not included</w:t>
            </w:r>
          </w:p>
        </w:tc>
        <w:tc>
          <w:tcPr>
            <w:tcW w:w="2353" w:type="dxa"/>
          </w:tcPr>
          <w:p w14:paraId="64979414" w14:textId="77777777" w:rsidR="00164018" w:rsidRDefault="00000000">
            <w:r>
              <w:t>Performance tuning, backpressure, advanced sizing</w:t>
            </w:r>
          </w:p>
        </w:tc>
        <w:tc>
          <w:tcPr>
            <w:tcW w:w="2160" w:type="dxa"/>
          </w:tcPr>
          <w:p w14:paraId="2618AFFD" w14:textId="77777777" w:rsidR="00164018" w:rsidRDefault="00000000">
            <w:pPr>
              <w:rPr>
                <w:color w:val="EE0000"/>
              </w:rPr>
            </w:pPr>
            <w:r>
              <w:rPr>
                <w:color w:val="EE0000"/>
              </w:rPr>
              <w:t>Not covered</w:t>
            </w:r>
          </w:p>
        </w:tc>
      </w:tr>
    </w:tbl>
    <w:p w14:paraId="369A1285" w14:textId="77777777" w:rsidR="00164018" w:rsidRDefault="00000000">
      <w:r>
        <w:br w:type="page"/>
      </w:r>
    </w:p>
    <w:p w14:paraId="4FC55839" w14:textId="77777777" w:rsidR="00164018" w:rsidRDefault="00000000">
      <w:pPr>
        <w:pStyle w:val="Ttulo1"/>
      </w:pPr>
      <w:r>
        <w:lastRenderedPageBreak/>
        <w:t>Middleware Administrator Profile – Copernicus Platform</w:t>
      </w:r>
    </w:p>
    <w:p w14:paraId="60D66FBA" w14:textId="77777777" w:rsidR="00164018" w:rsidRDefault="00000000">
      <w:pPr>
        <w:pStyle w:val="Ttulo2"/>
      </w:pPr>
      <w:r>
        <w:t>Role Objective</w:t>
      </w:r>
    </w:p>
    <w:p w14:paraId="1D89176D" w14:textId="77777777" w:rsidR="00164018" w:rsidRDefault="00000000">
      <w:r>
        <w:t>The Middleware Administrator is responsible for the operation, logical configuration, technical supervision, and second-level support of the Copernicus Middleware deployed on managed Kubernetes (</w:t>
      </w:r>
      <w:proofErr w:type="spellStart"/>
      <w:r>
        <w:t>KaaS</w:t>
      </w:r>
      <w:proofErr w:type="spellEnd"/>
      <w:r>
        <w:t xml:space="preserve">) and third-party DBaaS services. This role does not manage </w:t>
      </w:r>
      <w:proofErr w:type="gramStart"/>
      <w:r>
        <w:t>infrastructure, but</w:t>
      </w:r>
      <w:proofErr w:type="gramEnd"/>
      <w:r>
        <w:t xml:space="preserve"> instead operates and supervises the Middleware runtime and its dependencies, acting as a technical liaison between the platform, the infrastructure provider, and ESA.</w:t>
      </w:r>
    </w:p>
    <w:p w14:paraId="2F5476CF" w14:textId="77777777" w:rsidR="00164018" w:rsidRDefault="00000000">
      <w:pPr>
        <w:pStyle w:val="Ttulo2"/>
      </w:pPr>
      <w:r>
        <w:t>General Scope of the Role</w:t>
      </w:r>
    </w:p>
    <w:p w14:paraId="565E9E3E" w14:textId="77777777" w:rsidR="00164018" w:rsidRDefault="00000000">
      <w:pPr>
        <w:numPr>
          <w:ilvl w:val="0"/>
          <w:numId w:val="1"/>
        </w:numPr>
        <w:pBdr>
          <w:top w:val="nil"/>
          <w:left w:val="nil"/>
          <w:bottom w:val="nil"/>
          <w:right w:val="nil"/>
          <w:between w:val="nil"/>
        </w:pBdr>
        <w:spacing w:after="0"/>
      </w:pPr>
      <w:r>
        <w:rPr>
          <w:color w:val="000000"/>
        </w:rPr>
        <w:t xml:space="preserve">Operate the </w:t>
      </w:r>
      <w:proofErr w:type="spellStart"/>
      <w:r>
        <w:rPr>
          <w:color w:val="000000"/>
        </w:rPr>
        <w:t>CopernicusLAC</w:t>
      </w:r>
      <w:proofErr w:type="spellEnd"/>
      <w:r>
        <w:rPr>
          <w:color w:val="000000"/>
        </w:rPr>
        <w:t xml:space="preserve"> Middleware at the application and runtime layer.</w:t>
      </w:r>
    </w:p>
    <w:p w14:paraId="06E98F76" w14:textId="77777777" w:rsidR="00164018" w:rsidRDefault="00000000">
      <w:pPr>
        <w:numPr>
          <w:ilvl w:val="0"/>
          <w:numId w:val="1"/>
        </w:numPr>
        <w:pBdr>
          <w:top w:val="nil"/>
          <w:left w:val="nil"/>
          <w:bottom w:val="nil"/>
          <w:right w:val="nil"/>
          <w:between w:val="nil"/>
        </w:pBdr>
        <w:spacing w:after="0"/>
      </w:pPr>
      <w:r>
        <w:rPr>
          <w:color w:val="000000"/>
        </w:rPr>
        <w:t>Configure and maintain logical components on top of Kubernetes (excluding base cluster management).</w:t>
      </w:r>
    </w:p>
    <w:p w14:paraId="49315AAA" w14:textId="77777777" w:rsidR="00164018" w:rsidRDefault="00000000">
      <w:pPr>
        <w:numPr>
          <w:ilvl w:val="0"/>
          <w:numId w:val="1"/>
        </w:numPr>
        <w:pBdr>
          <w:top w:val="nil"/>
          <w:left w:val="nil"/>
          <w:bottom w:val="nil"/>
          <w:right w:val="nil"/>
          <w:between w:val="nil"/>
        </w:pBdr>
        <w:spacing w:after="0"/>
      </w:pPr>
      <w:r>
        <w:rPr>
          <w:color w:val="000000"/>
        </w:rPr>
        <w:t>Diagnose functional and technical Middleware incidents.</w:t>
      </w:r>
    </w:p>
    <w:p w14:paraId="056FF976" w14:textId="77777777" w:rsidR="00164018" w:rsidRDefault="00000000">
      <w:pPr>
        <w:numPr>
          <w:ilvl w:val="0"/>
          <w:numId w:val="1"/>
        </w:numPr>
        <w:pBdr>
          <w:top w:val="nil"/>
          <w:left w:val="nil"/>
          <w:bottom w:val="nil"/>
          <w:right w:val="nil"/>
          <w:between w:val="nil"/>
        </w:pBdr>
        <w:spacing w:after="0"/>
      </w:pPr>
      <w:r>
        <w:rPr>
          <w:color w:val="000000"/>
        </w:rPr>
        <w:t xml:space="preserve">Ensure </w:t>
      </w:r>
      <w:proofErr w:type="spellStart"/>
      <w:r>
        <w:rPr>
          <w:color w:val="000000"/>
        </w:rPr>
        <w:t>KaaS</w:t>
      </w:r>
      <w:proofErr w:type="spellEnd"/>
      <w:r>
        <w:rPr>
          <w:color w:val="000000"/>
        </w:rPr>
        <w:t>, DBaaS, and storage services perform as expected.</w:t>
      </w:r>
    </w:p>
    <w:p w14:paraId="33C1E535" w14:textId="77777777" w:rsidR="00164018" w:rsidRDefault="00000000">
      <w:pPr>
        <w:numPr>
          <w:ilvl w:val="0"/>
          <w:numId w:val="1"/>
        </w:numPr>
        <w:pBdr>
          <w:top w:val="nil"/>
          <w:left w:val="nil"/>
          <w:bottom w:val="nil"/>
          <w:right w:val="nil"/>
          <w:between w:val="nil"/>
        </w:pBdr>
        <w:spacing w:after="0"/>
      </w:pPr>
      <w:r>
        <w:rPr>
          <w:color w:val="000000"/>
        </w:rPr>
        <w:t>Coordinate incidents, changes, and improvements with the infrastructure provider and ESA.</w:t>
      </w:r>
    </w:p>
    <w:p w14:paraId="3082E4B7" w14:textId="77777777" w:rsidR="00164018" w:rsidRDefault="00000000">
      <w:pPr>
        <w:numPr>
          <w:ilvl w:val="0"/>
          <w:numId w:val="1"/>
        </w:numPr>
        <w:pBdr>
          <w:top w:val="nil"/>
          <w:left w:val="nil"/>
          <w:bottom w:val="nil"/>
          <w:right w:val="nil"/>
          <w:between w:val="nil"/>
        </w:pBdr>
      </w:pPr>
      <w:r>
        <w:rPr>
          <w:color w:val="000000"/>
        </w:rPr>
        <w:t>Document configurations, procedures, and operational events.</w:t>
      </w:r>
    </w:p>
    <w:p w14:paraId="288D1EBE" w14:textId="77777777" w:rsidR="00164018" w:rsidRDefault="00000000">
      <w:pPr>
        <w:pStyle w:val="Ttulo2"/>
      </w:pPr>
      <w:r>
        <w:t>Core Technical Competencies</w:t>
      </w:r>
    </w:p>
    <w:p w14:paraId="48E125D5" w14:textId="77777777" w:rsidR="00164018" w:rsidRDefault="00000000">
      <w:pPr>
        <w:pStyle w:val="Ttulo3"/>
      </w:pPr>
      <w:r>
        <w:t>1. Middleware Operations on Kubernetes (Application Level)</w:t>
      </w:r>
    </w:p>
    <w:p w14:paraId="007528CF" w14:textId="77777777" w:rsidR="00164018" w:rsidRDefault="00000000">
      <w:r>
        <w:t xml:space="preserve">Deployment and operation of Middleware workloads using Helm and/or Kubernetes manifests, including rollouts, rollbacks, controlled updates, configuration of Deployments, </w:t>
      </w:r>
      <w:proofErr w:type="spellStart"/>
      <w:r>
        <w:t>StatefulSets</w:t>
      </w:r>
      <w:proofErr w:type="spellEnd"/>
      <w:r>
        <w:t xml:space="preserve">, Jobs, </w:t>
      </w:r>
      <w:proofErr w:type="spellStart"/>
      <w:r>
        <w:t>CronJobs</w:t>
      </w:r>
      <w:proofErr w:type="spellEnd"/>
      <w:r>
        <w:t xml:space="preserve">, </w:t>
      </w:r>
      <w:proofErr w:type="spellStart"/>
      <w:r>
        <w:t>ConfigMaps</w:t>
      </w:r>
      <w:proofErr w:type="spellEnd"/>
      <w:r>
        <w:t>, and Secrets. Includes log inspection, basic diagnostics, and review of events and metrics for troubleshooting purposes only.</w:t>
      </w:r>
      <w:r>
        <w:br/>
      </w:r>
      <w:r>
        <w:br/>
        <w:t>Excludes cluster upgrades, ETCD management, OS patching, or base runtime maintenance.</w:t>
      </w:r>
    </w:p>
    <w:p w14:paraId="29AB4B2B" w14:textId="77777777" w:rsidR="00164018" w:rsidRDefault="00000000">
      <w:pPr>
        <w:pStyle w:val="Ttulo3"/>
      </w:pPr>
      <w:r>
        <w:t xml:space="preserve">2. Logical Configuration on </w:t>
      </w:r>
      <w:proofErr w:type="spellStart"/>
      <w:r>
        <w:t>KaaS</w:t>
      </w:r>
      <w:proofErr w:type="spellEnd"/>
      <w:r>
        <w:t xml:space="preserve"> (No Service Administration)</w:t>
      </w:r>
    </w:p>
    <w:p w14:paraId="2B6F6C6B" w14:textId="77777777" w:rsidR="00164018" w:rsidRDefault="00000000">
      <w:r>
        <w:t xml:space="preserve">Configuration and usage of provider-managed </w:t>
      </w:r>
      <w:proofErr w:type="spellStart"/>
      <w:r>
        <w:t>StorageClasses</w:t>
      </w:r>
      <w:proofErr w:type="spellEnd"/>
      <w:r>
        <w:t xml:space="preserve">, </w:t>
      </w:r>
      <w:proofErr w:type="spellStart"/>
      <w:r>
        <w:t>PersistentVolumes</w:t>
      </w:r>
      <w:proofErr w:type="spellEnd"/>
      <w:r>
        <w:t xml:space="preserve"> and Claims, Middleware-specific Ingress resources, application-level TLS certificates, and logical use of namespaces, RBAC, quotas, and network policies.</w:t>
      </w:r>
    </w:p>
    <w:p w14:paraId="6C9F01E6" w14:textId="77777777" w:rsidR="00164018" w:rsidRDefault="00000000">
      <w:pPr>
        <w:pStyle w:val="Ttulo3"/>
      </w:pPr>
      <w:r>
        <w:t>3. DBaaS Operations and Supervision</w:t>
      </w:r>
    </w:p>
    <w:p w14:paraId="2B18BF84" w14:textId="77777777" w:rsidR="00164018" w:rsidRDefault="00000000">
      <w:r>
        <w:t>Operational monitoring of managed databases (availability, connectivity, basic performance), backup verification, restore testing (when defined), diagnosis of connectivity issues and basic bottlenecks, and coordination with the DBaaS provider for incidents, scalability, and planned changes.</w:t>
      </w:r>
      <w:r>
        <w:br/>
      </w:r>
      <w:r>
        <w:br/>
        <w:t>Excludes engine administration, patching, HA configuration, and backup execution.</w:t>
      </w:r>
    </w:p>
    <w:p w14:paraId="6F77FCD9" w14:textId="77777777" w:rsidR="00164018" w:rsidRDefault="00000000">
      <w:pPr>
        <w:pStyle w:val="Ttulo3"/>
      </w:pPr>
      <w:r>
        <w:lastRenderedPageBreak/>
        <w:t>4. Object Storage Operations (S3-Compatible)</w:t>
      </w:r>
    </w:p>
    <w:p w14:paraId="692BFF20" w14:textId="77777777" w:rsidR="00164018" w:rsidRDefault="00000000">
      <w:r>
        <w:t>Operational use of S3-compatible object storage, including access validation, bucket and policy verification, basic performance monitoring, and coordination with the provider for integrity or data recovery issues.</w:t>
      </w:r>
    </w:p>
    <w:p w14:paraId="57E756D9" w14:textId="77777777" w:rsidR="00164018" w:rsidRDefault="00000000">
      <w:pPr>
        <w:pStyle w:val="Ttulo2"/>
      </w:pPr>
      <w:r>
        <w:t>Operational and Process Competencies</w:t>
      </w:r>
    </w:p>
    <w:p w14:paraId="60FBB612" w14:textId="77777777" w:rsidR="00164018" w:rsidRDefault="00000000">
      <w:r>
        <w:t>Monitoring and observability, structured incident management, change management, operational security, documentation (runbooks, SOPs, checklists), and coordination with infrastructure providers, ESA, and internal technical users.</w:t>
      </w:r>
    </w:p>
    <w:p w14:paraId="3384B851" w14:textId="77777777" w:rsidR="00164018" w:rsidRDefault="00164018"/>
    <w:p w14:paraId="059FC4DC" w14:textId="77777777" w:rsidR="00164018" w:rsidRDefault="00164018"/>
    <w:p w14:paraId="296E2438" w14:textId="651F9278" w:rsidR="009927D1" w:rsidRPr="009927D1" w:rsidRDefault="00000000" w:rsidP="009927D1">
      <w:r>
        <w:br w:type="page"/>
      </w:r>
    </w:p>
    <w:p w14:paraId="0C352068" w14:textId="43EE5636" w:rsidR="009927D1" w:rsidRPr="009927D1" w:rsidRDefault="009927D1" w:rsidP="009927D1">
      <w:pPr>
        <w:pStyle w:val="Ttulo3"/>
        <w:rPr>
          <w:sz w:val="32"/>
          <w:szCs w:val="32"/>
          <w:lang w:val="es-PA"/>
        </w:rPr>
      </w:pPr>
      <w:r w:rsidRPr="009927D1">
        <w:rPr>
          <w:sz w:val="32"/>
          <w:szCs w:val="32"/>
          <w:lang w:val="es-PA"/>
        </w:rPr>
        <w:lastRenderedPageBreak/>
        <w:t>Perfil del Administrador de Middleware – Plataforma Copernicus</w:t>
      </w:r>
    </w:p>
    <w:p w14:paraId="6D28E762" w14:textId="77777777" w:rsidR="009927D1" w:rsidRDefault="009927D1" w:rsidP="009927D1">
      <w:pPr>
        <w:pStyle w:val="NormalWeb"/>
      </w:pPr>
      <w:r>
        <w:rPr>
          <w:rStyle w:val="Textoennegrita"/>
        </w:rPr>
        <w:t>Objetivo del Rol</w:t>
      </w:r>
      <w:r>
        <w:br/>
        <w:t xml:space="preserve">El Administrador de Middleware es responsable de la operación, configuración lógica, supervisión técnica y soporte de segundo nivel del Middleware de Copernicus desplegado sobre </w:t>
      </w:r>
      <w:proofErr w:type="spellStart"/>
      <w:r>
        <w:t>Kubernetes</w:t>
      </w:r>
      <w:proofErr w:type="spellEnd"/>
      <w:r>
        <w:t xml:space="preserve"> administrado (KaaS) y servicios </w:t>
      </w:r>
      <w:proofErr w:type="spellStart"/>
      <w:r>
        <w:t>DBaaS</w:t>
      </w:r>
      <w:proofErr w:type="spellEnd"/>
      <w:r>
        <w:t xml:space="preserve"> de terceros. Este rol no administra la infraestructura; su función es operar y supervisar el entorno de ejecución del Middleware y sus dependencias, actuando como enlace técnico entre la plataforma, el proveedor de infraestructura y la ESA.</w:t>
      </w:r>
    </w:p>
    <w:p w14:paraId="55417DE1" w14:textId="77777777" w:rsidR="009927D1" w:rsidRDefault="009927D1" w:rsidP="009927D1">
      <w:pPr>
        <w:pStyle w:val="NormalWeb"/>
      </w:pPr>
      <w:r>
        <w:rPr>
          <w:rStyle w:val="Textoennegrita"/>
        </w:rPr>
        <w:t>Alcance General del Rol</w:t>
      </w:r>
    </w:p>
    <w:p w14:paraId="4C871481" w14:textId="77777777" w:rsidR="009927D1" w:rsidRDefault="009927D1" w:rsidP="009927D1">
      <w:pPr>
        <w:pStyle w:val="NormalWeb"/>
        <w:numPr>
          <w:ilvl w:val="0"/>
          <w:numId w:val="7"/>
        </w:numPr>
        <w:jc w:val="both"/>
      </w:pPr>
      <w:r>
        <w:t xml:space="preserve">Operar el Middleware </w:t>
      </w:r>
      <w:proofErr w:type="spellStart"/>
      <w:r>
        <w:t>CopernicusLAC</w:t>
      </w:r>
      <w:proofErr w:type="spellEnd"/>
      <w:r>
        <w:t xml:space="preserve"> a nivel de aplicación y </w:t>
      </w:r>
      <w:proofErr w:type="spellStart"/>
      <w:r>
        <w:t>runtime</w:t>
      </w:r>
      <w:proofErr w:type="spellEnd"/>
      <w:r>
        <w:t>.</w:t>
      </w:r>
    </w:p>
    <w:p w14:paraId="752A64B0" w14:textId="77777777" w:rsidR="009927D1" w:rsidRDefault="009927D1" w:rsidP="009927D1">
      <w:pPr>
        <w:pStyle w:val="NormalWeb"/>
        <w:numPr>
          <w:ilvl w:val="0"/>
          <w:numId w:val="7"/>
        </w:numPr>
        <w:jc w:val="both"/>
      </w:pPr>
      <w:r>
        <w:t xml:space="preserve">Configurar y mantener componentes lógicos sobre </w:t>
      </w:r>
      <w:proofErr w:type="spellStart"/>
      <w:r>
        <w:t>Kubernetes</w:t>
      </w:r>
      <w:proofErr w:type="spellEnd"/>
      <w:r>
        <w:t xml:space="preserve"> (excluyendo la administración del clúster base).</w:t>
      </w:r>
    </w:p>
    <w:p w14:paraId="7665AD3E" w14:textId="77777777" w:rsidR="009927D1" w:rsidRDefault="009927D1" w:rsidP="009927D1">
      <w:pPr>
        <w:pStyle w:val="NormalWeb"/>
        <w:numPr>
          <w:ilvl w:val="0"/>
          <w:numId w:val="7"/>
        </w:numPr>
        <w:jc w:val="both"/>
      </w:pPr>
      <w:r>
        <w:t>Diagnosticar incidentes funcionales y técnicos del Middleware.</w:t>
      </w:r>
    </w:p>
    <w:p w14:paraId="35B426B9" w14:textId="77777777" w:rsidR="009927D1" w:rsidRDefault="009927D1" w:rsidP="009927D1">
      <w:pPr>
        <w:pStyle w:val="NormalWeb"/>
        <w:numPr>
          <w:ilvl w:val="0"/>
          <w:numId w:val="7"/>
        </w:numPr>
        <w:jc w:val="both"/>
      </w:pPr>
      <w:r>
        <w:t xml:space="preserve">Asegurar el correcto funcionamiento de los servicios KaaS, </w:t>
      </w:r>
      <w:proofErr w:type="spellStart"/>
      <w:r>
        <w:t>DBaaS</w:t>
      </w:r>
      <w:proofErr w:type="spellEnd"/>
      <w:r>
        <w:t xml:space="preserve"> y de almacenamiento.</w:t>
      </w:r>
    </w:p>
    <w:p w14:paraId="5B3E6325" w14:textId="77777777" w:rsidR="009927D1" w:rsidRDefault="009927D1" w:rsidP="009927D1">
      <w:pPr>
        <w:pStyle w:val="NormalWeb"/>
        <w:numPr>
          <w:ilvl w:val="0"/>
          <w:numId w:val="7"/>
        </w:numPr>
        <w:jc w:val="both"/>
      </w:pPr>
      <w:r>
        <w:t>Coordinar incidentes, cambios y mejoras con el proveedor de infraestructura y la ESA.</w:t>
      </w:r>
    </w:p>
    <w:p w14:paraId="036E576A" w14:textId="77777777" w:rsidR="009927D1" w:rsidRDefault="009927D1" w:rsidP="009927D1">
      <w:pPr>
        <w:pStyle w:val="NormalWeb"/>
        <w:numPr>
          <w:ilvl w:val="0"/>
          <w:numId w:val="7"/>
        </w:numPr>
        <w:jc w:val="both"/>
      </w:pPr>
      <w:r>
        <w:t>Documentar configuraciones, procedimientos y eventos operativos.</w:t>
      </w:r>
    </w:p>
    <w:p w14:paraId="3B1C303C" w14:textId="77777777" w:rsidR="009927D1" w:rsidRDefault="009927D1" w:rsidP="009927D1">
      <w:pPr>
        <w:pStyle w:val="NormalWeb"/>
      </w:pPr>
      <w:r>
        <w:rPr>
          <w:rStyle w:val="Textoennegrita"/>
        </w:rPr>
        <w:t>Competencias Técnicas Clave</w:t>
      </w:r>
    </w:p>
    <w:p w14:paraId="43734683" w14:textId="77777777" w:rsidR="009927D1" w:rsidRDefault="009927D1" w:rsidP="009927D1">
      <w:pPr>
        <w:pStyle w:val="NormalWeb"/>
      </w:pPr>
      <w:r>
        <w:rPr>
          <w:rStyle w:val="Textoennegrita"/>
        </w:rPr>
        <w:t xml:space="preserve">1. Operación de Middleware sobre </w:t>
      </w:r>
      <w:proofErr w:type="spellStart"/>
      <w:r>
        <w:rPr>
          <w:rStyle w:val="Textoennegrita"/>
        </w:rPr>
        <w:t>Kubernetes</w:t>
      </w:r>
      <w:proofErr w:type="spellEnd"/>
      <w:r>
        <w:rPr>
          <w:rStyle w:val="Textoennegrita"/>
        </w:rPr>
        <w:t xml:space="preserve"> (Nivel de Aplicación)</w:t>
      </w:r>
      <w:r>
        <w:br/>
        <w:t xml:space="preserve">Despliegue y operación de cargas de trabajo del Middleware utilizando Helm y/o manifiestos de </w:t>
      </w:r>
      <w:proofErr w:type="spellStart"/>
      <w:r>
        <w:t>Kubernetes</w:t>
      </w:r>
      <w:proofErr w:type="spellEnd"/>
      <w:r>
        <w:t xml:space="preserve">, incluyendo </w:t>
      </w:r>
      <w:proofErr w:type="spellStart"/>
      <w:r>
        <w:t>rollouts</w:t>
      </w:r>
      <w:proofErr w:type="spellEnd"/>
      <w:r>
        <w:t xml:space="preserve">, </w:t>
      </w:r>
      <w:proofErr w:type="spellStart"/>
      <w:r>
        <w:t>rollbacks</w:t>
      </w:r>
      <w:proofErr w:type="spellEnd"/>
      <w:r>
        <w:t xml:space="preserve">, actualizaciones controladas y configuración de </w:t>
      </w:r>
      <w:proofErr w:type="spellStart"/>
      <w:r>
        <w:t>Deployments</w:t>
      </w:r>
      <w:proofErr w:type="spellEnd"/>
      <w:r>
        <w:t xml:space="preserve">, </w:t>
      </w:r>
      <w:proofErr w:type="spellStart"/>
      <w:r>
        <w:t>StatefulSets</w:t>
      </w:r>
      <w:proofErr w:type="spellEnd"/>
      <w:r>
        <w:t xml:space="preserve">, Jobs, </w:t>
      </w:r>
      <w:proofErr w:type="spellStart"/>
      <w:r>
        <w:t>CronJobs</w:t>
      </w:r>
      <w:proofErr w:type="spellEnd"/>
      <w:r>
        <w:t xml:space="preserve">, </w:t>
      </w:r>
      <w:proofErr w:type="spellStart"/>
      <w:r>
        <w:t>ConfigMaps</w:t>
      </w:r>
      <w:proofErr w:type="spellEnd"/>
      <w:r>
        <w:t xml:space="preserve"> y </w:t>
      </w:r>
      <w:proofErr w:type="spellStart"/>
      <w:r>
        <w:t>Secrets</w:t>
      </w:r>
      <w:proofErr w:type="spellEnd"/>
      <w:r>
        <w:t>. Incluye revisión de logs, diagnósticos básicos y análisis de eventos y métricas únicamente con fines de resolución de incidentes.</w:t>
      </w:r>
    </w:p>
    <w:p w14:paraId="3864EBD4" w14:textId="77777777" w:rsidR="009927D1" w:rsidRDefault="009927D1" w:rsidP="009927D1">
      <w:pPr>
        <w:pStyle w:val="NormalWeb"/>
      </w:pPr>
      <w:r>
        <w:rPr>
          <w:rStyle w:val="nfasis"/>
        </w:rPr>
        <w:t xml:space="preserve">Excluye actualizaciones del clúster, gestión de ETCD, parchado del sistema operativo o mantenimiento del </w:t>
      </w:r>
      <w:proofErr w:type="spellStart"/>
      <w:r>
        <w:rPr>
          <w:rStyle w:val="nfasis"/>
        </w:rPr>
        <w:t>runtime</w:t>
      </w:r>
      <w:proofErr w:type="spellEnd"/>
      <w:r>
        <w:rPr>
          <w:rStyle w:val="nfasis"/>
        </w:rPr>
        <w:t xml:space="preserve"> base.</w:t>
      </w:r>
    </w:p>
    <w:p w14:paraId="12B7EE7F" w14:textId="77777777" w:rsidR="009927D1" w:rsidRDefault="009927D1" w:rsidP="009927D1">
      <w:pPr>
        <w:pStyle w:val="NormalWeb"/>
      </w:pPr>
      <w:r>
        <w:rPr>
          <w:rStyle w:val="Textoennegrita"/>
        </w:rPr>
        <w:t>2. Configuración Lógica sobre KaaS (Sin Administración del Servicio)</w:t>
      </w:r>
      <w:r>
        <w:br/>
        <w:t xml:space="preserve">Configuración y uso de </w:t>
      </w:r>
      <w:proofErr w:type="spellStart"/>
      <w:r>
        <w:t>StorageClasses</w:t>
      </w:r>
      <w:proofErr w:type="spellEnd"/>
      <w:r>
        <w:t xml:space="preserve"> administradas por el proveedor, </w:t>
      </w:r>
      <w:proofErr w:type="spellStart"/>
      <w:r>
        <w:t>PersistentVolumes</w:t>
      </w:r>
      <w:proofErr w:type="spellEnd"/>
      <w:r>
        <w:t xml:space="preserve"> y </w:t>
      </w:r>
      <w:proofErr w:type="spellStart"/>
      <w:r>
        <w:t>PersistentVolumeClaims</w:t>
      </w:r>
      <w:proofErr w:type="spellEnd"/>
      <w:r>
        <w:t xml:space="preserve">, recursos </w:t>
      </w:r>
      <w:proofErr w:type="spellStart"/>
      <w:r>
        <w:t>Ingress</w:t>
      </w:r>
      <w:proofErr w:type="spellEnd"/>
      <w:r>
        <w:t xml:space="preserve"> específicos del Middleware, certificados TLS a nivel de aplicación, y uso lógico de </w:t>
      </w:r>
      <w:proofErr w:type="spellStart"/>
      <w:r>
        <w:t>namespaces</w:t>
      </w:r>
      <w:proofErr w:type="spellEnd"/>
      <w:r>
        <w:t>, RBAC, cuotas y políticas de red.</w:t>
      </w:r>
    </w:p>
    <w:p w14:paraId="354546BE" w14:textId="77777777" w:rsidR="009927D1" w:rsidRDefault="009927D1" w:rsidP="009927D1">
      <w:pPr>
        <w:pStyle w:val="NormalWeb"/>
      </w:pPr>
      <w:r>
        <w:rPr>
          <w:rStyle w:val="Textoennegrita"/>
        </w:rPr>
        <w:t xml:space="preserve">3. Operación y Supervisión de </w:t>
      </w:r>
      <w:proofErr w:type="spellStart"/>
      <w:r>
        <w:rPr>
          <w:rStyle w:val="Textoennegrita"/>
        </w:rPr>
        <w:t>DBaaS</w:t>
      </w:r>
      <w:proofErr w:type="spellEnd"/>
      <w:r>
        <w:br/>
        <w:t xml:space="preserve">Monitoreo operativo de bases de datos administradas (disponibilidad, conectividad y desempeño básico), verificación de respaldos, pruebas de restauración (cuando estén definidas), diagnóstico de problemas de conectividad y cuellos de botella básicos, así como coordinación con el proveedor </w:t>
      </w:r>
      <w:proofErr w:type="spellStart"/>
      <w:r>
        <w:t>DBaaS</w:t>
      </w:r>
      <w:proofErr w:type="spellEnd"/>
      <w:r>
        <w:t xml:space="preserve"> para la atención de incidentes, escalabilidad y cambios planificados.</w:t>
      </w:r>
    </w:p>
    <w:p w14:paraId="3DB7C13D" w14:textId="77777777" w:rsidR="009927D1" w:rsidRDefault="009927D1" w:rsidP="009927D1">
      <w:pPr>
        <w:pStyle w:val="NormalWeb"/>
      </w:pPr>
      <w:r>
        <w:rPr>
          <w:rStyle w:val="nfasis"/>
        </w:rPr>
        <w:lastRenderedPageBreak/>
        <w:t>Excluye la administración del motor de base de datos, parchado, configuración de alta disponibilidad y ejecución de respaldos.</w:t>
      </w:r>
    </w:p>
    <w:p w14:paraId="4D7D0F4F" w14:textId="77777777" w:rsidR="009927D1" w:rsidRDefault="009927D1" w:rsidP="009927D1">
      <w:pPr>
        <w:pStyle w:val="NormalWeb"/>
      </w:pPr>
      <w:r>
        <w:rPr>
          <w:rStyle w:val="Textoennegrita"/>
        </w:rPr>
        <w:t>4. Operación de Almacenamiento de Objetos (Compatible con S3)</w:t>
      </w:r>
      <w:r>
        <w:br/>
        <w:t xml:space="preserve">Uso operativo de almacenamiento de objetos compatible con S3, incluyendo validación de accesos, verificación de </w:t>
      </w:r>
      <w:proofErr w:type="spellStart"/>
      <w:r>
        <w:t>buckets</w:t>
      </w:r>
      <w:proofErr w:type="spellEnd"/>
      <w:r>
        <w:t xml:space="preserve"> y políticas, monitoreo básico de desempeño y coordinación con el proveedor ante temas de integridad o recuperación de datos.</w:t>
      </w:r>
    </w:p>
    <w:p w14:paraId="51C134D9" w14:textId="77777777" w:rsidR="009927D1" w:rsidRDefault="009927D1" w:rsidP="009927D1">
      <w:pPr>
        <w:pStyle w:val="NormalWeb"/>
      </w:pPr>
      <w:r>
        <w:rPr>
          <w:rStyle w:val="Textoennegrita"/>
        </w:rPr>
        <w:t>Competencias Operativas y de Proceso</w:t>
      </w:r>
      <w:r>
        <w:br/>
        <w:t xml:space="preserve">Monitoreo y </w:t>
      </w:r>
      <w:proofErr w:type="spellStart"/>
      <w:r>
        <w:t>observabilidad</w:t>
      </w:r>
      <w:proofErr w:type="spellEnd"/>
      <w:r>
        <w:t>, gestión estructurada de incidentes, gestión de cambios, seguridad operativa, documentación (</w:t>
      </w:r>
      <w:proofErr w:type="spellStart"/>
      <w:r>
        <w:t>runbooks</w:t>
      </w:r>
      <w:proofErr w:type="spellEnd"/>
      <w:r>
        <w:t xml:space="preserve">, </w:t>
      </w:r>
      <w:proofErr w:type="spellStart"/>
      <w:r>
        <w:t>SOPs</w:t>
      </w:r>
      <w:proofErr w:type="spellEnd"/>
      <w:r>
        <w:t>, listas de verificación) y coordinación con proveedores de infraestructura, la ESA y usuarios técnicos internos.</w:t>
      </w:r>
    </w:p>
    <w:p w14:paraId="1DCC1473" w14:textId="167934F6" w:rsidR="009927D1" w:rsidRDefault="009927D1">
      <w:pPr>
        <w:rPr>
          <w:rFonts w:ascii="Calibri" w:eastAsia="Calibri" w:hAnsi="Calibri" w:cs="Calibri"/>
          <w:b/>
          <w:bCs/>
          <w:color w:val="366091"/>
          <w:sz w:val="28"/>
          <w:szCs w:val="28"/>
          <w:lang w:val="es-PA"/>
        </w:rPr>
      </w:pPr>
      <w:r>
        <w:rPr>
          <w:rFonts w:ascii="Calibri" w:eastAsia="Calibri" w:hAnsi="Calibri" w:cs="Calibri"/>
          <w:b/>
          <w:bCs/>
          <w:color w:val="366091"/>
          <w:sz w:val="28"/>
          <w:szCs w:val="28"/>
          <w:lang w:val="es-PA"/>
        </w:rPr>
        <w:br w:type="page"/>
      </w:r>
    </w:p>
    <w:p w14:paraId="5C459D35" w14:textId="77777777" w:rsidR="00164018" w:rsidRDefault="00000000">
      <w:pPr>
        <w:pStyle w:val="Ttulo1"/>
      </w:pPr>
      <w:r>
        <w:lastRenderedPageBreak/>
        <w:t>Gap Analysis</w:t>
      </w:r>
    </w:p>
    <w:p w14:paraId="75ACE985" w14:textId="77777777" w:rsidR="00164018" w:rsidRDefault="00000000">
      <w:r>
        <w:t xml:space="preserve">This document presents a gap analysis between the scope of services already contracted (IaaS / </w:t>
      </w:r>
      <w:proofErr w:type="spellStart"/>
      <w:r>
        <w:t>KaaS</w:t>
      </w:r>
      <w:proofErr w:type="spellEnd"/>
      <w:r>
        <w:t xml:space="preserve"> / DBaaS) and the Middleware Administrator profile requested by ESA for the Copernicus Platform. The objective of this analysis is to clarify overlaps, partial coverage, and uncovered responsibilities, </w:t>
      </w:r>
      <w:proofErr w:type="gramStart"/>
      <w:r>
        <w:t>in order to</w:t>
      </w:r>
      <w:proofErr w:type="gramEnd"/>
      <w:r>
        <w:t xml:space="preserve"> avoid duplication of roles and to clearly define accountability.</w:t>
      </w:r>
    </w:p>
    <w:p w14:paraId="05878968" w14:textId="77777777" w:rsidR="00164018" w:rsidRDefault="00000000">
      <w:pPr>
        <w:pStyle w:val="Ttulo2"/>
      </w:pPr>
      <w:r>
        <w:t>Key Findings</w:t>
      </w:r>
    </w:p>
    <w:p w14:paraId="3BAF1873" w14:textId="77777777" w:rsidR="00164018" w:rsidRDefault="00000000">
      <w:pPr>
        <w:numPr>
          <w:ilvl w:val="0"/>
          <w:numId w:val="1"/>
        </w:numPr>
        <w:pBdr>
          <w:top w:val="nil"/>
          <w:left w:val="nil"/>
          <w:bottom w:val="nil"/>
          <w:right w:val="nil"/>
          <w:between w:val="nil"/>
        </w:pBdr>
        <w:spacing w:after="0"/>
      </w:pPr>
      <w:r>
        <w:rPr>
          <w:color w:val="000000"/>
        </w:rPr>
        <w:t>Several of the competencies requested by ESA are already fully covered under the contracted infrastructure and managed services scope, particularly those related to Kubernetes cluster lifecycle, security, observability, and DBaaS operations.</w:t>
      </w:r>
    </w:p>
    <w:p w14:paraId="4749BA0F" w14:textId="77777777" w:rsidR="00164018" w:rsidRDefault="00000000">
      <w:pPr>
        <w:numPr>
          <w:ilvl w:val="0"/>
          <w:numId w:val="1"/>
        </w:numPr>
        <w:pBdr>
          <w:top w:val="nil"/>
          <w:left w:val="nil"/>
          <w:bottom w:val="nil"/>
          <w:right w:val="nil"/>
          <w:between w:val="nil"/>
        </w:pBdr>
        <w:spacing w:after="0"/>
      </w:pPr>
      <w:r>
        <w:rPr>
          <w:color w:val="000000"/>
        </w:rPr>
        <w:t>Some functions requested by ESA are only partially covered, mainly where the contracted scope focuses on infrastructure-level operations, while ESA expectations extend into application- or middleware-level activities.</w:t>
      </w:r>
    </w:p>
    <w:p w14:paraId="7273B9D2" w14:textId="77777777" w:rsidR="00164018" w:rsidRDefault="00000000">
      <w:pPr>
        <w:numPr>
          <w:ilvl w:val="0"/>
          <w:numId w:val="1"/>
        </w:numPr>
        <w:pBdr>
          <w:top w:val="nil"/>
          <w:left w:val="nil"/>
          <w:bottom w:val="nil"/>
          <w:right w:val="nil"/>
          <w:between w:val="nil"/>
        </w:pBdr>
      </w:pPr>
      <w:proofErr w:type="gramStart"/>
      <w:r>
        <w:rPr>
          <w:color w:val="000000"/>
        </w:rPr>
        <w:t>A number of</w:t>
      </w:r>
      <w:proofErr w:type="gramEnd"/>
      <w:r>
        <w:rPr>
          <w:color w:val="000000"/>
        </w:rPr>
        <w:t xml:space="preserve"> competencies requested by ESA are not included in the contracted scope. These gaps are concentrated around Middleware functional domains, S3 object storage management, advanced incident management, functional change management, and Middleware performance optimization.</w:t>
      </w:r>
    </w:p>
    <w:p w14:paraId="5CACAE77" w14:textId="77777777" w:rsidR="00164018" w:rsidRDefault="00000000">
      <w:pPr>
        <w:pStyle w:val="Ttulo2"/>
      </w:pPr>
      <w:r>
        <w:t>Conclusion</w:t>
      </w:r>
    </w:p>
    <w:p w14:paraId="67ADEAC3" w14:textId="77777777" w:rsidR="00164018" w:rsidRDefault="00000000">
      <w:r>
        <w:t>The analysis confirms that the ESA-requested Middleware Administrator role is distinct from the contracted infrastructure and managed services scope. While there is partial operational overlap, the Middleware Administrator primarily addresses application-layer and functional responsibilities that are not covered by the existing contract.</w:t>
      </w:r>
    </w:p>
    <w:p w14:paraId="16142B63" w14:textId="77777777" w:rsidR="00164018" w:rsidRDefault="00000000">
      <w:pPr>
        <w:pStyle w:val="Ttulo2"/>
      </w:pPr>
      <w:r>
        <w:t>Recommendation</w:t>
      </w:r>
    </w:p>
    <w:p w14:paraId="1ED121B3" w14:textId="77777777" w:rsidR="00164018" w:rsidRDefault="00000000">
      <w:r>
        <w:t>It is recommended to formally define the Middleware Administrator as a complementary role focused on Middleware operation, functional troubleshooting, and coordination with ESA and the infrastructure provider, ensuring clear accountability and reducing operational risk.</w:t>
      </w:r>
    </w:p>
    <w:p w14:paraId="5806945C" w14:textId="77777777" w:rsidR="00164018" w:rsidRDefault="00164018"/>
    <w:sectPr w:rsidR="00164018">
      <w:headerReference w:type="even" r:id="rId8"/>
      <w:headerReference w:type="default" r:id="rId9"/>
      <w:headerReference w:type="first" r:id="rId10"/>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2B05" w14:textId="77777777" w:rsidR="00BB5F52" w:rsidRDefault="00BB5F52" w:rsidP="009927D1">
      <w:pPr>
        <w:spacing w:after="0" w:line="240" w:lineRule="auto"/>
      </w:pPr>
      <w:r>
        <w:separator/>
      </w:r>
    </w:p>
  </w:endnote>
  <w:endnote w:type="continuationSeparator" w:id="0">
    <w:p w14:paraId="0072C154" w14:textId="77777777" w:rsidR="00BB5F52" w:rsidRDefault="00BB5F52" w:rsidP="00992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E769ECC-357C-4671-B9F5-212D7D311860}"/>
  </w:font>
  <w:font w:name="Cambria">
    <w:panose1 w:val="02040503050406030204"/>
    <w:charset w:val="00"/>
    <w:family w:val="roman"/>
    <w:pitch w:val="variable"/>
    <w:sig w:usb0="E00006FF" w:usb1="420024FF" w:usb2="02000000" w:usb3="00000000" w:csb0="0000019F" w:csb1="00000000"/>
    <w:embedRegular r:id="rId2" w:fontKey="{817E90D0-4778-4F61-B94B-DD905F3DCCE3}"/>
    <w:embedBold r:id="rId3" w:fontKey="{5EDD8E8E-AFEC-4A1D-9CE5-14460CAC7423}"/>
    <w:embedItalic r:id="rId4" w:fontKey="{BB8CE398-DE7B-4CAA-88AE-DE9B7F8C7C5E}"/>
    <w:embedBoldItalic r:id="rId5" w:fontKey="{CF7AF2D9-64BC-4EB9-A439-69C0F4C46B3D}"/>
  </w:font>
  <w:font w:name="Calibri">
    <w:panose1 w:val="020F0502020204030204"/>
    <w:charset w:val="00"/>
    <w:family w:val="swiss"/>
    <w:pitch w:val="variable"/>
    <w:sig w:usb0="E4002EFF" w:usb1="C200247B" w:usb2="00000009" w:usb3="00000000" w:csb0="000001FF" w:csb1="00000000"/>
    <w:embedRegular r:id="rId6" w:fontKey="{2F435EA7-8447-4705-AF7C-ABE036B4679C}"/>
    <w:embedBold r:id="rId7" w:fontKey="{E2B2124B-75B8-44CF-8DDA-5AC70AECA914}"/>
    <w:embedItalic r:id="rId8" w:fontKey="{FAA4ECBE-9792-4050-AB74-0D60B53B3059}"/>
    <w:embedBoldItalic r:id="rId9" w:fontKey="{7E237372-3873-4E1A-B8DB-1C4476DD16FB}"/>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embedRegular r:id="rId10" w:fontKey="{468668BA-5394-4D47-AF1A-32AF7403C98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A9389" w14:textId="77777777" w:rsidR="00BB5F52" w:rsidRDefault="00BB5F52" w:rsidP="009927D1">
      <w:pPr>
        <w:spacing w:after="0" w:line="240" w:lineRule="auto"/>
      </w:pPr>
      <w:r>
        <w:separator/>
      </w:r>
    </w:p>
  </w:footnote>
  <w:footnote w:type="continuationSeparator" w:id="0">
    <w:p w14:paraId="0D4EAA96" w14:textId="77777777" w:rsidR="00BB5F52" w:rsidRDefault="00BB5F52" w:rsidP="009927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56D39" w14:textId="443C9BAC" w:rsidR="009927D1" w:rsidRDefault="009927D1">
    <w:pPr>
      <w:pStyle w:val="Encabezado"/>
    </w:pPr>
    <w:r>
      <w:rPr>
        <w:noProof/>
      </w:rPr>
      <mc:AlternateContent>
        <mc:Choice Requires="wps">
          <w:drawing>
            <wp:anchor distT="0" distB="0" distL="114300" distR="114300" simplePos="0" relativeHeight="251662336" behindDoc="1" locked="0" layoutInCell="1" allowOverlap="1" wp14:anchorId="642CFCF5" wp14:editId="06A1133E">
              <wp:simplePos x="635" y="635"/>
              <wp:positionH relativeFrom="margin">
                <wp:align>center</wp:align>
              </wp:positionH>
              <wp:positionV relativeFrom="margin">
                <wp:align>center</wp:align>
              </wp:positionV>
              <wp:extent cx="1929765" cy="392430"/>
              <wp:effectExtent l="0" t="628650" r="0" b="636270"/>
              <wp:wrapNone/>
              <wp:docPr id="1320517467" name="Cuadro de texto 5" descr="CONFIDENCI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929765" cy="392430"/>
                      </a:xfrm>
                      <a:prstGeom prst="rect">
                        <a:avLst/>
                      </a:prstGeom>
                      <a:noFill/>
                      <a:ln>
                        <a:noFill/>
                      </a:ln>
                    </wps:spPr>
                    <wps:txbx>
                      <w:txbxContent>
                        <w:p w14:paraId="63B0C51F" w14:textId="0F87339F" w:rsidR="009927D1" w:rsidRPr="009927D1" w:rsidRDefault="009927D1" w:rsidP="009927D1">
                          <w:pPr>
                            <w:spacing w:after="0"/>
                            <w:rPr>
                              <w:rFonts w:ascii="Aptos" w:eastAsia="Aptos" w:hAnsi="Aptos" w:cs="Aptos"/>
                              <w:noProof/>
                              <w:color w:val="000000"/>
                              <w:sz w:val="44"/>
                              <w:szCs w:val="44"/>
                              <w14:textFill>
                                <w14:solidFill>
                                  <w14:srgbClr w14:val="000000">
                                    <w14:alpha w14:val="50000"/>
                                  </w14:srgbClr>
                                </w14:solidFill>
                              </w14:textFill>
                            </w:rPr>
                          </w:pPr>
                          <w:r w:rsidRPr="009927D1">
                            <w:rPr>
                              <w:rFonts w:ascii="Aptos" w:eastAsia="Aptos" w:hAnsi="Aptos" w:cs="Aptos"/>
                              <w:noProof/>
                              <w:color w:val="000000"/>
                              <w:sz w:val="44"/>
                              <w:szCs w:val="44"/>
                              <w14:textFill>
                                <w14:solidFill>
                                  <w14:srgbClr w14:val="000000">
                                    <w14:alpha w14:val="50000"/>
                                  </w14:srgbClr>
                                </w14:solidFill>
                              </w14:textFill>
                            </w:rPr>
                            <w:t>CONFIDENCIAL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642CFCF5" id="_x0000_t202" coordsize="21600,21600" o:spt="202" path="m,l,21600r21600,l21600,xe">
              <v:stroke joinstyle="miter"/>
              <v:path gradientshapeok="t" o:connecttype="rect"/>
            </v:shapetype>
            <v:shape id="Cuadro de texto 5" o:spid="_x0000_s1026" type="#_x0000_t202" alt="CONFIDENCIAL" style="position:absolute;margin-left:0;margin-top:0;width:151.95pt;height:30.9pt;rotation:-45;z-index:-251654144;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" filled="f" stroked="f">
              <v:fill o:detectmouseclick="t"/>
              <v:textbox style="mso-fit-shape-to-text:t" inset="0,0,0,0">
                <w:txbxContent>
                  <w:p w14:paraId="63B0C51F" w14:textId="0F87339F" w:rsidR="009927D1" w:rsidRPr="009927D1" w:rsidRDefault="009927D1" w:rsidP="009927D1">
                    <w:pPr>
                      <w:spacing w:after="0"/>
                      <w:rPr>
                        <w:rFonts w:ascii="Aptos" w:eastAsia="Aptos" w:hAnsi="Aptos" w:cs="Aptos"/>
                        <w:noProof/>
                        <w:color w:val="000000"/>
                        <w:sz w:val="44"/>
                        <w:szCs w:val="44"/>
                        <w14:textFill>
                          <w14:solidFill>
                            <w14:srgbClr w14:val="000000">
                              <w14:alpha w14:val="50000"/>
                            </w14:srgbClr>
                          </w14:solidFill>
                        </w14:textFill>
                      </w:rPr>
                    </w:pPr>
                    <w:r w:rsidRPr="009927D1">
                      <w:rPr>
                        <w:rFonts w:ascii="Aptos" w:eastAsia="Aptos" w:hAnsi="Aptos" w:cs="Aptos"/>
                        <w:noProof/>
                        <w:color w:val="000000"/>
                        <w:sz w:val="44"/>
                        <w:szCs w:val="44"/>
                        <w14:textFill>
                          <w14:solidFill>
                            <w14:srgbClr w14:val="000000">
                              <w14:alpha w14:val="50000"/>
                            </w14:srgbClr>
                          </w14:solidFill>
                        </w14:textFill>
                      </w:rPr>
                      <w:t>CONFIDENCIAL</w:t>
                    </w:r>
                  </w:p>
                </w:txbxContent>
              </v:textbox>
              <w10:wrap anchorx="margin" anchory="margin"/>
            </v:shape>
          </w:pict>
        </mc:Fallback>
      </mc:AlternateContent>
    </w:r>
    <w:r>
      <w:rPr>
        <w:noProof/>
      </w:rPr>
      <mc:AlternateContent>
        <mc:Choice Requires="wps">
          <w:drawing>
            <wp:anchor distT="0" distB="0" distL="0" distR="0" simplePos="0" relativeHeight="251659264" behindDoc="0" locked="0" layoutInCell="1" allowOverlap="1" wp14:anchorId="79238400" wp14:editId="13A78347">
              <wp:simplePos x="635" y="635"/>
              <wp:positionH relativeFrom="page">
                <wp:align>center</wp:align>
              </wp:positionH>
              <wp:positionV relativeFrom="page">
                <wp:align>top</wp:align>
              </wp:positionV>
              <wp:extent cx="877570" cy="368935"/>
              <wp:effectExtent l="0" t="0" r="17780" b="12065"/>
              <wp:wrapNone/>
              <wp:docPr id="1432609508" name="Cuadro de texto 2"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68935"/>
                      </a:xfrm>
                      <a:prstGeom prst="rect">
                        <a:avLst/>
                      </a:prstGeom>
                      <a:noFill/>
                      <a:ln>
                        <a:noFill/>
                      </a:ln>
                    </wps:spPr>
                    <wps:txbx>
                      <w:txbxContent>
                        <w:p w14:paraId="166A7AF4" w14:textId="0DFB8F60" w:rsidR="009927D1" w:rsidRPr="009927D1" w:rsidRDefault="009927D1" w:rsidP="009927D1">
                          <w:pPr>
                            <w:spacing w:after="0"/>
                            <w:rPr>
                              <w:rFonts w:ascii="Aptos" w:eastAsia="Aptos" w:hAnsi="Aptos" w:cs="Aptos"/>
                              <w:noProof/>
                              <w:color w:val="FF0000"/>
                              <w:sz w:val="20"/>
                              <w:szCs w:val="20"/>
                            </w:rPr>
                          </w:pPr>
                          <w:r w:rsidRPr="009927D1">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79238400" id="Cuadro de texto 2" o:spid="_x0000_s1027" type="#_x0000_t202" alt="CONFIDENCIAL" style="position:absolute;margin-left:0;margin-top:0;width:69.1pt;height:29.0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" filled="f" stroked="f">
              <v:fill o:detectmouseclick="t"/>
              <v:textbox style="mso-fit-shape-to-text:t" inset="0,15pt,0,0">
                <w:txbxContent>
                  <w:p w14:paraId="166A7AF4" w14:textId="0DFB8F60" w:rsidR="009927D1" w:rsidRPr="009927D1" w:rsidRDefault="009927D1" w:rsidP="009927D1">
                    <w:pPr>
                      <w:spacing w:after="0"/>
                      <w:rPr>
                        <w:rFonts w:ascii="Aptos" w:eastAsia="Aptos" w:hAnsi="Aptos" w:cs="Aptos"/>
                        <w:noProof/>
                        <w:color w:val="FF0000"/>
                        <w:sz w:val="20"/>
                        <w:szCs w:val="20"/>
                      </w:rPr>
                    </w:pPr>
                    <w:r w:rsidRPr="009927D1">
                      <w:rPr>
                        <w:rFonts w:ascii="Aptos" w:eastAsia="Aptos" w:hAnsi="Aptos" w:cs="Aptos"/>
                        <w:noProof/>
                        <w:color w:val="FF0000"/>
                        <w:sz w:val="20"/>
                        <w:szCs w:val="20"/>
                      </w:rPr>
                      <w:t>CONFIDENCIAL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E3110" w14:textId="7F9C60EE" w:rsidR="009927D1" w:rsidRDefault="009927D1">
    <w:pPr>
      <w:pStyle w:val="Encabezado"/>
    </w:pPr>
    <w:r>
      <w:rPr>
        <w:noProof/>
      </w:rPr>
      <mc:AlternateContent>
        <mc:Choice Requires="wps">
          <w:drawing>
            <wp:anchor distT="0" distB="0" distL="114300" distR="114300" simplePos="0" relativeHeight="251663360" behindDoc="1" locked="0" layoutInCell="1" allowOverlap="1" wp14:anchorId="2D3F8F76" wp14:editId="7DCF54D3">
              <wp:simplePos x="1141171" y="460858"/>
              <wp:positionH relativeFrom="margin">
                <wp:align>center</wp:align>
              </wp:positionH>
              <wp:positionV relativeFrom="margin">
                <wp:align>center</wp:align>
              </wp:positionV>
              <wp:extent cx="1929765" cy="392430"/>
              <wp:effectExtent l="0" t="628650" r="0" b="636270"/>
              <wp:wrapNone/>
              <wp:docPr id="1134761003" name="Cuadro de texto 6" descr="CONFIDENCI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929765" cy="392430"/>
                      </a:xfrm>
                      <a:prstGeom prst="rect">
                        <a:avLst/>
                      </a:prstGeom>
                      <a:noFill/>
                      <a:ln>
                        <a:noFill/>
                      </a:ln>
                    </wps:spPr>
                    <wps:txbx>
                      <w:txbxContent>
                        <w:p w14:paraId="603837F0" w14:textId="67C6D10B" w:rsidR="009927D1" w:rsidRPr="009927D1" w:rsidRDefault="009927D1" w:rsidP="009927D1">
                          <w:pPr>
                            <w:spacing w:after="0"/>
                            <w:rPr>
                              <w:rFonts w:ascii="Aptos" w:eastAsia="Aptos" w:hAnsi="Aptos" w:cs="Aptos"/>
                              <w:noProof/>
                              <w:color w:val="000000"/>
                              <w:sz w:val="44"/>
                              <w:szCs w:val="44"/>
                              <w14:textFill>
                                <w14:solidFill>
                                  <w14:srgbClr w14:val="000000">
                                    <w14:alpha w14:val="50000"/>
                                  </w14:srgbClr>
                                </w14:solidFill>
                              </w14:textFill>
                            </w:rPr>
                          </w:pPr>
                          <w:r w:rsidRPr="009927D1">
                            <w:rPr>
                              <w:rFonts w:ascii="Aptos" w:eastAsia="Aptos" w:hAnsi="Aptos" w:cs="Aptos"/>
                              <w:noProof/>
                              <w:color w:val="000000"/>
                              <w:sz w:val="44"/>
                              <w:szCs w:val="44"/>
                              <w14:textFill>
                                <w14:solidFill>
                                  <w14:srgbClr w14:val="000000">
                                    <w14:alpha w14:val="50000"/>
                                  </w14:srgbClr>
                                </w14:solidFill>
                              </w14:textFill>
                            </w:rPr>
                            <w:t>CONFIDENCIAL</w:t>
                          </w: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D3F8F76" id="_x0000_t202" coordsize="21600,21600" o:spt="202" path="m,l,21600r21600,l21600,xe">
              <v:stroke joinstyle="miter"/>
              <v:path gradientshapeok="t" o:connecttype="rect"/>
            </v:shapetype>
            <v:shape id="Cuadro de texto 6" o:spid="_x0000_s1028" type="#_x0000_t202" alt="CONFIDENCIAL" style="position:absolute;margin-left:0;margin-top:0;width:151.95pt;height:30.9pt;rotation:-45;z-index:-251653120;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" filled="f" stroked="f">
              <v:fill o:detectmouseclick="t"/>
              <v:textbox style="mso-fit-shape-to-text:t" inset="0,0,0,0">
                <w:txbxContent>
                  <w:p w14:paraId="603837F0" w14:textId="67C6D10B" w:rsidR="009927D1" w:rsidRPr="009927D1" w:rsidRDefault="009927D1" w:rsidP="009927D1">
                    <w:pPr>
                      <w:spacing w:after="0"/>
                      <w:rPr>
                        <w:rFonts w:ascii="Aptos" w:eastAsia="Aptos" w:hAnsi="Aptos" w:cs="Aptos"/>
                        <w:noProof/>
                        <w:color w:val="000000"/>
                        <w:sz w:val="44"/>
                        <w:szCs w:val="44"/>
                        <w14:textFill>
                          <w14:solidFill>
                            <w14:srgbClr w14:val="000000">
                              <w14:alpha w14:val="50000"/>
                            </w14:srgbClr>
                          </w14:solidFill>
                        </w14:textFill>
                      </w:rPr>
                    </w:pPr>
                    <w:r w:rsidRPr="009927D1">
                      <w:rPr>
                        <w:rFonts w:ascii="Aptos" w:eastAsia="Aptos" w:hAnsi="Aptos" w:cs="Aptos"/>
                        <w:noProof/>
                        <w:color w:val="000000"/>
                        <w:sz w:val="44"/>
                        <w:szCs w:val="44"/>
                        <w14:textFill>
                          <w14:solidFill>
                            <w14:srgbClr w14:val="000000">
                              <w14:alpha w14:val="50000"/>
                            </w14:srgbClr>
                          </w14:solidFill>
                        </w14:textFill>
                      </w:rPr>
                      <w:t>CONFIDENCIAL</w:t>
                    </w:r>
                  </w:p>
                </w:txbxContent>
              </v:textbox>
              <w10:wrap anchorx="margin" anchory="margin"/>
            </v:shape>
          </w:pict>
        </mc:Fallback>
      </mc:AlternateContent>
    </w:r>
    <w:r>
      <w:rPr>
        <w:noProof/>
      </w:rPr>
      <mc:AlternateContent>
        <mc:Choice Requires="wps">
          <w:drawing>
            <wp:anchor distT="0" distB="0" distL="0" distR="0" simplePos="0" relativeHeight="251660288" behindDoc="0" locked="0" layoutInCell="1" allowOverlap="1" wp14:anchorId="7F9C8E89" wp14:editId="74D866C2">
              <wp:simplePos x="1141171" y="460858"/>
              <wp:positionH relativeFrom="page">
                <wp:align>center</wp:align>
              </wp:positionH>
              <wp:positionV relativeFrom="page">
                <wp:align>top</wp:align>
              </wp:positionV>
              <wp:extent cx="877570" cy="368935"/>
              <wp:effectExtent l="0" t="0" r="17780" b="12065"/>
              <wp:wrapNone/>
              <wp:docPr id="1680952164" name="Cuadro de texto 3"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68935"/>
                      </a:xfrm>
                      <a:prstGeom prst="rect">
                        <a:avLst/>
                      </a:prstGeom>
                      <a:noFill/>
                      <a:ln>
                        <a:noFill/>
                      </a:ln>
                    </wps:spPr>
                    <wps:txbx>
                      <w:txbxContent>
                        <w:p w14:paraId="376482EA" w14:textId="77777777" w:rsidR="009927D1" w:rsidRPr="009927D1" w:rsidRDefault="009927D1" w:rsidP="009927D1">
                          <w:pPr>
                            <w:spacing w:after="0"/>
                            <w:rPr>
                              <w:rFonts w:ascii="Aptos" w:eastAsia="Aptos" w:hAnsi="Aptos" w:cs="Aptos"/>
                              <w:noProof/>
                              <w:color w:val="FF0000"/>
                              <w:sz w:val="20"/>
                              <w:szCs w:val="20"/>
                            </w:rPr>
                          </w:pP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7F9C8E89" id="Cuadro de texto 3" o:spid="_x0000_s1029" type="#_x0000_t202" alt="CONFIDENCIAL" style="position:absolute;margin-left:0;margin-top:0;width:69.1pt;height:29.0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" filled="f" stroked="f">
              <v:fill o:detectmouseclick="t"/>
              <v:textbox style="mso-fit-shape-to-text:t" inset="0,15pt,0,0">
                <w:txbxContent>
                  <w:p w14:paraId="376482EA" w14:textId="77777777" w:rsidR="009927D1" w:rsidRPr="009927D1" w:rsidRDefault="009927D1" w:rsidP="009927D1">
                    <w:pPr>
                      <w:spacing w:after="0"/>
                      <w:rPr>
                        <w:rFonts w:ascii="Aptos" w:eastAsia="Aptos" w:hAnsi="Aptos" w:cs="Aptos"/>
                        <w:noProof/>
                        <w:color w:val="FF0000"/>
                        <w:sz w:val="20"/>
                        <w:szCs w:val="20"/>
                      </w:rPr>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79B71" w14:textId="516BBAE3" w:rsidR="009927D1" w:rsidRDefault="009927D1">
    <w:pPr>
      <w:pStyle w:val="Encabezado"/>
    </w:pPr>
    <w:r>
      <w:rPr>
        <w:noProof/>
      </w:rPr>
      <mc:AlternateContent>
        <mc:Choice Requires="wps">
          <w:drawing>
            <wp:anchor distT="0" distB="0" distL="114300" distR="114300" simplePos="0" relativeHeight="251661312" behindDoc="1" locked="0" layoutInCell="1" allowOverlap="1" wp14:anchorId="2CED83B6" wp14:editId="4C984711">
              <wp:simplePos x="635" y="635"/>
              <wp:positionH relativeFrom="margin">
                <wp:align>center</wp:align>
              </wp:positionH>
              <wp:positionV relativeFrom="margin">
                <wp:align>center</wp:align>
              </wp:positionV>
              <wp:extent cx="1929765" cy="392430"/>
              <wp:effectExtent l="0" t="628650" r="0" b="636270"/>
              <wp:wrapNone/>
              <wp:docPr id="88124085" name="Cuadro de texto 4" descr="CONFIDENCIAL">
                <a:extLst xmlns:a="http://schemas.openxmlformats.org/drawingml/2006/main">
                  <a:ext uri="{5AE41FA2-C0FF-4470-9BD4-5FADCA87CBE2}">
                    <aclsh:classification xmlns:aclsh="http://schemas.microsoft.com/office/drawing/2020/classificationShape" classificationOutcomeType="watermark"/>
                  </a:ext>
                </a:extLst>
              </wp:docPr>
              <wp:cNvGraphicFramePr/>
              <a:graphic xmlns:a="http://schemas.openxmlformats.org/drawingml/2006/main">
                <a:graphicData uri="http://schemas.microsoft.com/office/word/2010/wordprocessingShape">
                  <wps:wsp>
                    <wps:cNvSpPr txBox="1"/>
                    <wps:spPr>
                      <a:xfrm rot="18900000">
                        <a:off x="0" y="0"/>
                        <a:ext cx="1929765" cy="392430"/>
                      </a:xfrm>
                      <a:prstGeom prst="rect">
                        <a:avLst/>
                      </a:prstGeom>
                      <a:noFill/>
                      <a:ln>
                        <a:noFill/>
                      </a:ln>
                    </wps:spPr>
                    <wps:txbx>
                      <w:txbxContent>
                        <w:p w14:paraId="4607C398" w14:textId="77777777" w:rsidR="009927D1" w:rsidRPr="009927D1" w:rsidRDefault="009927D1" w:rsidP="009927D1">
                          <w:pPr>
                            <w:spacing w:after="0"/>
                            <w:rPr>
                              <w:rFonts w:ascii="Aptos" w:eastAsia="Aptos" w:hAnsi="Aptos" w:cs="Aptos"/>
                              <w:noProof/>
                              <w:color w:val="000000"/>
                              <w:sz w:val="44"/>
                              <w:szCs w:val="44"/>
                              <w14:textFill>
                                <w14:solidFill>
                                  <w14:srgbClr w14:val="000000">
                                    <w14:alpha w14:val="50000"/>
                                  </w14:srgbClr>
                                </w14:solidFill>
                              </w14:textFill>
                            </w:rPr>
                          </w:pPr>
                        </w:p>
                      </w:txbxContent>
                    </wps:txbx>
                    <wps:bodyPr rot="0" spcFirstLastPara="0" vertOverflow="overflow" horzOverflow="overflow" vert="horz" wrap="none" lIns="0" tIns="0" rIns="0" bIns="0" numCol="1" spcCol="0" rtlCol="0" fromWordArt="0" anchor="t" anchorCtr="0" forceAA="0" compatLnSpc="1">
                      <a:prstTxWarp prst="textNoShape">
                        <a:avLst/>
                      </a:prstTxWarp>
                      <a:spAutoFit/>
                    </wps:bodyPr>
                  </wps:wsp>
                </a:graphicData>
              </a:graphic>
            </wp:anchor>
          </w:drawing>
        </mc:Choice>
        <mc:Fallback>
          <w:pict>
            <v:shapetype w14:anchorId="2CED83B6" id="_x0000_t202" coordsize="21600,21600" o:spt="202" path="m,l,21600r21600,l21600,xe">
              <v:stroke joinstyle="miter"/>
              <v:path gradientshapeok="t" o:connecttype="rect"/>
            </v:shapetype>
            <v:shape id="Cuadro de texto 4" o:spid="_x0000_s1030" type="#_x0000_t202" alt="CONFIDENCIAL" style="position:absolute;margin-left:0;margin-top:0;width:151.95pt;height:30.9pt;rotation:-45;z-index:-251655168;visibility:visible;mso-wrap-style:non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" filled="f" stroked="f">
              <v:fill o:detectmouseclick="t"/>
              <v:textbox style="mso-fit-shape-to-text:t" inset="0,0,0,0">
                <w:txbxContent>
                  <w:p w14:paraId="4607C398" w14:textId="77777777" w:rsidR="009927D1" w:rsidRPr="009927D1" w:rsidRDefault="009927D1" w:rsidP="009927D1">
                    <w:pPr>
                      <w:spacing w:after="0"/>
                      <w:rPr>
                        <w:rFonts w:ascii="Aptos" w:eastAsia="Aptos" w:hAnsi="Aptos" w:cs="Aptos"/>
                        <w:noProof/>
                        <w:color w:val="000000"/>
                        <w:sz w:val="44"/>
                        <w:szCs w:val="44"/>
                        <w14:textFill>
                          <w14:solidFill>
                            <w14:srgbClr w14:val="000000">
                              <w14:alpha w14:val="50000"/>
                            </w14:srgbClr>
                          </w14:solidFill>
                        </w14:textFill>
                      </w:rPr>
                    </w:pPr>
                  </w:p>
                </w:txbxContent>
              </v:textbox>
              <w10:wrap anchorx="margin" anchory="margin"/>
            </v:shape>
          </w:pict>
        </mc:Fallback>
      </mc:AlternateContent>
    </w:r>
    <w:r>
      <w:rPr>
        <w:noProof/>
      </w:rPr>
      <mc:AlternateContent>
        <mc:Choice Requires="wps">
          <w:drawing>
            <wp:anchor distT="0" distB="0" distL="0" distR="0" simplePos="0" relativeHeight="251658240" behindDoc="0" locked="0" layoutInCell="1" allowOverlap="1" wp14:anchorId="7867DB65" wp14:editId="3E0111F8">
              <wp:simplePos x="635" y="635"/>
              <wp:positionH relativeFrom="page">
                <wp:align>center</wp:align>
              </wp:positionH>
              <wp:positionV relativeFrom="page">
                <wp:align>top</wp:align>
              </wp:positionV>
              <wp:extent cx="877570" cy="368935"/>
              <wp:effectExtent l="0" t="0" r="17780" b="12065"/>
              <wp:wrapNone/>
              <wp:docPr id="1187743205" name="Cuadro de texto 1" descr="CONFIDEN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77570" cy="368935"/>
                      </a:xfrm>
                      <a:prstGeom prst="rect">
                        <a:avLst/>
                      </a:prstGeom>
                      <a:noFill/>
                      <a:ln>
                        <a:noFill/>
                      </a:ln>
                    </wps:spPr>
                    <wps:txbx>
                      <w:txbxContent>
                        <w:p w14:paraId="37D2C73F" w14:textId="2C327BCD" w:rsidR="009927D1" w:rsidRPr="009927D1" w:rsidRDefault="009927D1" w:rsidP="009927D1">
                          <w:pPr>
                            <w:spacing w:after="0"/>
                            <w:rPr>
                              <w:rFonts w:ascii="Aptos" w:eastAsia="Aptos" w:hAnsi="Aptos" w:cs="Aptos"/>
                              <w:noProof/>
                              <w:color w:val="FF0000"/>
                              <w:sz w:val="20"/>
                              <w:szCs w:val="20"/>
                            </w:rPr>
                          </w:pPr>
                          <w:r w:rsidRPr="009927D1">
                            <w:rPr>
                              <w:rFonts w:ascii="Aptos" w:eastAsia="Aptos" w:hAnsi="Aptos" w:cs="Aptos"/>
                              <w:noProof/>
                              <w:color w:val="FF0000"/>
                              <w:sz w:val="20"/>
                              <w:szCs w:val="20"/>
                            </w:rPr>
                            <w:t>CONFIDENCIAL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7867DB65" id="Cuadro de texto 1" o:spid="_x0000_s1031" type="#_x0000_t202" alt="CONFIDENCIAL" style="position:absolute;margin-left:0;margin-top:0;width:69.1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" filled="f" stroked="f">
              <v:fill o:detectmouseclick="t"/>
              <v:textbox style="mso-fit-shape-to-text:t" inset="0,15pt,0,0">
                <w:txbxContent>
                  <w:p w14:paraId="37D2C73F" w14:textId="2C327BCD" w:rsidR="009927D1" w:rsidRPr="009927D1" w:rsidRDefault="009927D1" w:rsidP="009927D1">
                    <w:pPr>
                      <w:spacing w:after="0"/>
                      <w:rPr>
                        <w:rFonts w:ascii="Aptos" w:eastAsia="Aptos" w:hAnsi="Aptos" w:cs="Aptos"/>
                        <w:noProof/>
                        <w:color w:val="FF0000"/>
                        <w:sz w:val="20"/>
                        <w:szCs w:val="20"/>
                      </w:rPr>
                    </w:pPr>
                    <w:r w:rsidRPr="009927D1">
                      <w:rPr>
                        <w:rFonts w:ascii="Aptos" w:eastAsia="Aptos" w:hAnsi="Aptos" w:cs="Aptos"/>
                        <w:noProof/>
                        <w:color w:val="FF0000"/>
                        <w:sz w:val="20"/>
                        <w:szCs w:val="20"/>
                      </w:rPr>
                      <w:t>CONFIDENCIAL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65523"/>
    <w:multiLevelType w:val="multilevel"/>
    <w:tmpl w:val="C072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015CEB"/>
    <w:multiLevelType w:val="multilevel"/>
    <w:tmpl w:val="E600502E"/>
    <w:lvl w:ilvl="0">
      <w:start w:val="1"/>
      <w:numFmt w:val="decimal"/>
      <w:pStyle w:val="Listaconvietas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A8F17C8"/>
    <w:multiLevelType w:val="multilevel"/>
    <w:tmpl w:val="1C181E92"/>
    <w:lvl w:ilvl="0">
      <w:start w:val="1"/>
      <w:numFmt w:val="bullet"/>
      <w:pStyle w:val="Listaconvietas"/>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81679733">
    <w:abstractNumId w:val="2"/>
  </w:num>
  <w:num w:numId="2" w16cid:durableId="1044328656">
    <w:abstractNumId w:val="1"/>
  </w:num>
  <w:num w:numId="3" w16cid:durableId="15228616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25141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1650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497648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81312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018"/>
    <w:rsid w:val="0010012C"/>
    <w:rsid w:val="00164018"/>
    <w:rsid w:val="00842BC0"/>
    <w:rsid w:val="009927D1"/>
    <w:rsid w:val="009A736F"/>
    <w:rsid w:val="00BB5F52"/>
    <w:rsid w:val="00F11BEC"/>
    <w:rsid w:val="00F410D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BDC0A"/>
  <w15:docId w15:val="{3421F088-EFE7-4868-BFF7-07012656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s-P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link w:val="Ttulo2C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link w:val="Ttulo3Car"/>
    <w:uiPriority w:val="9"/>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link w:val="Ttulo4C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rFonts w:ascii="Calibri" w:eastAsia="Calibri" w:hAnsi="Calibri" w:cs="Calibri"/>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tulo">
    <w:name w:val="Subtitle"/>
    <w:basedOn w:val="Normal"/>
    <w:next w:val="Normal"/>
    <w:link w:val="SubttuloCar"/>
    <w:uiPriority w:val="11"/>
    <w:qFormat/>
    <w:rPr>
      <w:rFonts w:ascii="Calibri" w:eastAsia="Calibri" w:hAnsi="Calibri" w:cs="Calibri"/>
      <w:i/>
      <w:iCs/>
      <w:color w:val="4F81BD"/>
      <w:sz w:val="24"/>
      <w:szCs w:val="24"/>
    </w:rPr>
  </w:style>
  <w:style w:type="table" w:customStyle="1" w:styleId="a">
    <w:basedOn w:val="Tabla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9927D1"/>
    <w:pPr>
      <w:spacing w:before="100" w:beforeAutospacing="1" w:after="100" w:afterAutospacing="1" w:line="240" w:lineRule="auto"/>
    </w:pPr>
    <w:rPr>
      <w:rFonts w:ascii="Times New Roman" w:eastAsia="Times New Roman" w:hAnsi="Times New Roman" w:cs="Times New Roman"/>
      <w:sz w:val="24"/>
      <w:szCs w:val="24"/>
      <w:lang w:val="es-P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Eq/hEHFxhoHz97QSdusES1yUJA==">CgMxLjA4AHIhMUpFYUg1Z3h2RGpya2VzWUVTTUlNRHJYU1gtSmUxRENh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7</Pages>
  <Words>1245</Words>
  <Characters>8659</Characters>
  <Application>Microsoft Office Word</Application>
  <DocSecurity>0</DocSecurity>
  <Lines>259</Lines>
  <Paragraphs>111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Grace Gonzalez</cp:lastModifiedBy>
  <cp:revision>4</cp:revision>
  <dcterms:created xsi:type="dcterms:W3CDTF">2013-12-23T23:15:00Z</dcterms:created>
  <dcterms:modified xsi:type="dcterms:W3CDTF">2026-03-27T20:58:00Z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46cb85e5,5563e2e4,64314b64</vt:lpwstr>
  </property>
  <property fmtid="{D5CDD505-2E9C-101B-9397-08002B2CF9AE}" pid="3" name="ClassificationContentMarkingHeaderFontProps">
    <vt:lpwstr>#ff0000,10,Aptos</vt:lpwstr>
  </property>
  <property fmtid="{D5CDD505-2E9C-101B-9397-08002B2CF9AE}" pid="4" name="ClassificationContentMarkingHeaderText">
    <vt:lpwstr>CONFIDENCIAL</vt:lpwstr>
  </property>
  <property fmtid="{D5CDD505-2E9C-101B-9397-08002B2CF9AE}" pid="5" name="ClassificationWatermarkShapeIds">
    <vt:lpwstr>540aab5,4eb57f5b,43a3142b</vt:lpwstr>
  </property>
  <property fmtid="{D5CDD505-2E9C-101B-9397-08002B2CF9AE}" pid="6" name="ClassificationWatermarkFontProps">
    <vt:lpwstr>#000000,22,Aptos</vt:lpwstr>
  </property>
  <property fmtid="{D5CDD505-2E9C-101B-9397-08002B2CF9AE}" pid="7" name="ClassificationWatermarkText">
    <vt:lpwstr>CONFIDENCIAL</vt:lpwstr>
  </property>
  <property fmtid="{D5CDD505-2E9C-101B-9397-08002B2CF9AE}" pid="8" name="MSIP_Label_b0e484e6-fa68-4b8e-8424-1c8e810228fe_Enabled">
    <vt:lpwstr>true</vt:lpwstr>
  </property>
  <property fmtid="{D5CDD505-2E9C-101B-9397-08002B2CF9AE}" pid="9" name="MSIP_Label_b0e484e6-fa68-4b8e-8424-1c8e810228fe_SetDate">
    <vt:lpwstr>2026-02-10T14:42:06Z</vt:lpwstr>
  </property>
  <property fmtid="{D5CDD505-2E9C-101B-9397-08002B2CF9AE}" pid="10" name="MSIP_Label_b0e484e6-fa68-4b8e-8424-1c8e810228fe_Method">
    <vt:lpwstr>Standard</vt:lpwstr>
  </property>
  <property fmtid="{D5CDD505-2E9C-101B-9397-08002B2CF9AE}" pid="11" name="MSIP_Label_b0e484e6-fa68-4b8e-8424-1c8e810228fe_Name">
    <vt:lpwstr>Confidencial</vt:lpwstr>
  </property>
  <property fmtid="{D5CDD505-2E9C-101B-9397-08002B2CF9AE}" pid="12" name="MSIP_Label_b0e484e6-fa68-4b8e-8424-1c8e810228fe_SiteId">
    <vt:lpwstr>f084f831-bc86-4f05-89c4-94be5052e555</vt:lpwstr>
  </property>
  <property fmtid="{D5CDD505-2E9C-101B-9397-08002B2CF9AE}" pid="13" name="MSIP_Label_b0e484e6-fa68-4b8e-8424-1c8e810228fe_ActionId">
    <vt:lpwstr>5c435740-62e6-4e78-b58e-3df3b5d0256c</vt:lpwstr>
  </property>
  <property fmtid="{D5CDD505-2E9C-101B-9397-08002B2CF9AE}" pid="14" name="MSIP_Label_b0e484e6-fa68-4b8e-8424-1c8e810228fe_ContentBits">
    <vt:lpwstr>5</vt:lpwstr>
  </property>
  <property fmtid="{D5CDD505-2E9C-101B-9397-08002B2CF9AE}" pid="15" name="MSIP_Label_b0e484e6-fa68-4b8e-8424-1c8e810228fe_Tag">
    <vt:lpwstr>10, 3, 0, 1</vt:lpwstr>
  </property>
</Properties>
</file>