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3ED7F" w14:textId="22F5A319" w:rsidR="00861976" w:rsidRDefault="00FC222E" w:rsidP="00FC222E">
      <w:pPr>
        <w:jc w:val="right"/>
      </w:pPr>
      <w:r>
        <w:t>James Stallkamp</w:t>
      </w:r>
    </w:p>
    <w:p w14:paraId="447ECCB3" w14:textId="21E7C4D8" w:rsidR="00FC222E" w:rsidRDefault="00FC222E" w:rsidP="00FC222E">
      <w:pPr>
        <w:jc w:val="right"/>
      </w:pPr>
      <w:r>
        <w:t>CS 427 HW 7</w:t>
      </w:r>
    </w:p>
    <w:p w14:paraId="537745F2" w14:textId="29B903CB" w:rsidR="00FC222E" w:rsidRDefault="00FC222E" w:rsidP="00FC222E">
      <w:r>
        <w:t>1A)</w:t>
      </w:r>
    </w:p>
    <w:p w14:paraId="2AF9C05F" w14:textId="77777777" w:rsidR="00176A24" w:rsidRDefault="00176A24" w:rsidP="00176A24">
      <w:r>
        <w:t>Dec(</w:t>
      </w:r>
      <w:proofErr w:type="spellStart"/>
      <w:proofErr w:type="gramStart"/>
      <w:r>
        <w:t>k,c</w:t>
      </w:r>
      <w:proofErr w:type="spellEnd"/>
      <w:proofErr w:type="gramEnd"/>
      <w:r>
        <w:t>):</w:t>
      </w:r>
    </w:p>
    <w:p w14:paraId="4A55D59A" w14:textId="77777777" w:rsidR="00176A24" w:rsidRDefault="00176A24" w:rsidP="00176A24">
      <w:r>
        <w:t xml:space="preserve">  </w:t>
      </w:r>
      <w:proofErr w:type="gramStart"/>
      <w:r>
        <w:t>m :</w:t>
      </w:r>
      <w:proofErr w:type="gramEnd"/>
      <w:r>
        <w:t>= F^-1(</w:t>
      </w:r>
      <w:proofErr w:type="spellStart"/>
      <w:r>
        <w:t>k,c</w:t>
      </w:r>
      <w:proofErr w:type="spellEnd"/>
      <w:r>
        <w:t>) XOR r</w:t>
      </w:r>
    </w:p>
    <w:p w14:paraId="39D3461B" w14:textId="59F04DA9" w:rsidR="00176A24" w:rsidRDefault="00176A24" w:rsidP="00176A24">
      <w:r>
        <w:t xml:space="preserve">  return </w:t>
      </w:r>
      <w:proofErr w:type="gramStart"/>
      <w:r>
        <w:t>m</w:t>
      </w:r>
      <w:proofErr w:type="gramEnd"/>
    </w:p>
    <w:p w14:paraId="2918C745" w14:textId="72E028A1" w:rsidR="00FC222E" w:rsidRDefault="00FC222E" w:rsidP="00FC222E">
      <w:r>
        <w:t>1B)</w:t>
      </w:r>
    </w:p>
    <w:p w14:paraId="449D8634" w14:textId="77777777" w:rsidR="007B22DC" w:rsidRDefault="007B22DC" w:rsidP="007B22DC">
      <w:r>
        <w:t>In order to prove that the encryption scheme has CPA security, we need to show that an adversary can't distinguish between encryptions of two different plaintext.</w:t>
      </w:r>
    </w:p>
    <w:p w14:paraId="6A3247DD" w14:textId="77777777" w:rsidR="007B22DC" w:rsidRDefault="007B22DC" w:rsidP="007B22DC"/>
    <w:p w14:paraId="25FBD45C" w14:textId="77777777" w:rsidR="007B22DC" w:rsidRDefault="007B22DC" w:rsidP="007B22DC">
      <w:r>
        <w:t>An adversary is given access to an encryption oracle Enc(</w:t>
      </w:r>
      <w:proofErr w:type="spellStart"/>
      <w:proofErr w:type="gramStart"/>
      <w:r>
        <w:t>k,m</w:t>
      </w:r>
      <w:proofErr w:type="spellEnd"/>
      <w:proofErr w:type="gramEnd"/>
      <w:r>
        <w:t>) for two unknown plaintext messages m0 and m1.</w:t>
      </w:r>
    </w:p>
    <w:p w14:paraId="490E968D" w14:textId="77777777" w:rsidR="007B22DC" w:rsidRDefault="007B22DC" w:rsidP="007B22DC"/>
    <w:p w14:paraId="4FB283DA" w14:textId="77777777" w:rsidR="007B22DC" w:rsidRDefault="007B22DC" w:rsidP="007B22DC">
      <w:r>
        <w:t xml:space="preserve">An adversary can make two queries to the encryption function, one for m0 and one for m1, and </w:t>
      </w:r>
      <w:proofErr w:type="spellStart"/>
      <w:r>
        <w:t>recieve</w:t>
      </w:r>
      <w:proofErr w:type="spellEnd"/>
      <w:r>
        <w:t xml:space="preserve"> the two ciphertexts c0 and c1.</w:t>
      </w:r>
    </w:p>
    <w:p w14:paraId="0E7919DD" w14:textId="77777777" w:rsidR="007B22DC" w:rsidRDefault="007B22DC" w:rsidP="007B22DC"/>
    <w:p w14:paraId="1C839955" w14:textId="56E1FAB1" w:rsidR="00176A24" w:rsidRDefault="007B22DC" w:rsidP="007B22DC">
      <w:r>
        <w:t>Since F is a secure PRP, it is computationally infeasible for the attacker to invert F and find the corresponding plaintext from the ciphertext. Hence, the attacker cannot determine the plaintext message m0 or m1 from c0 or c1. Hence the encryption scheme is secure against CPA.</w:t>
      </w:r>
    </w:p>
    <w:p w14:paraId="0817F8AB" w14:textId="47C150A5" w:rsidR="00FC222E" w:rsidRDefault="00FC222E" w:rsidP="00FC222E">
      <w:r>
        <w:t>2)</w:t>
      </w:r>
    </w:p>
    <w:p w14:paraId="640D8424" w14:textId="05B5FC93" w:rsidR="00E25799" w:rsidRDefault="00E25799" w:rsidP="00E25799">
      <w:r>
        <w:t xml:space="preserve">The construction shown does not have CPA security. </w:t>
      </w:r>
      <w:r>
        <w:t xml:space="preserve">Suppose an attacker has the </w:t>
      </w:r>
      <w:r>
        <w:t xml:space="preserve">enc </w:t>
      </w:r>
      <w:proofErr w:type="spellStart"/>
      <w:r>
        <w:t>func</w:t>
      </w:r>
      <w:proofErr w:type="spellEnd"/>
      <w:r>
        <w:t xml:space="preserve"> and knows the </w:t>
      </w:r>
      <w:r>
        <w:t>c0</w:t>
      </w:r>
      <w:r>
        <w:t xml:space="preserve"> of one plaintext block m0. They can then choose two plaintexts m1 and m2 such that m1 ≠ m2, but m0 </w:t>
      </w:r>
      <w:r>
        <w:rPr>
          <w:rFonts w:ascii="Cambria Math" w:hAnsi="Cambria Math" w:cs="Cambria Math"/>
        </w:rPr>
        <w:t>⊕</w:t>
      </w:r>
      <w:r>
        <w:t xml:space="preserve"> m1 = m0 </w:t>
      </w:r>
      <w:r>
        <w:rPr>
          <w:rFonts w:ascii="Cambria Math" w:hAnsi="Cambria Math" w:cs="Cambria Math"/>
        </w:rPr>
        <w:t>⊕</w:t>
      </w:r>
      <w:r>
        <w:t xml:space="preserve"> m2. The attacker will then obtain two ciphertexts (x</w:t>
      </w:r>
      <w:proofErr w:type="gramStart"/>
      <w:r>
        <w:t>1,y</w:t>
      </w:r>
      <w:proofErr w:type="gramEnd"/>
      <w:r>
        <w:t xml:space="preserve">1) and (x2,y2), where x1 = x2 and y1 ≠ y2. This is because s1 is independent of the plaintext, and therefore x1 = </w:t>
      </w:r>
      <w:proofErr w:type="gramStart"/>
      <w:r>
        <w:t>F(</w:t>
      </w:r>
      <w:proofErr w:type="gramEnd"/>
      <w:r>
        <w:t>k, s1) = x2. Meanwhile, s2 is derived from s1 and the plaintext, so s2 is different for each encryption and therefore y1 ≠ y2.</w:t>
      </w:r>
    </w:p>
    <w:p w14:paraId="2D907677" w14:textId="77777777" w:rsidR="00E25799" w:rsidRDefault="00E25799" w:rsidP="00E25799">
      <w:r>
        <w:t>Since the attacker has the same key and knows the encryption of one plaintext, they can now determine the encryption of any other plaintext. This violates the requirement of CPA security, as the attacker can distinguish the encryption of different plaintexts.</w:t>
      </w:r>
    </w:p>
    <w:p w14:paraId="36C36A76" w14:textId="7669EEDE" w:rsidR="00E25799" w:rsidRDefault="00E25799" w:rsidP="00E25799">
      <w:r>
        <w:t>Therefore, this construction is not secure against CPA and therefore not secure against chosen plaintext attacks/chosen ciphertext attacks (CPA/CCA).</w:t>
      </w:r>
    </w:p>
    <w:sectPr w:rsidR="00E25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2E"/>
    <w:rsid w:val="00176A24"/>
    <w:rsid w:val="004C179B"/>
    <w:rsid w:val="0079772A"/>
    <w:rsid w:val="007B22DC"/>
    <w:rsid w:val="00861976"/>
    <w:rsid w:val="00E25799"/>
    <w:rsid w:val="00FC2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A672"/>
  <w15:chartTrackingRefBased/>
  <w15:docId w15:val="{1E6E96F5-9A26-4A03-8017-E047BCD7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49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1</cp:revision>
  <dcterms:created xsi:type="dcterms:W3CDTF">2023-02-09T03:12:00Z</dcterms:created>
  <dcterms:modified xsi:type="dcterms:W3CDTF">2023-02-09T04:25:00Z</dcterms:modified>
</cp:coreProperties>
</file>