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rPr>
          <w:rFonts w:hint="eastAsia"/>
          <w:lang w:val="en-US" w:eastAsia="zh-CN"/>
        </w:rPr>
      </w:pPr>
      <w:r>
        <w:rPr>
          <w:rFonts w:hint="eastAsia"/>
          <w:lang w:val="en-US" w:eastAsia="zh-CN"/>
        </w:rPr>
        <w:t>关于潮宗街棚改项目被征收人黄冲云户的质证意见</w:t>
      </w:r>
    </w:p>
    <w:p>
      <w:pPr>
        <w:numPr>
          <w:ilvl w:val="0"/>
          <w:numId w:val="1"/>
        </w:numPr>
        <w:ind w:left="0" w:leftChars="0" w:firstLine="419" w:firstLineChars="131"/>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第一组证据</w:t>
      </w:r>
    </w:p>
    <w:p>
      <w:pPr>
        <w:numPr>
          <w:ilvl w:val="0"/>
          <w:numId w:val="0"/>
        </w:numPr>
        <w:ind w:leftChars="131"/>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原告对该组证据的真实性、合法性、关联性无异议，恰好说明原告合法拥有被征收房屋。</w:t>
      </w:r>
    </w:p>
    <w:p>
      <w:pPr>
        <w:numPr>
          <w:ilvl w:val="0"/>
          <w:numId w:val="0"/>
        </w:numPr>
        <w:ind w:left="0" w:leftChars="0" w:firstLine="419" w:firstLineChars="131"/>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（请书记员记录：房屋征收部门在征收公告出来之前就调出了原告的房屋产权情况信息，属于泄露公民个人信息，严重侵犯公民隐私权，原告保留追究被告法律责任的一切权利）</w:t>
      </w:r>
    </w:p>
    <w:p>
      <w:pPr>
        <w:numPr>
          <w:ilvl w:val="0"/>
          <w:numId w:val="1"/>
        </w:numPr>
        <w:ind w:left="0" w:leftChars="0" w:firstLine="419" w:firstLineChars="131"/>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第二组证据</w:t>
      </w:r>
    </w:p>
    <w:p>
      <w:pPr>
        <w:numPr>
          <w:ilvl w:val="0"/>
          <w:numId w:val="0"/>
        </w:numPr>
        <w:ind w:left="0" w:leftChars="0" w:firstLine="419" w:firstLineChars="131"/>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对评估报告的三性有异议：</w:t>
      </w:r>
    </w:p>
    <w:p>
      <w:pPr>
        <w:numPr>
          <w:ilvl w:val="0"/>
          <w:numId w:val="2"/>
        </w:numPr>
        <w:ind w:left="0" w:leftChars="0" w:firstLine="419" w:firstLineChars="131"/>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国有土地上房屋征收与补偿条例（以下简称国务院590令)第二十条明确规定：房地产价格评估机构由被征收人协商选定；协商不成的，通过多数决定、随机选定等方式确定，具体办法由省、自治区、直辖市制定。根据被告提供的资料证明，协商选定房地产价格评估机构公告上记载“2016年4月6日起5个工作日内协商选定3家评估机构，并于2016年4月14日前公布协商结果”。但是被告没有提供房屋征收部门给原告及其他被征收人留出协商时间，也没有提供其与被征收人协商不成等情况的有关证据，更无法证明整个协商过程真实合法有效，而直接进入投票选定环节，属于程序违法。另外，法律明确规定了评估机构首先需要由被征收人协商选定，那么就需要确定哪些人是被征收人也就是被征收房屋的所有权人。法定程序是：作出征收决定、对被征收范围内房屋权属进行调查登记、确定被征收房屋所有权人。所以，评估机构只能在征收决定作出后选定。程序正当原则是行政机关依法行政的基本要求，程序上的公正与实体上的公正同等重要。</w:t>
      </w:r>
    </w:p>
    <w:p>
      <w:pPr>
        <w:numPr>
          <w:ilvl w:val="0"/>
          <w:numId w:val="2"/>
        </w:numPr>
        <w:ind w:left="0" w:leftChars="0" w:firstLine="419" w:firstLineChars="131"/>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另外:被告提供的2369号公证书只是对2016年4月22日当天的投票结果进行结果公证，而没有对4.15—4.21日的投票过程进行过程公证。公证书的证明力明显不足，且无法证明整个投票程序都是公正的（请被告提供公证处对投票环节进行监督公证的证据）。</w:t>
      </w:r>
    </w:p>
    <w:p>
      <w:pPr>
        <w:numPr>
          <w:numId w:val="0"/>
        </w:numPr>
        <w:ind w:firstLine="320" w:firstLineChars="100"/>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补充说明：投票过程是4.15—4.21，但被告4.21日才委托公证处进行投票公证，足以证明4.15—4.21的投票环节是没有进行公证的。另外，4.15日到4.22日有一周时间，投票箱有无封存，投票箱的封条是否完好无损，投票过程由谁监督？这些在公证书中统统都没有交代，如何证明投票结果是真实，合法有效呢？</w:t>
      </w:r>
    </w:p>
    <w:p>
      <w:pPr>
        <w:numPr>
          <w:ilvl w:val="0"/>
          <w:numId w:val="2"/>
        </w:numPr>
        <w:ind w:left="0" w:leftChars="0" w:firstLine="419" w:firstLineChars="131"/>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委托评估机构的委托书居然有2份（举证环节提供）</w:t>
      </w:r>
    </w:p>
    <w:p>
      <w:pPr>
        <w:numPr>
          <w:numId w:val="0"/>
        </w:numPr>
        <w:ind w:leftChars="131"/>
        <w:jc w:val="both"/>
        <w:rPr>
          <w:rFonts w:hint="eastAsia" w:ascii="仿宋" w:hAnsi="仿宋" w:eastAsia="仿宋" w:cs="仿宋"/>
          <w:sz w:val="32"/>
          <w:szCs w:val="32"/>
          <w:lang w:val="en-US" w:eastAsia="zh-CN"/>
        </w:rPr>
      </w:pPr>
    </w:p>
    <w:p>
      <w:pPr>
        <w:numPr>
          <w:numId w:val="0"/>
        </w:numPr>
        <w:ind w:leftChars="131"/>
        <w:jc w:val="both"/>
        <w:rPr>
          <w:rFonts w:hint="eastAsia" w:ascii="仿宋" w:hAnsi="仿宋" w:eastAsia="仿宋" w:cs="仿宋"/>
          <w:sz w:val="32"/>
          <w:szCs w:val="32"/>
          <w:lang w:val="en-US" w:eastAsia="zh-CN"/>
        </w:rPr>
      </w:pPr>
    </w:p>
    <w:p>
      <w:pPr>
        <w:numPr>
          <w:numId w:val="0"/>
        </w:numPr>
        <w:ind w:leftChars="131"/>
        <w:jc w:val="both"/>
        <w:rPr>
          <w:rFonts w:hint="eastAsia" w:ascii="仿宋" w:hAnsi="仿宋" w:eastAsia="仿宋" w:cs="仿宋"/>
          <w:sz w:val="32"/>
          <w:szCs w:val="32"/>
          <w:lang w:val="en-US" w:eastAsia="zh-CN"/>
        </w:rPr>
      </w:pPr>
    </w:p>
    <w:p>
      <w:pPr>
        <w:numPr>
          <w:numId w:val="0"/>
        </w:numPr>
        <w:ind w:leftChars="131"/>
        <w:jc w:val="both"/>
        <w:rPr>
          <w:rFonts w:hint="eastAsia" w:ascii="仿宋" w:hAnsi="仿宋" w:eastAsia="仿宋" w:cs="仿宋"/>
          <w:sz w:val="32"/>
          <w:szCs w:val="32"/>
          <w:lang w:val="en-US" w:eastAsia="zh-CN"/>
        </w:rPr>
      </w:pPr>
    </w:p>
    <w:p>
      <w:pPr>
        <w:numPr>
          <w:ilvl w:val="0"/>
          <w:numId w:val="1"/>
        </w:numPr>
        <w:ind w:left="0" w:leftChars="0" w:firstLine="419" w:firstLineChars="131"/>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第三组证据</w:t>
      </w:r>
    </w:p>
    <w:p>
      <w:pPr>
        <w:numPr>
          <w:ilvl w:val="0"/>
          <w:numId w:val="3"/>
        </w:numPr>
        <w:ind w:left="0" w:leftChars="0" w:firstLine="419" w:firstLineChars="131"/>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原告对第三组证据的真实性、合法性、关联性都有异议。</w:t>
      </w:r>
    </w:p>
    <w:p>
      <w:pPr>
        <w:numPr>
          <w:ilvl w:val="0"/>
          <w:numId w:val="0"/>
        </w:numPr>
        <w:ind w:left="0" w:leftChars="0" w:firstLine="419" w:firstLineChars="131"/>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行政诉讼第三十三条 证据包括：</w:t>
      </w:r>
    </w:p>
    <w:p>
      <w:pPr>
        <w:numPr>
          <w:ilvl w:val="0"/>
          <w:numId w:val="0"/>
        </w:numPr>
        <w:ind w:left="0" w:leftChars="0" w:firstLine="419" w:firstLineChars="131"/>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    （一）书证；</w:t>
      </w:r>
    </w:p>
    <w:p>
      <w:pPr>
        <w:numPr>
          <w:ilvl w:val="0"/>
          <w:numId w:val="0"/>
        </w:numPr>
        <w:ind w:left="0" w:leftChars="0" w:firstLine="419" w:firstLineChars="131"/>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    （二）物证；</w:t>
      </w:r>
    </w:p>
    <w:p>
      <w:pPr>
        <w:numPr>
          <w:ilvl w:val="0"/>
          <w:numId w:val="0"/>
        </w:numPr>
        <w:ind w:left="0" w:leftChars="0" w:firstLine="419" w:firstLineChars="131"/>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    （三）视听资料；</w:t>
      </w:r>
    </w:p>
    <w:p>
      <w:pPr>
        <w:numPr>
          <w:ilvl w:val="0"/>
          <w:numId w:val="0"/>
        </w:numPr>
        <w:ind w:left="0" w:leftChars="0" w:firstLine="419" w:firstLineChars="131"/>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    （四）电子数据；</w:t>
      </w:r>
    </w:p>
    <w:p>
      <w:pPr>
        <w:numPr>
          <w:ilvl w:val="0"/>
          <w:numId w:val="0"/>
        </w:numPr>
        <w:ind w:left="0" w:leftChars="0" w:firstLine="419" w:firstLineChars="131"/>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    （五）证人证言；</w:t>
      </w:r>
    </w:p>
    <w:p>
      <w:pPr>
        <w:numPr>
          <w:ilvl w:val="0"/>
          <w:numId w:val="0"/>
        </w:numPr>
        <w:ind w:left="0" w:leftChars="0" w:firstLine="419" w:firstLineChars="131"/>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    （六）当事人的陈述；</w:t>
      </w:r>
    </w:p>
    <w:p>
      <w:pPr>
        <w:numPr>
          <w:ilvl w:val="0"/>
          <w:numId w:val="0"/>
        </w:numPr>
        <w:ind w:left="0" w:leftChars="0" w:firstLine="419" w:firstLineChars="131"/>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    （七）鉴定意见；</w:t>
      </w:r>
    </w:p>
    <w:p>
      <w:pPr>
        <w:numPr>
          <w:ilvl w:val="0"/>
          <w:numId w:val="0"/>
        </w:numPr>
        <w:ind w:left="0" w:leftChars="0" w:firstLine="736" w:firstLineChars="230"/>
        <w:jc w:val="both"/>
        <w:rPr>
          <w:rFonts w:hint="eastAsia" w:ascii="仿宋" w:hAnsi="仿宋" w:eastAsia="仿宋" w:cs="仿宋"/>
          <w:b/>
          <w:bCs/>
          <w:sz w:val="32"/>
          <w:szCs w:val="32"/>
          <w:lang w:val="en-US" w:eastAsia="zh-CN"/>
        </w:rPr>
      </w:pPr>
      <w:r>
        <w:rPr>
          <w:rFonts w:hint="eastAsia" w:ascii="仿宋" w:hAnsi="仿宋" w:eastAsia="仿宋" w:cs="仿宋"/>
          <w:sz w:val="32"/>
          <w:szCs w:val="32"/>
          <w:lang w:val="en-US" w:eastAsia="zh-CN"/>
        </w:rPr>
        <w:t>（八）</w:t>
      </w:r>
      <w:r>
        <w:rPr>
          <w:rFonts w:hint="eastAsia" w:ascii="仿宋" w:hAnsi="仿宋" w:eastAsia="仿宋" w:cs="仿宋"/>
          <w:b/>
          <w:bCs/>
          <w:sz w:val="32"/>
          <w:szCs w:val="32"/>
          <w:lang w:val="en-US" w:eastAsia="zh-CN"/>
        </w:rPr>
        <w:t>勘验笔录、现场笔录。</w:t>
      </w:r>
    </w:p>
    <w:p>
      <w:pPr>
        <w:numPr>
          <w:ilvl w:val="0"/>
          <w:numId w:val="0"/>
        </w:numPr>
        <w:ind w:left="0" w:leftChars="0" w:firstLine="419" w:firstLineChars="131"/>
        <w:jc w:val="both"/>
        <w:rPr>
          <w:rFonts w:hint="eastAsia" w:ascii="仿宋" w:hAnsi="仿宋" w:eastAsia="仿宋" w:cs="仿宋"/>
          <w:sz w:val="32"/>
          <w:szCs w:val="32"/>
          <w:u w:val="single"/>
          <w:lang w:val="en-US" w:eastAsia="zh-CN"/>
        </w:rPr>
      </w:pPr>
      <w:r>
        <w:rPr>
          <w:rFonts w:hint="eastAsia" w:ascii="仿宋" w:hAnsi="仿宋" w:eastAsia="仿宋" w:cs="仿宋"/>
          <w:sz w:val="32"/>
          <w:szCs w:val="32"/>
          <w:u w:val="single"/>
          <w:lang w:val="en-US" w:eastAsia="zh-CN"/>
        </w:rPr>
        <w:t>原告认为：（请书记员记录）谈话笔录既不属于勘验笔录，也不属于现场笔录，开福区政府是行政机关，同时也是实施法律法规的重要主体，原告希望开福区政府带头守法尊法；</w:t>
      </w:r>
    </w:p>
    <w:p>
      <w:pPr>
        <w:numPr>
          <w:ilvl w:val="0"/>
          <w:numId w:val="0"/>
        </w:numPr>
        <w:ind w:left="0" w:leftChars="0" w:firstLine="419" w:firstLineChars="131"/>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理由如下：被告提供的谈话笔录明显不符合上述证据要求，原告不知道谈话笔录是属于何种证据？如果说是勘验笔录，被告明显不是适格主体，如果说是现场笔录：那么根据相关规定,现场笔录是指行政机关对行政相对人的违法行为当场给予处罚或处理而制作的文字记载材料,现场笔录应当符合下列要求:第一,必须由法定的制作主体制作,为了保证笔录的合法性,现场笔录必须由法定主体制作,非法定主体不能制作。本条规定的现场笔录是被告提供的现场笔录,该现场笔录是行政诉讼中特有的法定证据,因此制作主体必须是行政执法人员,不能由其他人员完成,通常也不允许委托他人来制作。目的是保证笔录制作的客观、全面和真实。</w:t>
      </w:r>
    </w:p>
    <w:p>
      <w:pPr>
        <w:numPr>
          <w:ilvl w:val="0"/>
          <w:numId w:val="0"/>
        </w:numPr>
        <w:ind w:left="0" w:leftChars="0" w:firstLine="419" w:firstLineChars="131"/>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第二,现场笔录的制作应当及时。现场笔录必须是行政执法人员现场制作的,是对现场处罚或处理有关情况的真实记载,而不能是事后补作的。</w:t>
      </w:r>
    </w:p>
    <w:p>
      <w:pPr>
        <w:numPr>
          <w:ilvl w:val="0"/>
          <w:numId w:val="0"/>
        </w:numPr>
        <w:ind w:left="0" w:leftChars="0" w:firstLine="419" w:firstLineChars="131"/>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第三,现场笔录的制作应当全面、客观、真实。现场笔录应当对行政相对人违反法律、法规规定的事实以及行政机关对其所作的处罚或处理的具体情况如实反映,因此,现场笔录必须将制作的时间、地点、内容以及现场的其他情况无遗漏的载明。</w:t>
      </w:r>
    </w:p>
    <w:p>
      <w:pPr>
        <w:numPr>
          <w:ilvl w:val="0"/>
          <w:numId w:val="0"/>
        </w:numPr>
        <w:ind w:left="0" w:leftChars="0" w:firstLine="419" w:firstLineChars="131"/>
        <w:jc w:val="both"/>
        <w:rPr>
          <w:rFonts w:hint="eastAsia" w:ascii="仿宋" w:hAnsi="仿宋" w:eastAsia="仿宋" w:cs="仿宋"/>
          <w:sz w:val="32"/>
          <w:szCs w:val="32"/>
          <w:lang w:val="en-US" w:eastAsia="zh-CN"/>
        </w:rPr>
      </w:pPr>
    </w:p>
    <w:p>
      <w:pPr>
        <w:numPr>
          <w:ilvl w:val="0"/>
          <w:numId w:val="0"/>
        </w:numPr>
        <w:ind w:left="0" w:leftChars="0" w:firstLine="419" w:firstLineChars="131"/>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第四,现场笔录的制作应当符合法律程序。现场笔录制作完毕之后,必须由执法人员和行政相对人签名或盖章,在可能的情况还应当由在场的证人签名或盖章,行政相对人拒绝签名或盖章的，应当载明原因；有其他人在场的可以由其他在场的证人签名或盖章。没有行政相对人或有关证人签名或盖章的，不能作为证据使用。</w:t>
      </w:r>
    </w:p>
    <w:p>
      <w:pPr>
        <w:numPr>
          <w:ilvl w:val="0"/>
          <w:numId w:val="0"/>
        </w:numPr>
        <w:ind w:left="0" w:leftChars="0" w:firstLine="419" w:firstLineChars="131"/>
        <w:jc w:val="both"/>
        <w:rPr>
          <w:rFonts w:hint="eastAsia" w:ascii="仿宋" w:hAnsi="仿宋" w:eastAsia="仿宋" w:cs="仿宋"/>
          <w:sz w:val="32"/>
          <w:szCs w:val="32"/>
          <w:lang w:val="en-US" w:eastAsia="zh-CN"/>
        </w:rPr>
      </w:pPr>
    </w:p>
    <w:p>
      <w:pPr>
        <w:numPr>
          <w:ilvl w:val="0"/>
          <w:numId w:val="1"/>
        </w:numPr>
        <w:ind w:left="0" w:leftChars="0" w:firstLine="419" w:firstLineChars="131"/>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第四组证据</w:t>
      </w:r>
    </w:p>
    <w:p>
      <w:pPr>
        <w:numPr>
          <w:ilvl w:val="0"/>
          <w:numId w:val="0"/>
        </w:numPr>
        <w:ind w:left="0" w:leftChars="0" w:firstLine="419" w:firstLineChars="131"/>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原告对第四组证据的真实性、合法性、关联性都有异议。</w:t>
      </w:r>
    </w:p>
    <w:p>
      <w:pPr>
        <w:numPr>
          <w:ilvl w:val="0"/>
          <w:numId w:val="4"/>
        </w:numPr>
        <w:ind w:left="0" w:leftChars="0" w:firstLine="419" w:firstLineChars="131"/>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被告提供的证据无法证明已经将征收补偿方案、产权调换房屋评估报告等送达给本人。</w:t>
      </w:r>
      <w:r>
        <w:rPr>
          <w:rFonts w:hint="eastAsia" w:ascii="仿宋" w:hAnsi="仿宋" w:eastAsia="仿宋" w:cs="仿宋"/>
          <w:sz w:val="32"/>
          <w:szCs w:val="32"/>
          <w:u w:val="single"/>
          <w:lang w:val="en-US" w:eastAsia="zh-CN"/>
        </w:rPr>
        <w:t>同时被告也没有提供任何证据来证明，负责潮宗街棚改项目征收工作的征收工作人员是定期接受了相关业务、法律方面的培训，经考核合格后才上岗。原告认为征收工作人员属于无证上岗，送达文书的行为是非法且无效的行为；</w:t>
      </w:r>
      <w:r>
        <w:rPr>
          <w:rFonts w:hint="eastAsia" w:ascii="仿宋" w:hAnsi="仿宋" w:eastAsia="仿宋" w:cs="仿宋"/>
          <w:sz w:val="32"/>
          <w:szCs w:val="32"/>
          <w:u w:val="none"/>
          <w:lang w:val="en-US" w:eastAsia="zh-CN"/>
        </w:rPr>
        <w:t>况且，</w:t>
      </w:r>
      <w:r>
        <w:rPr>
          <w:rFonts w:hint="eastAsia" w:ascii="仿宋" w:hAnsi="仿宋" w:eastAsia="仿宋" w:cs="仿宋"/>
          <w:sz w:val="32"/>
          <w:szCs w:val="32"/>
          <w:lang w:val="en-US" w:eastAsia="zh-CN"/>
        </w:rPr>
        <w:t>送达回证上也无本人签名。</w:t>
      </w:r>
    </w:p>
    <w:p>
      <w:pPr>
        <w:numPr>
          <w:numId w:val="0"/>
        </w:numPr>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在法律明确赋予被征收人司法救济权的情况下，征收补偿方案、产权调换房屋评估报告的送达程序显得尤为重要，因为只有送达程序执行到位，补偿协议或补偿决定的实质性内容才能予以确认。</w:t>
      </w:r>
    </w:p>
    <w:p>
      <w:pPr>
        <w:numPr>
          <w:ilvl w:val="0"/>
          <w:numId w:val="4"/>
        </w:numPr>
        <w:ind w:left="0" w:leftChars="0" w:firstLine="419" w:firstLineChars="131"/>
        <w:jc w:val="both"/>
        <w:rPr>
          <w:rFonts w:hint="eastAsia" w:ascii="仿宋" w:hAnsi="仿宋" w:eastAsia="仿宋" w:cs="仿宋"/>
          <w:sz w:val="32"/>
          <w:szCs w:val="32"/>
          <w:u w:val="single"/>
          <w:lang w:val="en-US" w:eastAsia="zh-CN"/>
        </w:rPr>
      </w:pPr>
      <w:r>
        <w:rPr>
          <w:rFonts w:hint="eastAsia" w:ascii="仿宋" w:hAnsi="仿宋" w:eastAsia="仿宋" w:cs="仿宋"/>
          <w:sz w:val="32"/>
          <w:szCs w:val="32"/>
          <w:lang w:val="en-US" w:eastAsia="zh-CN"/>
        </w:rPr>
        <w:tab/>
      </w:r>
      <w:r>
        <w:rPr>
          <w:rFonts w:hint="eastAsia" w:ascii="仿宋" w:hAnsi="仿宋" w:eastAsia="仿宋" w:cs="仿宋"/>
          <w:sz w:val="32"/>
          <w:szCs w:val="32"/>
          <w:lang w:val="en-US" w:eastAsia="zh-CN"/>
        </w:rPr>
        <w:t>长沙市国有土地上房屋征收与补偿实施办法第三十一条明确规定： 被征收人可以选择货币补偿，也可以选择房屋产权调换。被征收人选择房屋产权调换的，市、区、县（市）人民政府应当提供用于产权调换的房屋，并与被征收人计算、结清被征收房屋价值与用于产权调换房屋价值的差价。</w:t>
      </w:r>
      <w:r>
        <w:rPr>
          <w:rFonts w:hint="eastAsia" w:ascii="仿宋" w:hAnsi="仿宋" w:eastAsia="仿宋" w:cs="仿宋"/>
          <w:sz w:val="32"/>
          <w:szCs w:val="32"/>
          <w:u w:val="single"/>
          <w:lang w:val="en-US" w:eastAsia="zh-CN"/>
        </w:rPr>
        <w:t>用于产权调换房屋的价值，除政府有特别规定外，应当由房地产价格评估机构评估确定。用于产权调换房屋的价值评估时点，应当与被征收房屋价值评估时点一致。</w:t>
      </w:r>
      <w:r>
        <w:rPr>
          <w:rFonts w:hint="eastAsia" w:ascii="仿宋" w:hAnsi="仿宋" w:eastAsia="仿宋" w:cs="仿宋"/>
          <w:sz w:val="32"/>
          <w:szCs w:val="32"/>
          <w:u w:val="none"/>
          <w:lang w:val="en-US" w:eastAsia="zh-CN"/>
        </w:rPr>
        <w:t>但</w:t>
      </w:r>
      <w:r>
        <w:rPr>
          <w:rFonts w:hint="eastAsia" w:ascii="仿宋" w:hAnsi="仿宋" w:eastAsia="仿宋" w:cs="仿宋"/>
          <w:sz w:val="32"/>
          <w:szCs w:val="32"/>
          <w:lang w:val="en-US" w:eastAsia="zh-CN"/>
        </w:rPr>
        <w:t>被告提供的的产权调换房屋的评估报告是2017年才出具，</w:t>
      </w:r>
      <w:r>
        <w:rPr>
          <w:rFonts w:hint="eastAsia" w:ascii="仿宋" w:hAnsi="仿宋" w:eastAsia="仿宋" w:cs="仿宋"/>
          <w:sz w:val="32"/>
          <w:szCs w:val="32"/>
          <w:u w:val="single"/>
          <w:lang w:val="en-US" w:eastAsia="zh-CN"/>
        </w:rPr>
        <w:t>如何证明2017年才出具的产权调换房屋的价值评估时点与被征收房屋价值评估时点（2016.5.30）一致？请被告拿出证据。</w:t>
      </w:r>
    </w:p>
    <w:p>
      <w:pPr>
        <w:numPr>
          <w:numId w:val="0"/>
        </w:numPr>
        <w:ind w:leftChars="131"/>
        <w:jc w:val="both"/>
        <w:rPr>
          <w:rFonts w:hint="eastAsia" w:ascii="仿宋" w:hAnsi="仿宋" w:eastAsia="仿宋" w:cs="仿宋"/>
          <w:sz w:val="32"/>
          <w:szCs w:val="32"/>
          <w:lang w:val="en-US" w:eastAsia="zh-CN"/>
        </w:rPr>
      </w:pPr>
      <w:bookmarkStart w:id="0" w:name="_GoBack"/>
      <w:bookmarkEnd w:id="0"/>
    </w:p>
    <w:p>
      <w:pPr>
        <w:numPr>
          <w:ilvl w:val="0"/>
          <w:numId w:val="1"/>
        </w:numPr>
        <w:ind w:left="0" w:leftChars="0" w:firstLine="419" w:firstLineChars="131"/>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第五组证据</w:t>
      </w:r>
    </w:p>
    <w:p>
      <w:pPr>
        <w:numPr>
          <w:ilvl w:val="0"/>
          <w:numId w:val="0"/>
        </w:numPr>
        <w:ind w:left="0" w:leftChars="0" w:firstLine="419" w:firstLineChars="131"/>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对第3小点真实性、合法性、关联性有异议；</w:t>
      </w:r>
    </w:p>
    <w:p>
      <w:pPr>
        <w:numPr>
          <w:ilvl w:val="0"/>
          <w:numId w:val="5"/>
        </w:numPr>
        <w:ind w:left="0" w:leftChars="0" w:firstLine="419" w:firstLineChars="131"/>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开福区棚改项目定向住宅房预定合同福泽园》是复制件，请被告拿出原件；另外，合同上载明：需区政府鉴证后才生效，但区政府一栏仅有印章连日期都是空白，如何证明区政府知晓并鉴证该合同？请被告提供相关证据；</w:t>
      </w:r>
    </w:p>
    <w:p>
      <w:pPr>
        <w:numPr>
          <w:ilvl w:val="0"/>
          <w:numId w:val="5"/>
        </w:numPr>
        <w:ind w:left="0" w:leftChars="0" w:firstLine="419" w:firstLineChars="131"/>
        <w:jc w:val="both"/>
        <w:rPr>
          <w:rFonts w:hint="eastAsia" w:ascii="仿宋" w:hAnsi="仿宋" w:eastAsia="仿宋" w:cs="仿宋"/>
          <w:sz w:val="32"/>
          <w:szCs w:val="32"/>
          <w:u w:val="single"/>
          <w:lang w:val="en-US" w:eastAsia="zh-CN"/>
        </w:rPr>
      </w:pPr>
      <w:r>
        <w:rPr>
          <w:rFonts w:hint="eastAsia" w:ascii="仿宋" w:hAnsi="仿宋" w:eastAsia="仿宋" w:cs="仿宋"/>
          <w:sz w:val="32"/>
          <w:szCs w:val="32"/>
          <w:lang w:val="en-US" w:eastAsia="zh-CN"/>
        </w:rPr>
        <w:t>《开福区棚改项目定向住宅房预定合同福泽园》第三条陈述乙方在10个工作日内预付甲方人民币一千万元整，而另外一份合同（合同名称一致）同样的条款陈述是三千一百六十万元。《开福区棚改项目定向住宅房预定合同福泽园》第四条陈述甲方应当在2016年12月31日前将竣工验收合格的定向房交付乙方，而另外一份合同（合同名称一致）同样的条款陈述甲方应当在2017年9月30日前将竣工验收合格的定向房交付乙方；</w:t>
      </w:r>
      <w:r>
        <w:rPr>
          <w:rFonts w:hint="eastAsia" w:ascii="仿宋" w:hAnsi="仿宋" w:eastAsia="仿宋" w:cs="仿宋"/>
          <w:sz w:val="32"/>
          <w:szCs w:val="32"/>
          <w:u w:val="single"/>
          <w:lang w:val="en-US" w:eastAsia="zh-CN"/>
        </w:rPr>
        <w:t>原告认为同一份合同，同一条款，却有不同的约定金额，属于无效合同；（举证）</w:t>
      </w:r>
    </w:p>
    <w:p>
      <w:pPr>
        <w:numPr>
          <w:ilvl w:val="0"/>
          <w:numId w:val="5"/>
        </w:numPr>
        <w:ind w:left="0" w:leftChars="0" w:firstLine="419" w:firstLineChars="131"/>
        <w:jc w:val="both"/>
        <w:rPr>
          <w:rFonts w:hint="eastAsia" w:ascii="仿宋" w:hAnsi="仿宋" w:eastAsia="仿宋" w:cs="仿宋"/>
          <w:sz w:val="32"/>
          <w:szCs w:val="32"/>
          <w:u w:val="single"/>
          <w:lang w:val="en-US" w:eastAsia="zh-CN"/>
        </w:rPr>
      </w:pPr>
      <w:r>
        <w:rPr>
          <w:rFonts w:hint="eastAsia" w:ascii="仿宋" w:hAnsi="仿宋" w:eastAsia="仿宋" w:cs="仿宋"/>
          <w:sz w:val="32"/>
          <w:szCs w:val="32"/>
          <w:u w:val="none"/>
          <w:lang w:val="en-US" w:eastAsia="zh-CN"/>
        </w:rPr>
        <w:t>而无论依据哪份合同，都明显违反长沙市国有土地上房屋征收与补偿实施办法第三十一条之规定： 被征收人可以选择货币补偿，也可以选择房屋产权调换。被征收人选择房屋产权调换的，市、区、县（市）人民政府应当提供用于产权调换的房屋，并与被征收人计算、结清被征收房屋价值与用于产权调换房屋价值的差价。</w:t>
      </w:r>
      <w:r>
        <w:rPr>
          <w:rFonts w:hint="eastAsia" w:ascii="仿宋" w:hAnsi="仿宋" w:eastAsia="仿宋" w:cs="仿宋"/>
          <w:sz w:val="32"/>
          <w:szCs w:val="32"/>
          <w:u w:val="single"/>
          <w:lang w:val="en-US" w:eastAsia="zh-CN"/>
        </w:rPr>
        <w:t>用于产权调换房屋的价值，除政府有特别规定外，应当由房地产价格评估机构评估确定。用于产权调换房屋的价值评估时点，应当与被征收房屋价值评估时点一致。（2016年5月30日）</w:t>
      </w:r>
    </w:p>
    <w:p>
      <w:pPr>
        <w:numPr>
          <w:ilvl w:val="0"/>
          <w:numId w:val="1"/>
        </w:numPr>
        <w:ind w:left="0" w:leftChars="0" w:firstLine="419" w:firstLineChars="131"/>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第六组证据</w:t>
      </w:r>
    </w:p>
    <w:p>
      <w:pPr>
        <w:numPr>
          <w:ilvl w:val="0"/>
          <w:numId w:val="0"/>
        </w:numPr>
        <w:ind w:left="0" w:leftChars="0" w:firstLine="419" w:firstLineChars="131"/>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原告对该组证据的真实性、合法性、关联性都有异议。</w:t>
      </w:r>
    </w:p>
    <w:p>
      <w:pPr>
        <w:numPr>
          <w:ilvl w:val="0"/>
          <w:numId w:val="0"/>
        </w:numPr>
        <w:ind w:left="0" w:leftChars="0" w:firstLine="419" w:firstLineChars="131"/>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区征收办在征收方案尚未合法送达给原告的前提之下就向区政府申请做出征收补偿决定，属于程序严重违法；</w:t>
      </w:r>
    </w:p>
    <w:p>
      <w:pPr>
        <w:numPr>
          <w:ilvl w:val="0"/>
          <w:numId w:val="1"/>
        </w:numPr>
        <w:ind w:left="0" w:leftChars="0" w:firstLine="419" w:firstLineChars="131"/>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第七组证据</w:t>
      </w:r>
    </w:p>
    <w:p>
      <w:pPr>
        <w:numPr>
          <w:ilvl w:val="0"/>
          <w:numId w:val="0"/>
        </w:numPr>
        <w:ind w:left="0" w:leftChars="0" w:firstLine="419" w:firstLineChars="131"/>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原告对该组证据的真实性、合法性、关联性都有异议。</w:t>
      </w:r>
    </w:p>
    <w:p>
      <w:pPr>
        <w:numPr>
          <w:ilvl w:val="0"/>
          <w:numId w:val="0"/>
        </w:numPr>
        <w:ind w:left="0" w:leftChars="0" w:firstLine="419" w:firstLineChars="131"/>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区政府在征收方案未送达给原告的前提之下就做出征收补偿决定，属于程序严重违法；</w:t>
      </w:r>
    </w:p>
    <w:p>
      <w:pPr>
        <w:numPr>
          <w:ilvl w:val="0"/>
          <w:numId w:val="1"/>
        </w:numPr>
        <w:ind w:left="0" w:leftChars="0" w:firstLine="419" w:firstLineChars="131"/>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第八组证据</w:t>
      </w:r>
    </w:p>
    <w:p>
      <w:pPr>
        <w:numPr>
          <w:ilvl w:val="0"/>
          <w:numId w:val="0"/>
        </w:numPr>
        <w:ind w:left="0" w:leftChars="0" w:firstLine="419" w:firstLineChars="131"/>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原告对该组证据的真实性、合法性、关联性都有异议。</w:t>
      </w:r>
    </w:p>
    <w:p>
      <w:pPr>
        <w:numPr>
          <w:ilvl w:val="0"/>
          <w:numId w:val="0"/>
        </w:numPr>
        <w:ind w:left="0" w:leftChars="0" w:firstLine="419" w:firstLineChars="131"/>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前置程序尚未完成，就对被征收人进行搬迁催告，属于程序严重违法；</w:t>
      </w:r>
    </w:p>
    <w:p>
      <w:pPr>
        <w:numPr>
          <w:ilvl w:val="0"/>
          <w:numId w:val="0"/>
        </w:numPr>
        <w:jc w:val="both"/>
        <w:rPr>
          <w:rFonts w:hint="eastAsia"/>
          <w:sz w:val="21"/>
          <w:szCs w:val="21"/>
          <w:lang w:val="en-US" w:eastAsia="zh-CN"/>
        </w:rPr>
      </w:pPr>
    </w:p>
    <w:p>
      <w:pPr>
        <w:numPr>
          <w:ilvl w:val="0"/>
          <w:numId w:val="0"/>
        </w:numPr>
        <w:jc w:val="both"/>
        <w:rPr>
          <w:rFonts w:hint="eastAsia"/>
          <w:sz w:val="21"/>
          <w:szCs w:val="21"/>
          <w:lang w:val="en-US" w:eastAsia="zh-CN"/>
        </w:rPr>
      </w:pPr>
    </w:p>
    <w:p>
      <w:pPr>
        <w:numPr>
          <w:ilvl w:val="0"/>
          <w:numId w:val="0"/>
        </w:numPr>
        <w:jc w:val="both"/>
        <w:rPr>
          <w:rFonts w:hint="eastAsia"/>
          <w:sz w:val="21"/>
          <w:szCs w:val="21"/>
          <w:lang w:val="en-US" w:eastAsia="zh-CN"/>
        </w:rPr>
      </w:pPr>
    </w:p>
    <w:sectPr>
      <w:headerReference r:id="rId3" w:type="default"/>
      <w:pgSz w:w="11906" w:h="16838"/>
      <w:pgMar w:top="1440" w:right="1800" w:bottom="1440" w:left="1800" w:header="851" w:footer="992" w:gutter="0"/>
      <w:pgNumType w:fmt="chineseCounting"/>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CHINESENUM3 \* MERGEFORMAT </w:instrText>
    </w:r>
    <w:r>
      <w:rPr>
        <w:rFonts w:hint="eastAsia"/>
        <w:lang w:eastAsia="zh-CN"/>
      </w:rPr>
      <w:fldChar w:fldCharType="separate"/>
    </w:r>
    <w:r>
      <w:rPr>
        <w:rFonts w:hint="eastAsia"/>
        <w:lang w:eastAsia="zh-CN"/>
      </w:rPr>
      <w:t>六</w:t>
    </w:r>
    <w:r>
      <w:rPr>
        <w:rFonts w:hint="eastAsia"/>
        <w:lang w:eastAsia="zh-CN"/>
      </w:rPr>
      <w:fldChar w:fldCharType="end"/>
    </w:r>
    <w:r>
      <w:rPr>
        <w:rFonts w:hint="eastAsia"/>
        <w:lang w:eastAsia="zh-CN"/>
      </w:rPr>
      <w:t xml:space="preserve"> 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825C44"/>
    <w:multiLevelType w:val="singleLevel"/>
    <w:tmpl w:val="5A825C44"/>
    <w:lvl w:ilvl="0" w:tentative="0">
      <w:start w:val="1"/>
      <w:numFmt w:val="chineseCounting"/>
      <w:suff w:val="nothing"/>
      <w:lvlText w:val="%1、"/>
      <w:lvlJc w:val="left"/>
    </w:lvl>
  </w:abstractNum>
  <w:abstractNum w:abstractNumId="1">
    <w:nsid w:val="5A827DDB"/>
    <w:multiLevelType w:val="singleLevel"/>
    <w:tmpl w:val="5A827DDB"/>
    <w:lvl w:ilvl="0" w:tentative="0">
      <w:start w:val="1"/>
      <w:numFmt w:val="decimal"/>
      <w:suff w:val="nothing"/>
      <w:lvlText w:val="%1、"/>
      <w:lvlJc w:val="left"/>
    </w:lvl>
  </w:abstractNum>
  <w:abstractNum w:abstractNumId="2">
    <w:nsid w:val="5AF618A7"/>
    <w:multiLevelType w:val="singleLevel"/>
    <w:tmpl w:val="5AF618A7"/>
    <w:lvl w:ilvl="0" w:tentative="0">
      <w:start w:val="1"/>
      <w:numFmt w:val="decimal"/>
      <w:suff w:val="nothing"/>
      <w:lvlText w:val="%1．"/>
      <w:lvlJc w:val="left"/>
      <w:pPr>
        <w:ind w:left="0" w:leftChars="0" w:firstLine="400" w:firstLineChars="0"/>
      </w:pPr>
      <w:rPr>
        <w:rFonts w:hint="default"/>
      </w:rPr>
    </w:lvl>
  </w:abstractNum>
  <w:abstractNum w:abstractNumId="3">
    <w:nsid w:val="5AF61D2B"/>
    <w:multiLevelType w:val="singleLevel"/>
    <w:tmpl w:val="5AF61D2B"/>
    <w:lvl w:ilvl="0" w:tentative="0">
      <w:start w:val="1"/>
      <w:numFmt w:val="decimal"/>
      <w:lvlText w:val="%1."/>
      <w:lvlJc w:val="left"/>
      <w:pPr>
        <w:ind w:left="425" w:leftChars="0" w:hanging="425" w:firstLineChars="0"/>
      </w:pPr>
      <w:rPr>
        <w:rFonts w:hint="default"/>
      </w:rPr>
    </w:lvl>
  </w:abstractNum>
  <w:abstractNum w:abstractNumId="4">
    <w:nsid w:val="5AF61EB1"/>
    <w:multiLevelType w:val="singleLevel"/>
    <w:tmpl w:val="5AF61EB1"/>
    <w:lvl w:ilvl="0" w:tentative="0">
      <w:start w:val="1"/>
      <w:numFmt w:val="decimal"/>
      <w:lvlText w:val="%1."/>
      <w:lvlJc w:val="left"/>
      <w:pPr>
        <w:ind w:left="425" w:leftChars="0" w:hanging="425" w:firstLineChars="0"/>
      </w:pPr>
      <w:rPr>
        <w:rFont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1922AA"/>
    <w:rsid w:val="033E4FB6"/>
    <w:rsid w:val="066803E9"/>
    <w:rsid w:val="07D4707C"/>
    <w:rsid w:val="0C7E63BD"/>
    <w:rsid w:val="121D1ABE"/>
    <w:rsid w:val="126619BB"/>
    <w:rsid w:val="130347A8"/>
    <w:rsid w:val="19983A5B"/>
    <w:rsid w:val="1AA52C30"/>
    <w:rsid w:val="1BC63220"/>
    <w:rsid w:val="1C062391"/>
    <w:rsid w:val="1DE54865"/>
    <w:rsid w:val="1F4E1E7F"/>
    <w:rsid w:val="20A23E3A"/>
    <w:rsid w:val="268202FE"/>
    <w:rsid w:val="28A01B49"/>
    <w:rsid w:val="2AE02009"/>
    <w:rsid w:val="2D5F5BA5"/>
    <w:rsid w:val="2E047CDA"/>
    <w:rsid w:val="2F9B4035"/>
    <w:rsid w:val="32AA6886"/>
    <w:rsid w:val="34E463D7"/>
    <w:rsid w:val="39A80B7B"/>
    <w:rsid w:val="3D5B12AA"/>
    <w:rsid w:val="40EA7CD5"/>
    <w:rsid w:val="41F51818"/>
    <w:rsid w:val="44DA5BDA"/>
    <w:rsid w:val="476C344E"/>
    <w:rsid w:val="488C4B95"/>
    <w:rsid w:val="49436149"/>
    <w:rsid w:val="4BE56A7C"/>
    <w:rsid w:val="4C1461E3"/>
    <w:rsid w:val="4C1D7356"/>
    <w:rsid w:val="4ED43925"/>
    <w:rsid w:val="50FC6FE0"/>
    <w:rsid w:val="51313474"/>
    <w:rsid w:val="53050BCC"/>
    <w:rsid w:val="5385101B"/>
    <w:rsid w:val="5637478B"/>
    <w:rsid w:val="57930E69"/>
    <w:rsid w:val="585D1679"/>
    <w:rsid w:val="58A44401"/>
    <w:rsid w:val="61866256"/>
    <w:rsid w:val="64EE7BD2"/>
    <w:rsid w:val="65261CB9"/>
    <w:rsid w:val="66586EDD"/>
    <w:rsid w:val="66E00243"/>
    <w:rsid w:val="68B670F1"/>
    <w:rsid w:val="692B761F"/>
    <w:rsid w:val="6A2D2D3D"/>
    <w:rsid w:val="6A3A5690"/>
    <w:rsid w:val="6BCE24D8"/>
    <w:rsid w:val="6C4804BD"/>
    <w:rsid w:val="6DA13D08"/>
    <w:rsid w:val="7044671E"/>
    <w:rsid w:val="71F373B7"/>
    <w:rsid w:val="772F6BB3"/>
    <w:rsid w:val="790140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FollowedHyperlink"/>
    <w:basedOn w:val="8"/>
    <w:qFormat/>
    <w:uiPriority w:val="0"/>
    <w:rPr>
      <w:color w:val="000000"/>
      <w:u w:val="none"/>
    </w:rPr>
  </w:style>
  <w:style w:type="character" w:styleId="10">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30886</cp:lastModifiedBy>
  <dcterms:modified xsi:type="dcterms:W3CDTF">2018-05-14T10:52:09Z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