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lang w:val="en-US" w:eastAsia="zh-CN"/>
        </w:rPr>
        <w:t>关于《开福区陡岭路两厢地块棚改项目（西片区）一期征收范围内李国志所有的位于长沙市开福区陡岭</w:t>
      </w:r>
      <w:r>
        <w:rPr>
          <w:rFonts w:hint="eastAsia"/>
          <w:lang w:eastAsia="zh-CN"/>
        </w:rPr>
        <w:t>00</w:t>
      </w:r>
      <w:r>
        <w:rPr>
          <w:rFonts w:hint="eastAsia"/>
          <w:lang w:val="en-US" w:eastAsia="zh-CN"/>
        </w:rPr>
        <w:t>4</w:t>
      </w:r>
      <w:r>
        <w:rPr>
          <w:rFonts w:hint="eastAsia"/>
          <w:lang w:eastAsia="zh-CN"/>
        </w:rPr>
        <w:t>栋30</w:t>
      </w:r>
      <w:r>
        <w:rPr>
          <w:rFonts w:hint="eastAsia"/>
          <w:lang w:val="en-US" w:eastAsia="zh-CN"/>
        </w:rPr>
        <w:t>1</w:t>
      </w:r>
      <w:r>
        <w:rPr>
          <w:rFonts w:hint="eastAsia"/>
          <w:lang w:eastAsia="zh-CN"/>
        </w:rPr>
        <w:t>号</w:t>
      </w:r>
      <w:r>
        <w:rPr>
          <w:rFonts w:hint="eastAsia"/>
        </w:rPr>
        <w:t>房</w:t>
      </w:r>
      <w:r>
        <w:rPr>
          <w:rFonts w:hint="eastAsia"/>
          <w:lang w:val="en-US" w:eastAsia="zh-CN"/>
        </w:rPr>
        <w:t>分户估价报告》的</w:t>
      </w:r>
      <w:r>
        <w:rPr>
          <w:rFonts w:hint="eastAsia"/>
        </w:rPr>
        <w:t>复核申请书</w:t>
      </w:r>
    </w:p>
    <w:p>
      <w:pPr>
        <w:pStyle w:val="3"/>
        <w:rPr>
          <w:rFonts w:hint="eastAsia"/>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p>
    <w:p>
      <w:pPr>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湖南中信发房地产评估有限公司</w:t>
      </w:r>
      <w:r>
        <w:rPr>
          <w:rFonts w:hint="eastAsia" w:ascii="仿宋" w:hAnsi="仿宋" w:eastAsia="仿宋" w:cs="仿宋"/>
          <w:sz w:val="24"/>
          <w:szCs w:val="24"/>
        </w:rPr>
        <w:t>：</w:t>
      </w:r>
    </w:p>
    <w:p>
      <w:pPr>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rPr>
          <w:rFonts w:hint="eastAsia" w:ascii="仿宋" w:hAnsi="仿宋" w:eastAsia="仿宋" w:cs="仿宋"/>
          <w:sz w:val="24"/>
          <w:szCs w:val="24"/>
        </w:rPr>
      </w:pPr>
    </w:p>
    <w:p>
      <w:pPr>
        <w:pageBreakBefore w:val="0"/>
        <w:widowControl w:val="0"/>
        <w:kinsoku/>
        <w:wordWrap/>
        <w:overflowPunct/>
        <w:topLinePunct w:val="0"/>
        <w:autoSpaceDE/>
        <w:autoSpaceDN/>
        <w:bidi w:val="0"/>
        <w:adjustRightInd/>
        <w:snapToGrid/>
        <w:spacing w:line="0" w:lineRule="atLeast"/>
        <w:ind w:left="0" w:leftChars="0" w:right="0" w:rightChars="0" w:firstLine="480" w:firstLineChars="200"/>
        <w:jc w:val="both"/>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你单位声称自己</w:t>
      </w:r>
      <w:r>
        <w:rPr>
          <w:rFonts w:hint="eastAsia" w:ascii="仿宋" w:hAnsi="仿宋" w:eastAsia="仿宋" w:cs="仿宋"/>
          <w:sz w:val="24"/>
          <w:szCs w:val="24"/>
        </w:rPr>
        <w:t>为</w:t>
      </w:r>
      <w:r>
        <w:rPr>
          <w:rFonts w:hint="eastAsia" w:ascii="仿宋" w:hAnsi="仿宋" w:eastAsia="仿宋" w:cs="仿宋"/>
          <w:sz w:val="24"/>
          <w:szCs w:val="24"/>
          <w:lang w:eastAsia="zh-CN"/>
        </w:rPr>
        <w:t>开福区陡岭004栋301号房</w:t>
      </w:r>
      <w:r>
        <w:rPr>
          <w:rFonts w:hint="eastAsia" w:ascii="仿宋" w:hAnsi="仿宋" w:eastAsia="仿宋" w:cs="仿宋"/>
          <w:sz w:val="24"/>
          <w:szCs w:val="24"/>
          <w:lang w:val="en-US" w:eastAsia="zh-CN"/>
        </w:rPr>
        <w:t>的</w:t>
      </w:r>
      <w:r>
        <w:rPr>
          <w:rFonts w:hint="eastAsia" w:ascii="仿宋" w:hAnsi="仿宋" w:eastAsia="仿宋" w:cs="仿宋"/>
          <w:sz w:val="24"/>
          <w:szCs w:val="24"/>
        </w:rPr>
        <w:t>房屋征收评估机构。</w:t>
      </w:r>
      <w:r>
        <w:rPr>
          <w:rFonts w:hint="eastAsia" w:ascii="仿宋" w:hAnsi="仿宋" w:eastAsia="仿宋" w:cs="仿宋"/>
          <w:sz w:val="24"/>
          <w:szCs w:val="24"/>
          <w:lang w:val="en-US" w:eastAsia="zh-CN"/>
        </w:rPr>
        <w:t>并于2018.8.28向产权人送达分户评估报告；根据评估报告内的房屋征收评估委托书的内容显示</w:t>
      </w:r>
      <w:r>
        <w:rPr>
          <w:rFonts w:hint="eastAsia" w:ascii="仿宋" w:hAnsi="仿宋" w:eastAsia="仿宋" w:cs="仿宋"/>
          <w:sz w:val="24"/>
          <w:szCs w:val="24"/>
        </w:rPr>
        <w:t>，</w:t>
      </w:r>
      <w:r>
        <w:rPr>
          <w:rFonts w:hint="eastAsia" w:ascii="仿宋" w:hAnsi="仿宋" w:eastAsia="仿宋" w:cs="仿宋"/>
          <w:sz w:val="24"/>
          <w:szCs w:val="24"/>
          <w:lang w:eastAsia="zh-CN"/>
        </w:rPr>
        <w:t>开福区</w:t>
      </w:r>
      <w:r>
        <w:rPr>
          <w:rFonts w:hint="eastAsia" w:ascii="仿宋" w:hAnsi="仿宋" w:eastAsia="仿宋" w:cs="仿宋"/>
          <w:sz w:val="24"/>
          <w:szCs w:val="24"/>
          <w:lang w:val="en-US" w:eastAsia="zh-CN"/>
        </w:rPr>
        <w:t>城市</w:t>
      </w:r>
      <w:r>
        <w:rPr>
          <w:rFonts w:hint="eastAsia" w:ascii="仿宋" w:hAnsi="仿宋" w:eastAsia="仿宋" w:cs="仿宋"/>
          <w:sz w:val="24"/>
          <w:szCs w:val="24"/>
        </w:rPr>
        <w:t>房屋征收</w:t>
      </w:r>
      <w:r>
        <w:rPr>
          <w:rFonts w:hint="eastAsia" w:ascii="仿宋" w:hAnsi="仿宋" w:eastAsia="仿宋" w:cs="仿宋"/>
          <w:sz w:val="24"/>
          <w:szCs w:val="24"/>
          <w:lang w:val="en-US" w:eastAsia="zh-CN"/>
        </w:rPr>
        <w:t>和补偿管理</w:t>
      </w:r>
      <w:r>
        <w:rPr>
          <w:rFonts w:hint="eastAsia" w:ascii="仿宋" w:hAnsi="仿宋" w:eastAsia="仿宋" w:cs="仿宋"/>
          <w:sz w:val="24"/>
          <w:szCs w:val="24"/>
        </w:rPr>
        <w:t>办公室是贵司的评估委托人，复核申请人是估价利害关系人。复核申请人就现已察觉的问题，提出复核申请，请贵司依法、依规认真答复。</w:t>
      </w:r>
    </w:p>
    <w:p>
      <w:pPr>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rPr>
          <w:rFonts w:hint="eastAsia" w:ascii="仿宋" w:hAnsi="仿宋" w:eastAsia="仿宋" w:cs="仿宋"/>
          <w:sz w:val="24"/>
          <w:szCs w:val="24"/>
        </w:rPr>
      </w:pPr>
    </w:p>
    <w:p>
      <w:pPr>
        <w:pageBreakBefore w:val="0"/>
        <w:widowControl w:val="0"/>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u w:val="none"/>
          <w:lang w:val="en-US" w:eastAsia="zh-CN"/>
        </w:rPr>
      </w:pPr>
      <w:r>
        <w:rPr>
          <w:rFonts w:hint="eastAsia" w:ascii="仿宋" w:hAnsi="仿宋" w:eastAsia="仿宋" w:cs="仿宋"/>
          <w:sz w:val="24"/>
          <w:szCs w:val="24"/>
          <w:u w:val="none"/>
          <w:lang w:val="en-US" w:eastAsia="zh-CN"/>
        </w:rPr>
        <w:t>复核申请人现已察觉的具体问题如下：</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1" w:firstLineChars="150"/>
        <w:jc w:val="both"/>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一、《开福区陡岭004栋301号房分户估价报告》严重违反湖南省实施《国有土地上房屋征收与补偿条例》办法（湖南省人民政府令第268号）</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1"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湖南省人民政府令第268号</w:t>
      </w:r>
      <w:r>
        <w:rPr>
          <w:rFonts w:hint="eastAsia" w:ascii="仿宋" w:hAnsi="仿宋" w:eastAsia="仿宋" w:cs="仿宋"/>
          <w:sz w:val="24"/>
          <w:szCs w:val="24"/>
          <w:lang w:val="en-US" w:eastAsia="zh-CN"/>
        </w:rPr>
        <w:t>第九条明确规定：房地产价格评估机构由被征收人协商选定；协商不成的，通过多数决定、随机选定等方式确定，并按照下列规定执行：</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u w:val="single"/>
          <w:lang w:val="en-US" w:eastAsia="zh-CN"/>
        </w:rPr>
      </w:pPr>
      <w:r>
        <w:rPr>
          <w:rFonts w:hint="eastAsia" w:ascii="仿宋" w:hAnsi="仿宋" w:eastAsia="仿宋" w:cs="仿宋"/>
          <w:sz w:val="24"/>
          <w:szCs w:val="24"/>
          <w:u w:val="single"/>
          <w:lang w:val="en-US" w:eastAsia="zh-CN"/>
        </w:rPr>
        <w:t>（七）房屋征收部门公布被征收人选定或者确定的房地产价格评估机构名单。</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u w:val="single"/>
          <w:lang w:val="en-US" w:eastAsia="zh-CN"/>
        </w:rPr>
      </w:pPr>
      <w:r>
        <w:rPr>
          <w:rFonts w:hint="eastAsia" w:ascii="仿宋" w:hAnsi="仿宋" w:eastAsia="仿宋" w:cs="仿宋"/>
          <w:sz w:val="24"/>
          <w:szCs w:val="24"/>
          <w:u w:val="single"/>
          <w:lang w:val="en-US" w:eastAsia="zh-CN"/>
        </w:rPr>
        <w:t>被征收人协商选定房地产价格评估机构的，协商过程应当公开。房屋征收部门组织被征收人通过投票决定或者随机选定方式确定房地产价格评估机构的，应当由公证机构依法公证。</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u w:val="none"/>
          <w:lang w:val="en-US" w:eastAsia="zh-CN"/>
        </w:rPr>
      </w:pPr>
      <w:r>
        <w:rPr>
          <w:rFonts w:hint="eastAsia" w:ascii="仿宋" w:hAnsi="仿宋" w:eastAsia="仿宋" w:cs="仿宋"/>
          <w:sz w:val="24"/>
          <w:szCs w:val="24"/>
          <w:u w:val="none"/>
          <w:lang w:val="en-US" w:eastAsia="zh-CN"/>
        </w:rPr>
        <w:t>但是</w:t>
      </w:r>
      <w:r>
        <w:rPr>
          <w:rFonts w:hint="eastAsia" w:ascii="仿宋" w:hAnsi="仿宋" w:eastAsia="仿宋" w:cs="仿宋"/>
          <w:sz w:val="24"/>
          <w:szCs w:val="24"/>
          <w:lang w:val="en-US" w:eastAsia="zh-CN"/>
        </w:rPr>
        <w:t>经复核申请人仔细审阅，</w:t>
      </w:r>
      <w:r>
        <w:rPr>
          <w:rFonts w:hint="eastAsia" w:ascii="仿宋" w:hAnsi="仿宋" w:eastAsia="仿宋" w:cs="仿宋"/>
          <w:b/>
          <w:bCs/>
          <w:sz w:val="24"/>
          <w:szCs w:val="24"/>
          <w:u w:val="none"/>
          <w:lang w:val="en-US" w:eastAsia="zh-CN"/>
        </w:rPr>
        <w:t>未能在评估报告内发现确定</w:t>
      </w:r>
      <w:r>
        <w:rPr>
          <w:rFonts w:hint="eastAsia" w:ascii="仿宋" w:hAnsi="仿宋" w:eastAsia="仿宋" w:cs="仿宋"/>
          <w:b/>
          <w:bCs/>
          <w:sz w:val="24"/>
          <w:szCs w:val="24"/>
          <w:lang w:val="en-US" w:eastAsia="zh-CN"/>
        </w:rPr>
        <w:t>湖南中信发房地产评估有限公司被选定为该项目的房地产价格评估机构的</w:t>
      </w:r>
      <w:r>
        <w:rPr>
          <w:rFonts w:hint="eastAsia" w:ascii="仿宋" w:hAnsi="仿宋" w:eastAsia="仿宋" w:cs="仿宋"/>
          <w:b/>
          <w:bCs/>
          <w:sz w:val="24"/>
          <w:szCs w:val="24"/>
          <w:u w:val="none"/>
          <w:lang w:val="en-US" w:eastAsia="zh-CN"/>
        </w:rPr>
        <w:t>公证书</w:t>
      </w:r>
      <w:r>
        <w:rPr>
          <w:rFonts w:hint="eastAsia" w:ascii="仿宋" w:hAnsi="仿宋" w:eastAsia="仿宋" w:cs="仿宋"/>
          <w:sz w:val="24"/>
          <w:szCs w:val="24"/>
          <w:u w:val="none"/>
          <w:lang w:val="en-US" w:eastAsia="zh-CN"/>
        </w:rPr>
        <w:t>。复核申请人对你单位声称自己为开福区陡岭004栋301号房的房屋征收评估机构的真实性存疑！</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1" w:firstLineChars="150"/>
        <w:jc w:val="both"/>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二、《开福区陡岭004栋301号房分户估价报告》严重违反《中华人民共和国国家标准房地产估价规范》相关的规定（下面简称估价规范）</w:t>
      </w:r>
    </w:p>
    <w:p>
      <w:pPr>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《估价规范》4.1.2规定：“估价对象的同类房地产有较多交易的，应选用比较法。”《估价规范》4.2.3规定：</w:t>
      </w:r>
      <w:r>
        <w:rPr>
          <w:rFonts w:hint="eastAsia" w:ascii="仿宋" w:hAnsi="仿宋" w:eastAsia="仿宋" w:cs="仿宋"/>
          <w:b/>
          <w:bCs/>
          <w:sz w:val="24"/>
          <w:szCs w:val="24"/>
        </w:rPr>
        <w:t>可比实例的选取“应与估价对象房地产相似”</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同时明确指出“可比实例应从交易实例中选取且不得少于三个”</w:t>
      </w:r>
      <w:r>
        <w:rPr>
          <w:rFonts w:hint="eastAsia" w:ascii="仿宋" w:hAnsi="仿宋" w:eastAsia="仿宋" w:cs="仿宋"/>
          <w:sz w:val="24"/>
          <w:szCs w:val="24"/>
          <w:lang w:val="en-US" w:eastAsia="zh-CN"/>
        </w:rPr>
        <w:t>；既然</w:t>
      </w:r>
      <w:r>
        <w:rPr>
          <w:rFonts w:hint="eastAsia" w:ascii="仿宋" w:hAnsi="仿宋" w:eastAsia="仿宋" w:cs="仿宋"/>
          <w:b w:val="0"/>
          <w:bCs w:val="0"/>
          <w:sz w:val="24"/>
          <w:szCs w:val="24"/>
        </w:rPr>
        <w:t>贵司现在采用“比较法</w:t>
      </w:r>
      <w:r>
        <w:rPr>
          <w:rFonts w:hint="eastAsia" w:ascii="仿宋" w:hAnsi="仿宋" w:eastAsia="仿宋" w:cs="仿宋"/>
          <w:b w:val="0"/>
          <w:bCs w:val="0"/>
          <w:sz w:val="24"/>
          <w:szCs w:val="24"/>
          <w:lang w:val="en-US" w:eastAsia="zh-CN"/>
        </w:rPr>
        <w:t>与收益法</w:t>
      </w:r>
      <w:r>
        <w:rPr>
          <w:rFonts w:hint="eastAsia" w:ascii="仿宋" w:hAnsi="仿宋" w:eastAsia="仿宋" w:cs="仿宋"/>
          <w:b w:val="0"/>
          <w:bCs w:val="0"/>
          <w:sz w:val="24"/>
          <w:szCs w:val="24"/>
        </w:rPr>
        <w:t>”</w:t>
      </w:r>
      <w:r>
        <w:rPr>
          <w:rFonts w:hint="eastAsia" w:ascii="仿宋" w:hAnsi="仿宋" w:eastAsia="仿宋" w:cs="仿宋"/>
          <w:b/>
          <w:bCs/>
          <w:sz w:val="24"/>
          <w:szCs w:val="24"/>
          <w:lang w:eastAsia="zh-CN"/>
        </w:rPr>
        <w:t>，</w:t>
      </w:r>
      <w:r>
        <w:rPr>
          <w:rFonts w:hint="eastAsia" w:ascii="仿宋" w:hAnsi="仿宋" w:eastAsia="仿宋" w:cs="仿宋"/>
          <w:sz w:val="24"/>
          <w:szCs w:val="24"/>
        </w:rPr>
        <w:t>但贵司</w:t>
      </w:r>
      <w:r>
        <w:rPr>
          <w:rFonts w:hint="eastAsia" w:ascii="仿宋" w:hAnsi="仿宋" w:eastAsia="仿宋" w:cs="仿宋"/>
          <w:sz w:val="24"/>
          <w:szCs w:val="24"/>
          <w:lang w:val="en-US" w:eastAsia="zh-CN"/>
        </w:rPr>
        <w:t>在</w:t>
      </w:r>
      <w:r>
        <w:rPr>
          <w:rFonts w:hint="eastAsia" w:ascii="仿宋" w:hAnsi="仿宋" w:eastAsia="仿宋" w:cs="仿宋"/>
          <w:sz w:val="24"/>
          <w:szCs w:val="24"/>
        </w:rPr>
        <w:t>评估</w:t>
      </w:r>
      <w:r>
        <w:rPr>
          <w:rFonts w:hint="eastAsia" w:ascii="仿宋" w:hAnsi="仿宋" w:eastAsia="仿宋" w:cs="仿宋"/>
          <w:sz w:val="24"/>
          <w:szCs w:val="24"/>
          <w:lang w:val="en-US" w:eastAsia="zh-CN"/>
        </w:rPr>
        <w:t>报告</w:t>
      </w:r>
      <w:r>
        <w:rPr>
          <w:rFonts w:hint="eastAsia" w:ascii="仿宋" w:hAnsi="仿宋" w:eastAsia="仿宋" w:cs="仿宋"/>
          <w:sz w:val="24"/>
          <w:szCs w:val="24"/>
        </w:rPr>
        <w:t>中</w:t>
      </w:r>
      <w:r>
        <w:rPr>
          <w:rFonts w:hint="eastAsia" w:ascii="仿宋" w:hAnsi="仿宋" w:eastAsia="仿宋" w:cs="仿宋"/>
          <w:sz w:val="24"/>
          <w:szCs w:val="24"/>
          <w:lang w:val="en-US" w:eastAsia="zh-CN"/>
        </w:rPr>
        <w:t>却</w:t>
      </w:r>
      <w:r>
        <w:rPr>
          <w:rFonts w:hint="eastAsia" w:ascii="仿宋" w:hAnsi="仿宋" w:eastAsia="仿宋" w:cs="仿宋"/>
          <w:sz w:val="24"/>
          <w:szCs w:val="24"/>
        </w:rPr>
        <w:t>没有搜集</w:t>
      </w:r>
      <w:r>
        <w:rPr>
          <w:rFonts w:hint="eastAsia" w:ascii="仿宋" w:hAnsi="仿宋" w:eastAsia="仿宋" w:cs="仿宋"/>
          <w:sz w:val="24"/>
          <w:szCs w:val="24"/>
          <w:lang w:eastAsia="zh-CN"/>
        </w:rPr>
        <w:t>被征收地块附近</w:t>
      </w:r>
      <w:r>
        <w:rPr>
          <w:rFonts w:hint="eastAsia" w:ascii="仿宋" w:hAnsi="仿宋" w:eastAsia="仿宋" w:cs="仿宋"/>
          <w:sz w:val="24"/>
          <w:szCs w:val="24"/>
        </w:rPr>
        <w:t>商品楼房的交易实例，</w:t>
      </w:r>
      <w:r>
        <w:rPr>
          <w:rFonts w:hint="eastAsia" w:ascii="仿宋" w:hAnsi="仿宋" w:eastAsia="仿宋" w:cs="仿宋"/>
          <w:sz w:val="24"/>
          <w:szCs w:val="24"/>
          <w:lang w:eastAsia="zh-CN"/>
        </w:rPr>
        <w:t>也</w:t>
      </w:r>
      <w:r>
        <w:rPr>
          <w:rFonts w:hint="eastAsia" w:ascii="仿宋" w:hAnsi="仿宋" w:eastAsia="仿宋" w:cs="仿宋"/>
          <w:sz w:val="24"/>
          <w:szCs w:val="24"/>
        </w:rPr>
        <w:t>没有</w:t>
      </w:r>
      <w:r>
        <w:rPr>
          <w:rFonts w:hint="eastAsia" w:ascii="仿宋" w:hAnsi="仿宋" w:eastAsia="仿宋" w:cs="仿宋"/>
          <w:sz w:val="24"/>
          <w:szCs w:val="24"/>
          <w:lang w:eastAsia="zh-CN"/>
        </w:rPr>
        <w:t>在被征收地块附近</w:t>
      </w:r>
      <w:r>
        <w:rPr>
          <w:rFonts w:hint="eastAsia" w:ascii="仿宋" w:hAnsi="仿宋" w:eastAsia="仿宋" w:cs="仿宋"/>
          <w:sz w:val="24"/>
          <w:szCs w:val="24"/>
        </w:rPr>
        <w:t>选取商品楼房的可比实例，</w:t>
      </w:r>
      <w:r>
        <w:rPr>
          <w:rFonts w:hint="eastAsia" w:ascii="仿宋" w:hAnsi="仿宋" w:eastAsia="仿宋" w:cs="仿宋"/>
          <w:sz w:val="24"/>
          <w:szCs w:val="24"/>
          <w:lang w:eastAsia="zh-CN"/>
        </w:rPr>
        <w:t>为什么？请说明理由。</w:t>
      </w:r>
    </w:p>
    <w:p>
      <w:pPr>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rPr>
        <w:t xml:space="preserve"> </w:t>
      </w:r>
      <w:r>
        <w:rPr>
          <w:rFonts w:hint="eastAsia" w:ascii="仿宋" w:hAnsi="仿宋" w:eastAsia="仿宋" w:cs="仿宋"/>
          <w:b/>
          <w:bCs/>
          <w:sz w:val="24"/>
          <w:szCs w:val="24"/>
        </w:rPr>
        <w:t>若是没有足够的交易实例，就单一地选用“比较法”，似与“比较法”的选用规则不符！若是有足够的交易实例，却不从中选取可比实例，为什么？</w:t>
      </w:r>
      <w:r>
        <w:rPr>
          <w:rFonts w:hint="eastAsia" w:ascii="仿宋" w:hAnsi="仿宋" w:eastAsia="仿宋" w:cs="仿宋"/>
          <w:b/>
          <w:bCs/>
          <w:sz w:val="24"/>
          <w:szCs w:val="24"/>
          <w:lang w:val="en-US" w:eastAsia="zh-CN"/>
        </w:rPr>
        <w:t>请说明理由。</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三、《开福区陡岭004栋301号房分户估价报告》存在信息遗漏</w:t>
      </w:r>
    </w:p>
    <w:p>
      <w:pPr>
        <w:pageBreakBefore w:val="0"/>
        <w:widowControl w:val="0"/>
        <w:numPr>
          <w:ilvl w:val="0"/>
          <w:numId w:val="2"/>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《估价规范》4.2.2规定：“搜集的交易实例信息应满足比较法运用的需要”，应包含“交易价格”、“成交日期”、“交易目的等”。</w:t>
      </w:r>
      <w:r>
        <w:rPr>
          <w:rFonts w:hint="eastAsia" w:ascii="仿宋" w:hAnsi="仿宋" w:eastAsia="仿宋" w:cs="仿宋"/>
          <w:sz w:val="24"/>
          <w:szCs w:val="24"/>
          <w:lang w:val="en-US" w:eastAsia="zh-CN"/>
        </w:rPr>
        <w:t>然</w:t>
      </w:r>
      <w:r>
        <w:rPr>
          <w:rFonts w:hint="eastAsia" w:ascii="仿宋" w:hAnsi="仿宋" w:eastAsia="仿宋" w:cs="仿宋"/>
          <w:sz w:val="24"/>
          <w:szCs w:val="24"/>
        </w:rPr>
        <w:t>分户报告中没有相应信息</w:t>
      </w:r>
      <w:r>
        <w:rPr>
          <w:rFonts w:hint="eastAsia" w:ascii="仿宋" w:hAnsi="仿宋" w:eastAsia="仿宋" w:cs="仿宋"/>
          <w:sz w:val="24"/>
          <w:szCs w:val="24"/>
          <w:lang w:eastAsia="zh-CN"/>
        </w:rPr>
        <w:t>，</w:t>
      </w:r>
      <w:r>
        <w:rPr>
          <w:rFonts w:hint="eastAsia" w:ascii="仿宋" w:hAnsi="仿宋" w:eastAsia="仿宋" w:cs="仿宋"/>
          <w:sz w:val="24"/>
          <w:szCs w:val="24"/>
        </w:rPr>
        <w:t>请予补充。</w:t>
      </w:r>
    </w:p>
    <w:p>
      <w:pPr>
        <w:pageBreakBefore w:val="0"/>
        <w:widowControl w:val="0"/>
        <w:numPr>
          <w:ilvl w:val="0"/>
          <w:numId w:val="2"/>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《估价规范》4.2.5规定：“可比实例及其有关信息必须真实可靠，不得虚构……并应在估价报告中说明可比实例的名称、位置……”分户报告中没有相应信息？请予补充。</w:t>
      </w:r>
    </w:p>
    <w:p>
      <w:pPr>
        <w:pageBreakBefore w:val="0"/>
        <w:widowControl w:val="0"/>
        <w:numPr>
          <w:ilvl w:val="0"/>
          <w:numId w:val="2"/>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《估价规范》4.2.8规定：“进行市场状况调整时，应消除成交日期的市场状况与价值时点的市场状况不同造成的价格差异，将可比实例在其成交日期的价格调整为在</w:t>
      </w:r>
      <w:r>
        <w:rPr>
          <w:rFonts w:hint="eastAsia" w:ascii="仿宋" w:hAnsi="仿宋" w:eastAsia="仿宋" w:cs="仿宋"/>
          <w:b/>
          <w:bCs/>
          <w:sz w:val="24"/>
          <w:szCs w:val="24"/>
        </w:rPr>
        <w:t>价值时点（</w:t>
      </w:r>
      <w:r>
        <w:rPr>
          <w:rFonts w:hint="eastAsia" w:ascii="仿宋" w:hAnsi="仿宋" w:eastAsia="仿宋" w:cs="仿宋"/>
          <w:b/>
          <w:bCs/>
          <w:sz w:val="24"/>
          <w:szCs w:val="24"/>
          <w:lang w:eastAsia="zh-CN"/>
        </w:rPr>
        <w:t>201</w:t>
      </w:r>
      <w:r>
        <w:rPr>
          <w:rFonts w:hint="eastAsia" w:ascii="仿宋" w:hAnsi="仿宋" w:eastAsia="仿宋" w:cs="仿宋"/>
          <w:b/>
          <w:bCs/>
          <w:sz w:val="24"/>
          <w:szCs w:val="24"/>
          <w:lang w:val="en-US" w:eastAsia="zh-CN"/>
        </w:rPr>
        <w:t>8</w:t>
      </w:r>
      <w:r>
        <w:rPr>
          <w:rFonts w:hint="eastAsia" w:ascii="仿宋" w:hAnsi="仿宋" w:eastAsia="仿宋" w:cs="仿宋"/>
          <w:b/>
          <w:bCs/>
          <w:sz w:val="24"/>
          <w:szCs w:val="24"/>
          <w:lang w:eastAsia="zh-CN"/>
        </w:rPr>
        <w:t>年</w:t>
      </w:r>
      <w:r>
        <w:rPr>
          <w:rFonts w:hint="eastAsia" w:ascii="仿宋" w:hAnsi="仿宋" w:eastAsia="仿宋" w:cs="仿宋"/>
          <w:b/>
          <w:bCs/>
          <w:sz w:val="24"/>
          <w:szCs w:val="24"/>
          <w:lang w:val="en-US" w:eastAsia="zh-CN"/>
        </w:rPr>
        <w:t>7</w:t>
      </w:r>
      <w:r>
        <w:rPr>
          <w:rFonts w:hint="eastAsia" w:ascii="仿宋" w:hAnsi="仿宋" w:eastAsia="仿宋" w:cs="仿宋"/>
          <w:b/>
          <w:bCs/>
          <w:sz w:val="24"/>
          <w:szCs w:val="24"/>
          <w:lang w:eastAsia="zh-CN"/>
        </w:rPr>
        <w:t>月3</w:t>
      </w:r>
      <w:r>
        <w:rPr>
          <w:rFonts w:hint="eastAsia" w:ascii="仿宋" w:hAnsi="仿宋" w:eastAsia="仿宋" w:cs="仿宋"/>
          <w:b/>
          <w:bCs/>
          <w:sz w:val="24"/>
          <w:szCs w:val="24"/>
          <w:lang w:val="en-US" w:eastAsia="zh-CN"/>
        </w:rPr>
        <w:t>1</w:t>
      </w:r>
      <w:r>
        <w:rPr>
          <w:rFonts w:hint="eastAsia" w:ascii="仿宋" w:hAnsi="仿宋" w:eastAsia="仿宋" w:cs="仿宋"/>
          <w:b/>
          <w:bCs/>
          <w:sz w:val="24"/>
          <w:szCs w:val="24"/>
          <w:lang w:eastAsia="zh-CN"/>
        </w:rPr>
        <w:t>日</w:t>
      </w:r>
      <w:r>
        <w:rPr>
          <w:rFonts w:hint="eastAsia" w:ascii="仿宋" w:hAnsi="仿宋" w:eastAsia="仿宋" w:cs="仿宋"/>
          <w:b/>
          <w:bCs/>
          <w:sz w:val="24"/>
          <w:szCs w:val="24"/>
        </w:rPr>
        <w:t>）的价格</w:t>
      </w:r>
      <w:r>
        <w:rPr>
          <w:rFonts w:hint="eastAsia" w:ascii="仿宋" w:hAnsi="仿宋" w:eastAsia="仿宋" w:cs="仿宋"/>
          <w:sz w:val="24"/>
          <w:szCs w:val="24"/>
        </w:rPr>
        <w:t xml:space="preserve">。并应在调查及分析可比实例所在地同类房地产价格变动情况的基础上，采用可比实例所在地同类房地产的价格变动率或价格指数进行调整，且价格变动率或价格指数的来源应真实可靠。” </w:t>
      </w:r>
      <w:r>
        <w:rPr>
          <w:rFonts w:hint="eastAsia" w:ascii="仿宋" w:hAnsi="仿宋" w:eastAsia="仿宋" w:cs="仿宋"/>
          <w:sz w:val="24"/>
          <w:szCs w:val="24"/>
          <w:lang w:val="en-US" w:eastAsia="zh-CN"/>
        </w:rPr>
        <w:t>经复核申请人仔细审阅，</w:t>
      </w:r>
      <w:r>
        <w:rPr>
          <w:rFonts w:hint="eastAsia" w:ascii="仿宋" w:hAnsi="仿宋" w:eastAsia="仿宋" w:cs="仿宋"/>
          <w:sz w:val="24"/>
          <w:szCs w:val="24"/>
        </w:rPr>
        <w:t>分户</w:t>
      </w:r>
      <w:r>
        <w:rPr>
          <w:rFonts w:hint="eastAsia" w:ascii="仿宋" w:hAnsi="仿宋" w:eastAsia="仿宋" w:cs="仿宋"/>
          <w:sz w:val="24"/>
          <w:szCs w:val="24"/>
          <w:lang w:val="en-US" w:eastAsia="zh-CN"/>
        </w:rPr>
        <w:t>估价</w:t>
      </w:r>
      <w:r>
        <w:rPr>
          <w:rFonts w:hint="eastAsia" w:ascii="仿宋" w:hAnsi="仿宋" w:eastAsia="仿宋" w:cs="仿宋"/>
          <w:sz w:val="24"/>
          <w:szCs w:val="24"/>
        </w:rPr>
        <w:t>报告中没有</w:t>
      </w:r>
      <w:r>
        <w:rPr>
          <w:rFonts w:hint="eastAsia" w:ascii="仿宋" w:hAnsi="仿宋" w:eastAsia="仿宋" w:cs="仿宋"/>
          <w:sz w:val="24"/>
          <w:szCs w:val="24"/>
          <w:lang w:val="en-US" w:eastAsia="zh-CN"/>
        </w:rPr>
        <w:t>提供</w:t>
      </w:r>
      <w:r>
        <w:rPr>
          <w:rFonts w:hint="eastAsia" w:ascii="仿宋" w:hAnsi="仿宋" w:eastAsia="仿宋" w:cs="仿宋"/>
          <w:sz w:val="24"/>
          <w:szCs w:val="24"/>
        </w:rPr>
        <w:t>相应信息</w:t>
      </w:r>
      <w:r>
        <w:rPr>
          <w:rFonts w:hint="eastAsia" w:ascii="仿宋" w:hAnsi="仿宋" w:eastAsia="仿宋" w:cs="仿宋"/>
          <w:sz w:val="24"/>
          <w:szCs w:val="24"/>
          <w:lang w:eastAsia="zh-CN"/>
        </w:rPr>
        <w:t>。</w:t>
      </w:r>
      <w:r>
        <w:rPr>
          <w:rFonts w:hint="eastAsia" w:ascii="仿宋" w:hAnsi="仿宋" w:eastAsia="仿宋" w:cs="仿宋"/>
          <w:b/>
          <w:bCs/>
          <w:sz w:val="24"/>
          <w:szCs w:val="24"/>
        </w:rPr>
        <w:t>请具体说明</w:t>
      </w:r>
      <w:r>
        <w:rPr>
          <w:rFonts w:hint="eastAsia" w:ascii="仿宋" w:hAnsi="仿宋" w:eastAsia="仿宋" w:cs="仿宋"/>
          <w:b/>
          <w:bCs/>
          <w:sz w:val="24"/>
          <w:szCs w:val="24"/>
          <w:lang w:eastAsia="zh-CN"/>
        </w:rPr>
        <w:t>开福区陡岭004栋301号房</w:t>
      </w:r>
      <w:r>
        <w:rPr>
          <w:rFonts w:hint="eastAsia" w:ascii="仿宋" w:hAnsi="仿宋" w:eastAsia="仿宋" w:cs="仿宋"/>
          <w:b/>
          <w:bCs/>
          <w:sz w:val="24"/>
          <w:szCs w:val="24"/>
        </w:rPr>
        <w:t>的“分户评估报告”是如何依据上述规则进行市场状况调整的？</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四、关于评估价值的问题。</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《国有土地上房屋征收评估办法》第十一条规定：被征收房屋价值是指被征收房屋及其占用范围内的土地使用权在正常交易情况下，由熟悉情况的交易双方以公平交易方式在评估时点自愿进行交易的金额。</w:t>
      </w:r>
      <w:r>
        <w:rPr>
          <w:rFonts w:hint="eastAsia" w:ascii="仿宋" w:hAnsi="仿宋" w:eastAsia="仿宋" w:cs="仿宋"/>
          <w:sz w:val="24"/>
          <w:szCs w:val="24"/>
          <w:lang w:val="en-US" w:eastAsia="zh-CN"/>
        </w:rPr>
        <w:t>然复核申请人根本不愿意被征收，也未曾投票选定</w:t>
      </w:r>
      <w:r>
        <w:rPr>
          <w:rFonts w:hint="eastAsia" w:ascii="仿宋" w:hAnsi="仿宋" w:eastAsia="仿宋" w:cs="仿宋"/>
          <w:b/>
          <w:bCs/>
          <w:sz w:val="24"/>
          <w:szCs w:val="24"/>
          <w:lang w:val="en-US" w:eastAsia="zh-CN"/>
        </w:rPr>
        <w:t>湖南中信发房地产评估有限公司为该项目的房地产价格评估机构。</w:t>
      </w:r>
      <w:r>
        <w:rPr>
          <w:rFonts w:hint="eastAsia" w:ascii="仿宋" w:hAnsi="仿宋" w:eastAsia="仿宋" w:cs="仿宋"/>
          <w:b w:val="0"/>
          <w:bCs w:val="0"/>
          <w:sz w:val="24"/>
          <w:szCs w:val="24"/>
          <w:lang w:val="en-US" w:eastAsia="zh-CN"/>
        </w:rPr>
        <w:t>更遑论自愿进行交易？</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贵司“分户报告”的估价对象，系</w:t>
      </w:r>
      <w:r>
        <w:rPr>
          <w:rFonts w:hint="eastAsia" w:ascii="仿宋" w:hAnsi="仿宋" w:eastAsia="仿宋" w:cs="仿宋"/>
          <w:sz w:val="24"/>
          <w:szCs w:val="24"/>
          <w:lang w:eastAsia="zh-CN"/>
        </w:rPr>
        <w:t>开福区陡岭004栋301号房</w:t>
      </w:r>
      <w:r>
        <w:rPr>
          <w:rFonts w:hint="eastAsia" w:ascii="仿宋" w:hAnsi="仿宋" w:eastAsia="仿宋" w:cs="仿宋"/>
          <w:sz w:val="24"/>
          <w:szCs w:val="24"/>
        </w:rPr>
        <w:t>，</w:t>
      </w:r>
      <w:r>
        <w:rPr>
          <w:rFonts w:hint="eastAsia" w:ascii="仿宋" w:hAnsi="仿宋" w:eastAsia="仿宋" w:cs="仿宋"/>
          <w:sz w:val="24"/>
          <w:szCs w:val="24"/>
          <w:lang w:val="en-US" w:eastAsia="zh-CN"/>
        </w:rPr>
        <w:t>并且</w:t>
      </w:r>
      <w:r>
        <w:rPr>
          <w:rFonts w:hint="eastAsia" w:ascii="仿宋" w:hAnsi="仿宋" w:eastAsia="仿宋" w:cs="仿宋"/>
          <w:sz w:val="24"/>
          <w:szCs w:val="24"/>
          <w:lang w:eastAsia="zh-CN"/>
        </w:rPr>
        <w:t>该房屋的</w:t>
      </w:r>
      <w:r>
        <w:rPr>
          <w:rFonts w:hint="eastAsia" w:ascii="仿宋" w:hAnsi="仿宋" w:eastAsia="仿宋" w:cs="仿宋"/>
          <w:sz w:val="24"/>
          <w:szCs w:val="24"/>
        </w:rPr>
        <w:t>土地使用权是无期限的</w:t>
      </w:r>
      <w:r>
        <w:rPr>
          <w:rFonts w:hint="eastAsia" w:ascii="仿宋" w:hAnsi="仿宋" w:eastAsia="仿宋" w:cs="仿宋"/>
          <w:sz w:val="24"/>
          <w:szCs w:val="24"/>
          <w:lang w:eastAsia="zh-CN"/>
        </w:rPr>
        <w:t>。</w:t>
      </w:r>
      <w:r>
        <w:rPr>
          <w:rFonts w:hint="eastAsia" w:ascii="仿宋" w:hAnsi="仿宋" w:eastAsia="仿宋" w:cs="仿宋"/>
          <w:b/>
          <w:bCs/>
          <w:sz w:val="24"/>
          <w:szCs w:val="24"/>
          <w:lang w:val="en-US" w:eastAsia="zh-CN"/>
        </w:rPr>
        <w:t>复核申请人同时认为</w:t>
      </w:r>
      <w:r>
        <w:rPr>
          <w:rFonts w:hint="eastAsia" w:ascii="仿宋" w:hAnsi="仿宋" w:eastAsia="仿宋" w:cs="仿宋"/>
          <w:b/>
          <w:bCs/>
          <w:sz w:val="24"/>
          <w:szCs w:val="24"/>
          <w:lang w:eastAsia="zh-CN"/>
        </w:rPr>
        <w:t>开福区陡岭004栋301号房</w:t>
      </w:r>
      <w:r>
        <w:rPr>
          <w:rFonts w:hint="eastAsia" w:ascii="仿宋" w:hAnsi="仿宋" w:eastAsia="仿宋" w:cs="仿宋"/>
          <w:b/>
          <w:bCs/>
          <w:sz w:val="24"/>
          <w:szCs w:val="24"/>
        </w:rPr>
        <w:t>落的土地使用权价值，是被征收房屋的首要价值。</w:t>
      </w:r>
      <w:r>
        <w:rPr>
          <w:rFonts w:hint="eastAsia" w:ascii="仿宋" w:hAnsi="仿宋" w:eastAsia="仿宋" w:cs="仿宋"/>
          <w:sz w:val="24"/>
          <w:szCs w:val="24"/>
          <w:lang w:val="en-US" w:eastAsia="zh-CN"/>
        </w:rPr>
        <w:t>然</w:t>
      </w:r>
      <w:r>
        <w:rPr>
          <w:rFonts w:hint="eastAsia" w:ascii="仿宋" w:hAnsi="仿宋" w:eastAsia="仿宋" w:cs="仿宋"/>
          <w:sz w:val="24"/>
          <w:szCs w:val="24"/>
        </w:rPr>
        <w:t>贵司</w:t>
      </w:r>
      <w:r>
        <w:rPr>
          <w:rFonts w:hint="eastAsia" w:ascii="仿宋" w:hAnsi="仿宋" w:eastAsia="仿宋" w:cs="仿宋"/>
          <w:sz w:val="24"/>
          <w:szCs w:val="24"/>
          <w:lang w:val="en-US" w:eastAsia="zh-CN"/>
        </w:rPr>
        <w:t>出具的估价报告中，对被评估房屋的土地价值只字未提</w:t>
      </w:r>
      <w:r>
        <w:rPr>
          <w:rFonts w:hint="eastAsia" w:ascii="仿宋" w:hAnsi="仿宋" w:eastAsia="仿宋" w:cs="仿宋"/>
          <w:sz w:val="24"/>
          <w:szCs w:val="24"/>
        </w:rPr>
        <w:t>，造成了评估对象价值内涵混淆不清，对被征收人</w:t>
      </w:r>
      <w:r>
        <w:rPr>
          <w:rFonts w:hint="eastAsia" w:ascii="仿宋" w:hAnsi="仿宋" w:eastAsia="仿宋" w:cs="仿宋"/>
          <w:sz w:val="24"/>
          <w:szCs w:val="24"/>
          <w:lang w:val="en-US" w:eastAsia="zh-CN"/>
        </w:rPr>
        <w:t>的财产权益</w:t>
      </w:r>
      <w:r>
        <w:rPr>
          <w:rFonts w:hint="eastAsia" w:ascii="仿宋" w:hAnsi="仿宋" w:eastAsia="仿宋" w:cs="仿宋"/>
          <w:sz w:val="24"/>
          <w:szCs w:val="24"/>
        </w:rPr>
        <w:t>造成不公</w:t>
      </w:r>
      <w:r>
        <w:rPr>
          <w:rFonts w:hint="eastAsia" w:ascii="仿宋" w:hAnsi="仿宋" w:eastAsia="仿宋" w:cs="仿宋"/>
          <w:sz w:val="24"/>
          <w:szCs w:val="24"/>
          <w:lang w:val="en-US" w:eastAsia="zh-CN"/>
        </w:rPr>
        <w:t>的影响</w:t>
      </w:r>
      <w:r>
        <w:rPr>
          <w:rFonts w:hint="eastAsia" w:ascii="仿宋" w:hAnsi="仿宋" w:eastAsia="仿宋" w:cs="仿宋"/>
          <w:sz w:val="24"/>
          <w:szCs w:val="24"/>
        </w:rPr>
        <w:t>。</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目前的</w:t>
      </w:r>
      <w:r>
        <w:rPr>
          <w:rFonts w:hint="eastAsia" w:ascii="仿宋" w:hAnsi="仿宋" w:eastAsia="仿宋" w:cs="仿宋"/>
          <w:sz w:val="24"/>
          <w:szCs w:val="24"/>
          <w:lang w:val="en-US" w:eastAsia="zh-CN"/>
        </w:rPr>
        <w:t>评估价格</w:t>
      </w:r>
      <w:r>
        <w:rPr>
          <w:rFonts w:hint="eastAsia" w:ascii="仿宋" w:hAnsi="仿宋" w:eastAsia="仿宋" w:cs="仿宋"/>
          <w:sz w:val="24"/>
          <w:szCs w:val="24"/>
        </w:rPr>
        <w:t>，仅为房屋评估的价值时点</w:t>
      </w:r>
      <w:r>
        <w:rPr>
          <w:rFonts w:hint="eastAsia" w:ascii="仿宋" w:hAnsi="仿宋" w:eastAsia="仿宋" w:cs="仿宋"/>
          <w:sz w:val="24"/>
          <w:szCs w:val="24"/>
          <w:lang w:eastAsia="zh-CN"/>
        </w:rPr>
        <w:t>（</w:t>
      </w:r>
      <w:r>
        <w:rPr>
          <w:rFonts w:hint="eastAsia" w:ascii="仿宋" w:hAnsi="仿宋" w:eastAsia="仿宋" w:cs="仿宋"/>
          <w:sz w:val="24"/>
          <w:szCs w:val="24"/>
        </w:rPr>
        <w:t>201</w:t>
      </w:r>
      <w:r>
        <w:rPr>
          <w:rFonts w:hint="eastAsia" w:ascii="仿宋" w:hAnsi="仿宋" w:eastAsia="仿宋" w:cs="仿宋"/>
          <w:sz w:val="24"/>
          <w:szCs w:val="24"/>
          <w:lang w:val="en-US" w:eastAsia="zh-CN"/>
        </w:rPr>
        <w:t>8</w:t>
      </w:r>
      <w:r>
        <w:rPr>
          <w:rFonts w:hint="eastAsia" w:ascii="仿宋" w:hAnsi="仿宋" w:eastAsia="仿宋" w:cs="仿宋"/>
          <w:sz w:val="24"/>
          <w:szCs w:val="24"/>
        </w:rPr>
        <w:t>年</w:t>
      </w:r>
      <w:r>
        <w:rPr>
          <w:rFonts w:hint="eastAsia" w:ascii="仿宋" w:hAnsi="仿宋" w:eastAsia="仿宋" w:cs="仿宋"/>
          <w:sz w:val="24"/>
          <w:szCs w:val="24"/>
          <w:lang w:val="en-US" w:eastAsia="zh-CN"/>
        </w:rPr>
        <w:t>7</w:t>
      </w:r>
      <w:r>
        <w:rPr>
          <w:rFonts w:hint="eastAsia" w:ascii="仿宋" w:hAnsi="仿宋" w:eastAsia="仿宋" w:cs="仿宋"/>
          <w:sz w:val="24"/>
          <w:szCs w:val="24"/>
        </w:rPr>
        <w:t>月3</w:t>
      </w:r>
      <w:r>
        <w:rPr>
          <w:rFonts w:hint="eastAsia" w:ascii="仿宋" w:hAnsi="仿宋" w:eastAsia="仿宋" w:cs="仿宋"/>
          <w:sz w:val="24"/>
          <w:szCs w:val="24"/>
          <w:lang w:val="en-US" w:eastAsia="zh-CN"/>
        </w:rPr>
        <w:t>1</w:t>
      </w:r>
      <w:r>
        <w:rPr>
          <w:rFonts w:hint="eastAsia" w:ascii="仿宋" w:hAnsi="仿宋" w:eastAsia="仿宋" w:cs="仿宋"/>
          <w:sz w:val="24"/>
          <w:szCs w:val="24"/>
        </w:rPr>
        <w:t>日</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市场</w:t>
      </w:r>
      <w:r>
        <w:rPr>
          <w:rFonts w:hint="eastAsia" w:ascii="仿宋" w:hAnsi="仿宋" w:eastAsia="仿宋" w:cs="仿宋"/>
          <w:sz w:val="24"/>
          <w:szCs w:val="24"/>
        </w:rPr>
        <w:t>普遍报价的一半，</w:t>
      </w:r>
      <w:r>
        <w:rPr>
          <w:rFonts w:hint="eastAsia" w:ascii="仿宋" w:hAnsi="仿宋" w:eastAsia="仿宋" w:cs="仿宋"/>
          <w:b/>
          <w:bCs/>
          <w:sz w:val="24"/>
          <w:szCs w:val="24"/>
        </w:rPr>
        <w:t>用这样的基准价格(</w:t>
      </w:r>
      <w:r>
        <w:rPr>
          <w:rFonts w:hint="eastAsia" w:ascii="仿宋" w:hAnsi="仿宋" w:eastAsia="仿宋" w:cs="仿宋"/>
          <w:b/>
          <w:bCs/>
          <w:sz w:val="24"/>
          <w:szCs w:val="24"/>
          <w:lang w:val="en-US" w:eastAsia="zh-CN"/>
        </w:rPr>
        <w:t>9204</w:t>
      </w:r>
      <w:r>
        <w:rPr>
          <w:rFonts w:hint="eastAsia" w:ascii="仿宋" w:hAnsi="仿宋" w:eastAsia="仿宋" w:cs="仿宋"/>
          <w:b/>
          <w:bCs/>
          <w:sz w:val="24"/>
          <w:szCs w:val="24"/>
        </w:rPr>
        <w:t>元/</w:t>
      </w:r>
      <w:r>
        <w:rPr>
          <w:rFonts w:hint="eastAsia" w:ascii="仿宋" w:hAnsi="仿宋" w:eastAsia="仿宋" w:cs="仿宋"/>
          <w:b/>
          <w:bCs/>
          <w:sz w:val="24"/>
          <w:szCs w:val="24"/>
          <w:lang w:val="en-US" w:eastAsia="zh-CN"/>
        </w:rPr>
        <w:t>m</w:t>
      </w:r>
      <w:r>
        <w:rPr>
          <w:rFonts w:hint="eastAsia" w:ascii="仿宋" w:hAnsi="仿宋" w:eastAsia="仿宋" w:cs="仿宋"/>
          <w:b/>
          <w:bCs/>
          <w:sz w:val="24"/>
          <w:szCs w:val="24"/>
        </w:rPr>
        <w:t>²），</w:t>
      </w:r>
      <w:r>
        <w:rPr>
          <w:rFonts w:hint="eastAsia" w:ascii="仿宋" w:hAnsi="仿宋" w:eastAsia="仿宋" w:cs="仿宋"/>
          <w:b/>
          <w:bCs/>
          <w:sz w:val="24"/>
          <w:szCs w:val="24"/>
          <w:lang w:val="en-US" w:eastAsia="zh-CN"/>
        </w:rPr>
        <w:t>几乎无法</w:t>
      </w:r>
      <w:r>
        <w:rPr>
          <w:rFonts w:hint="eastAsia" w:ascii="仿宋" w:hAnsi="仿宋" w:eastAsia="仿宋" w:cs="仿宋"/>
          <w:b/>
          <w:bCs/>
          <w:sz w:val="24"/>
          <w:szCs w:val="24"/>
        </w:rPr>
        <w:t>在价值时点达成实际交易</w:t>
      </w:r>
      <w:r>
        <w:rPr>
          <w:rFonts w:hint="eastAsia" w:ascii="仿宋" w:hAnsi="仿宋" w:eastAsia="仿宋" w:cs="仿宋"/>
          <w:sz w:val="24"/>
          <w:szCs w:val="24"/>
        </w:rPr>
        <w:t>。因此，在复核期间务请贵司对</w:t>
      </w:r>
      <w:r>
        <w:rPr>
          <w:rFonts w:hint="eastAsia" w:ascii="仿宋" w:hAnsi="仿宋" w:eastAsia="仿宋" w:cs="仿宋"/>
          <w:sz w:val="24"/>
          <w:szCs w:val="24"/>
          <w:lang w:eastAsia="zh-CN"/>
        </w:rPr>
        <w:t>开福区陡岭004栋301号房</w:t>
      </w:r>
      <w:r>
        <w:rPr>
          <w:rFonts w:hint="eastAsia" w:ascii="仿宋" w:hAnsi="仿宋" w:eastAsia="仿宋" w:cs="仿宋"/>
          <w:sz w:val="24"/>
          <w:szCs w:val="24"/>
        </w:rPr>
        <w:t>进行独立客观公正的估价。回到估价原则的轨道上来。</w:t>
      </w:r>
    </w:p>
    <w:p>
      <w:pPr>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rPr>
      </w:pPr>
      <w:r>
        <w:rPr>
          <w:rFonts w:hint="eastAsia" w:ascii="仿宋" w:hAnsi="仿宋" w:eastAsia="仿宋" w:cs="仿宋"/>
          <w:sz w:val="24"/>
          <w:szCs w:val="24"/>
        </w:rPr>
        <w:t>《估价规范》5.3.4规定：“用于产权调换房屋价值评估，应符合下列规定：1</w:t>
      </w:r>
      <w:r>
        <w:rPr>
          <w:rFonts w:hint="eastAsia" w:ascii="仿宋" w:hAnsi="仿宋" w:eastAsia="仿宋" w:cs="仿宋"/>
          <w:sz w:val="24"/>
          <w:szCs w:val="24"/>
          <w:lang w:eastAsia="zh-CN"/>
        </w:rPr>
        <w:t>，</w:t>
      </w:r>
      <w:r>
        <w:rPr>
          <w:rFonts w:hint="eastAsia" w:ascii="仿宋" w:hAnsi="仿宋" w:eastAsia="仿宋" w:cs="仿宋"/>
          <w:sz w:val="24"/>
          <w:szCs w:val="24"/>
        </w:rPr>
        <w:t>用于产权调换房屋价值，应包括用于产权调换房屋及其占用范围内的土地使用权，和用于产权调换的其他不动产的价值；2</w:t>
      </w:r>
      <w:r>
        <w:rPr>
          <w:rFonts w:hint="eastAsia" w:ascii="仿宋" w:hAnsi="仿宋" w:eastAsia="仿宋" w:cs="仿宋"/>
          <w:sz w:val="24"/>
          <w:szCs w:val="24"/>
          <w:lang w:eastAsia="zh-CN"/>
        </w:rPr>
        <w:t>，</w:t>
      </w:r>
      <w:r>
        <w:rPr>
          <w:rFonts w:hint="eastAsia" w:ascii="仿宋" w:hAnsi="仿宋" w:eastAsia="仿宋" w:cs="仿宋"/>
          <w:sz w:val="24"/>
          <w:szCs w:val="24"/>
        </w:rPr>
        <w:t>用于产权调换房屋价值应是在房屋征收决定公告之日的市场价值……”产权置换房屋差价的结算，就建立在这一评估的结果之上。</w:t>
      </w:r>
      <w:r>
        <w:rPr>
          <w:rFonts w:hint="eastAsia" w:ascii="仿宋" w:hAnsi="仿宋" w:eastAsia="仿宋" w:cs="仿宋"/>
          <w:sz w:val="24"/>
          <w:szCs w:val="24"/>
          <w:u w:val="single"/>
        </w:rPr>
        <w:t>现复核申请人，欲选择产权置换，</w:t>
      </w:r>
      <w:r>
        <w:rPr>
          <w:rFonts w:hint="eastAsia" w:ascii="仿宋" w:hAnsi="仿宋" w:eastAsia="仿宋" w:cs="仿宋"/>
          <w:sz w:val="24"/>
          <w:szCs w:val="24"/>
          <w:u w:val="single"/>
          <w:lang w:val="en-US" w:eastAsia="zh-CN"/>
        </w:rPr>
        <w:t>但是</w:t>
      </w:r>
      <w:r>
        <w:rPr>
          <w:rFonts w:hint="eastAsia" w:ascii="仿宋" w:hAnsi="仿宋" w:eastAsia="仿宋" w:cs="仿宋"/>
          <w:sz w:val="24"/>
          <w:szCs w:val="24"/>
          <w:u w:val="single"/>
        </w:rPr>
        <w:t>评估报告</w:t>
      </w:r>
      <w:r>
        <w:rPr>
          <w:rFonts w:hint="eastAsia" w:ascii="仿宋" w:hAnsi="仿宋" w:eastAsia="仿宋" w:cs="仿宋"/>
          <w:sz w:val="24"/>
          <w:szCs w:val="24"/>
          <w:u w:val="single"/>
          <w:lang w:val="en-US" w:eastAsia="zh-CN"/>
        </w:rPr>
        <w:t>的内容</w:t>
      </w:r>
      <w:r>
        <w:rPr>
          <w:rFonts w:hint="eastAsia" w:ascii="仿宋" w:hAnsi="仿宋" w:eastAsia="仿宋" w:cs="仿宋"/>
          <w:sz w:val="24"/>
          <w:szCs w:val="24"/>
          <w:u w:val="single"/>
        </w:rPr>
        <w:t>却缺少“用于产权调换房屋”</w:t>
      </w:r>
      <w:r>
        <w:rPr>
          <w:rFonts w:hint="eastAsia" w:ascii="仿宋" w:hAnsi="仿宋" w:eastAsia="仿宋" w:cs="仿宋"/>
          <w:sz w:val="24"/>
          <w:szCs w:val="24"/>
          <w:u w:val="single"/>
          <w:lang w:val="en-US" w:eastAsia="zh-CN"/>
        </w:rPr>
        <w:t>是否在价值时点竣工完成的关键</w:t>
      </w:r>
      <w:r>
        <w:rPr>
          <w:rFonts w:hint="eastAsia" w:ascii="仿宋" w:hAnsi="仿宋" w:eastAsia="仿宋" w:cs="仿宋"/>
          <w:sz w:val="24"/>
          <w:szCs w:val="24"/>
          <w:u w:val="single"/>
        </w:rPr>
        <w:t>价值信息。如何</w:t>
      </w:r>
      <w:r>
        <w:rPr>
          <w:rFonts w:hint="eastAsia" w:ascii="仿宋" w:hAnsi="仿宋" w:eastAsia="仿宋" w:cs="仿宋"/>
          <w:sz w:val="24"/>
          <w:szCs w:val="24"/>
          <w:u w:val="single"/>
          <w:lang w:val="en-US" w:eastAsia="zh-CN"/>
        </w:rPr>
        <w:t>证明</w:t>
      </w:r>
      <w:r>
        <w:rPr>
          <w:rFonts w:hint="eastAsia" w:ascii="仿宋" w:hAnsi="仿宋" w:eastAsia="仿宋" w:cs="仿宋"/>
          <w:sz w:val="24"/>
          <w:szCs w:val="24"/>
          <w:u w:val="single"/>
        </w:rPr>
        <w:t>用于产权调换</w:t>
      </w:r>
      <w:r>
        <w:rPr>
          <w:rFonts w:hint="eastAsia" w:ascii="仿宋" w:hAnsi="仿宋" w:eastAsia="仿宋" w:cs="仿宋"/>
          <w:sz w:val="24"/>
          <w:szCs w:val="24"/>
          <w:u w:val="single"/>
          <w:lang w:val="en-US" w:eastAsia="zh-CN"/>
        </w:rPr>
        <w:t>的</w:t>
      </w:r>
      <w:r>
        <w:rPr>
          <w:rFonts w:hint="eastAsia" w:ascii="仿宋" w:hAnsi="仿宋" w:eastAsia="仿宋" w:cs="仿宋"/>
          <w:sz w:val="24"/>
          <w:szCs w:val="24"/>
          <w:u w:val="single"/>
        </w:rPr>
        <w:t>房屋</w:t>
      </w:r>
      <w:r>
        <w:rPr>
          <w:rFonts w:hint="eastAsia" w:ascii="仿宋" w:hAnsi="仿宋" w:eastAsia="仿宋" w:cs="仿宋"/>
          <w:sz w:val="24"/>
          <w:szCs w:val="24"/>
          <w:u w:val="single"/>
          <w:lang w:val="en-US" w:eastAsia="zh-CN"/>
        </w:rPr>
        <w:t>在价值时点竣工完成并且可以正常交易</w:t>
      </w:r>
      <w:r>
        <w:rPr>
          <w:rFonts w:hint="eastAsia" w:ascii="仿宋" w:hAnsi="仿宋" w:eastAsia="仿宋" w:cs="仿宋"/>
          <w:sz w:val="24"/>
          <w:szCs w:val="24"/>
        </w:rPr>
        <w:t>？</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五、</w:t>
      </w:r>
      <w:r>
        <w:rPr>
          <w:rFonts w:hint="eastAsia" w:ascii="仿宋" w:hAnsi="仿宋" w:eastAsia="仿宋" w:cs="仿宋"/>
          <w:b/>
          <w:bCs/>
          <w:sz w:val="24"/>
          <w:szCs w:val="24"/>
          <w:lang w:val="en-US" w:eastAsia="zh-CN"/>
        </w:rPr>
        <w:t>《开福区陡岭004栋301号房分户估价报告》存在的其它问题</w:t>
      </w:r>
    </w:p>
    <w:p>
      <w:pPr>
        <w:pageBreakBefore w:val="0"/>
        <w:widowControl w:val="0"/>
        <w:numPr>
          <w:ilvl w:val="0"/>
          <w:numId w:val="4"/>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房地产估价规范》规定：估价报告使用期限应自估价报告出具之日起计算，根据估价目的和预计估价对象房地产市场价格变化程度确定，不宜超过1年。而评估报告的内容显示，评估师加盖的时效章为2019年4月过期，是否意味着复核申请人的</w:t>
      </w:r>
      <w:r>
        <w:rPr>
          <w:rFonts w:hint="eastAsia" w:ascii="仿宋" w:hAnsi="仿宋" w:eastAsia="仿宋" w:cs="仿宋"/>
          <w:sz w:val="24"/>
          <w:szCs w:val="24"/>
        </w:rPr>
        <w:t>房屋评估的价值时点</w:t>
      </w:r>
      <w:r>
        <w:rPr>
          <w:rFonts w:hint="eastAsia" w:ascii="仿宋" w:hAnsi="仿宋" w:eastAsia="仿宋" w:cs="仿宋"/>
          <w:sz w:val="24"/>
          <w:szCs w:val="24"/>
          <w:lang w:val="en-US" w:eastAsia="zh-CN"/>
        </w:rPr>
        <w:t>是2018年4月？</w:t>
      </w:r>
    </w:p>
    <w:p>
      <w:pPr>
        <w:pageBreakBefore w:val="0"/>
        <w:widowControl w:val="0"/>
        <w:numPr>
          <w:ilvl w:val="0"/>
          <w:numId w:val="4"/>
        </w:numPr>
        <w:kinsoku/>
        <w:wordWrap/>
        <w:overflowPunct/>
        <w:topLinePunct w:val="0"/>
        <w:autoSpaceDE/>
        <w:autoSpaceDN/>
        <w:bidi w:val="0"/>
        <w:adjustRightInd/>
        <w:snapToGrid/>
        <w:spacing w:line="0" w:lineRule="atLeast"/>
        <w:ind w:left="0" w:leftChars="0" w:right="0" w:rightChars="0" w:firstLine="360" w:firstLineChars="150"/>
        <w:jc w:val="both"/>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贵司在估价过程中从未派人到过</w:t>
      </w:r>
      <w:r>
        <w:rPr>
          <w:rFonts w:hint="eastAsia" w:ascii="仿宋" w:hAnsi="仿宋" w:eastAsia="仿宋" w:cs="仿宋"/>
          <w:sz w:val="24"/>
          <w:szCs w:val="24"/>
          <w:lang w:eastAsia="zh-CN"/>
        </w:rPr>
        <w:t>开福区陡岭004栋301号</w:t>
      </w:r>
      <w:r>
        <w:rPr>
          <w:rFonts w:hint="eastAsia" w:ascii="仿宋" w:hAnsi="仿宋" w:eastAsia="仿宋" w:cs="仿宋"/>
          <w:sz w:val="24"/>
          <w:szCs w:val="24"/>
          <w:lang w:val="en-US" w:eastAsia="zh-CN"/>
        </w:rPr>
        <w:t>房屋的现场进行实地查勘，却在估价报告中说明是实地查勘，请说明理由。</w:t>
      </w:r>
    </w:p>
    <w:p>
      <w:pPr>
        <w:pStyle w:val="3"/>
        <w:pageBreakBefore w:val="0"/>
        <w:widowControl w:val="0"/>
        <w:kinsoku/>
        <w:wordWrap/>
        <w:overflowPunct/>
        <w:topLinePunct w:val="0"/>
        <w:autoSpaceDE/>
        <w:autoSpaceDN/>
        <w:bidi w:val="0"/>
        <w:adjustRightInd/>
        <w:snapToGrid/>
        <w:spacing w:line="0" w:lineRule="atLeast"/>
        <w:ind w:left="0" w:leftChars="0" w:right="0" w:rightChars="0" w:firstLine="361" w:firstLineChars="150"/>
        <w:jc w:val="both"/>
        <w:textAlignment w:val="auto"/>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综上，复核申请人对开福区陡岭004栋301号房分户估价报告完全不予认同！同时上述问题</w:t>
      </w:r>
      <w:r>
        <w:rPr>
          <w:rFonts w:hint="eastAsia" w:ascii="仿宋" w:hAnsi="仿宋" w:eastAsia="仿宋" w:cs="仿宋"/>
          <w:b/>
          <w:bCs w:val="0"/>
          <w:sz w:val="24"/>
          <w:szCs w:val="24"/>
        </w:rPr>
        <w:t>请贵司一并给予答复</w:t>
      </w:r>
      <w:r>
        <w:rPr>
          <w:rFonts w:hint="eastAsia" w:ascii="仿宋" w:hAnsi="仿宋" w:eastAsia="仿宋" w:cs="仿宋"/>
          <w:b/>
          <w:bCs w:val="0"/>
          <w:sz w:val="24"/>
          <w:szCs w:val="24"/>
          <w:lang w:eastAsia="zh-CN"/>
        </w:rPr>
        <w:t>！</w:t>
      </w:r>
    </w:p>
    <w:p>
      <w:pPr>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rPr>
          <w:rFonts w:hint="eastAsia" w:ascii="仿宋" w:hAnsi="仿宋" w:eastAsia="仿宋" w:cs="仿宋"/>
          <w:sz w:val="24"/>
          <w:szCs w:val="24"/>
          <w:lang w:val="en-US" w:eastAsia="zh-CN"/>
        </w:rPr>
      </w:pPr>
      <w:bookmarkStart w:id="0" w:name="_GoBack"/>
      <w:bookmarkEnd w:id="0"/>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dobe 仿宋 Std R">
    <w:altName w:val="仿宋"/>
    <w:panose1 w:val="02020400000000000000"/>
    <w:charset w:val="86"/>
    <w:family w:val="auto"/>
    <w:pitch w:val="default"/>
    <w:sig w:usb0="00000000" w:usb1="00000000" w:usb2="00000016" w:usb3="00000000" w:csb0="00060007" w:csb1="00000000"/>
  </w:font>
  <w:font w:name="Adobe 宋体 Std L">
    <w:altName w:val="宋体"/>
    <w:panose1 w:val="02020300000000000000"/>
    <w:charset w:val="86"/>
    <w:family w:val="auto"/>
    <w:pitch w:val="default"/>
    <w:sig w:usb0="00000000" w:usb1="00000000" w:usb2="00000016" w:usb3="00000000" w:csb0="00060007" w:csb1="00000000"/>
  </w:font>
  <w:font w:name="Kozuka Gothic Pr6N B">
    <w:altName w:val="Yu Gothic UI Semibold"/>
    <w:panose1 w:val="020B0800000000000000"/>
    <w:charset w:val="80"/>
    <w:family w:val="auto"/>
    <w:pitch w:val="default"/>
    <w:sig w:usb0="00000000" w:usb1="00000000" w:usb2="00000012" w:usb3="00000000" w:csb0="2002009F" w:csb1="00000000"/>
  </w:font>
  <w:font w:name="Arial Unicode MS">
    <w:panose1 w:val="020B0604020202020204"/>
    <w:charset w:val="86"/>
    <w:family w:val="auto"/>
    <w:pitch w:val="default"/>
    <w:sig w:usb0="FFFFFFFF" w:usb1="E9FFFFFF" w:usb2="0000003F" w:usb3="00000000" w:csb0="603F01FF" w:csb1="FFFF0000"/>
  </w:font>
  <w:font w:name="Kozuka Gothic Pr6N R">
    <w:altName w:val="Yu Gothic UI Semilight"/>
    <w:panose1 w:val="020B0400000000000000"/>
    <w:charset w:val="80"/>
    <w:family w:val="auto"/>
    <w:pitch w:val="default"/>
    <w:sig w:usb0="00000000" w:usb1="00000000" w:usb2="00000012" w:usb3="00000000" w:csb0="2002009F" w:csb1="00000000"/>
  </w:font>
  <w:font w:name="Kozuka Gothic Pr6N L">
    <w:altName w:val="Yu Gothic UI Light"/>
    <w:panose1 w:val="020B0200000000000000"/>
    <w:charset w:val="80"/>
    <w:family w:val="auto"/>
    <w:pitch w:val="default"/>
    <w:sig w:usb0="00000000" w:usb1="00000000" w:usb2="00000012" w:usb3="00000000" w:csb0="2002009F" w:csb1="00000000"/>
  </w:font>
  <w:font w:name="Kozuka Gothic Pr6N H">
    <w:altName w:val="Yu Gothic UI Semibold"/>
    <w:panose1 w:val="020B0800000000000000"/>
    <w:charset w:val="80"/>
    <w:family w:val="auto"/>
    <w:pitch w:val="default"/>
    <w:sig w:usb0="00000000" w:usb1="00000000" w:usb2="00000012" w:usb3="00000000" w:csb0="2002009F" w:csb1="00000000"/>
  </w:font>
  <w:font w:name="Kozuka Gothic Pr6N EL">
    <w:altName w:val="Yu Gothic UI Light"/>
    <w:panose1 w:val="020B0200000000000000"/>
    <w:charset w:val="80"/>
    <w:family w:val="auto"/>
    <w:pitch w:val="default"/>
    <w:sig w:usb0="00000000" w:usb1="00000000" w:usb2="00000012" w:usb3="00000000" w:csb0="2002009F" w:csb1="00000000"/>
  </w:font>
  <w:font w:name="Adobe Myungjo Std M">
    <w:altName w:val="MS UI Gothic"/>
    <w:panose1 w:val="02020600000000000000"/>
    <w:charset w:val="80"/>
    <w:family w:val="auto"/>
    <w:pitch w:val="default"/>
    <w:sig w:usb0="00000000" w:usb1="00000000" w:usb2="00000010" w:usb3="00000000" w:csb0="602A0005" w:csb1="00000000"/>
  </w:font>
  <w:font w:name="Adobe Gothic Std B">
    <w:altName w:val="Yu Gothic UI Semibold"/>
    <w:panose1 w:val="020B0800000000000000"/>
    <w:charset w:val="80"/>
    <w:family w:val="auto"/>
    <w:pitch w:val="default"/>
    <w:sig w:usb0="00000000" w:usb1="00000000" w:usb2="00000010" w:usb3="00000000" w:csb0="602A0005" w:csb1="00000000"/>
  </w:font>
  <w:font w:name="Adobe 黑体 Std R">
    <w:altName w:val="黑体"/>
    <w:panose1 w:val="020B0400000000000000"/>
    <w:charset w:val="86"/>
    <w:family w:val="auto"/>
    <w:pitch w:val="default"/>
    <w:sig w:usb0="00000000" w:usb1="00000000" w:usb2="00000016" w:usb3="00000000" w:csb0="00060007" w:csb1="00000000"/>
  </w:font>
  <w:font w:name="Tahoma">
    <w:panose1 w:val="020B0604030504040204"/>
    <w:charset w:val="00"/>
    <w:family w:val="auto"/>
    <w:pitch w:val="default"/>
    <w:sig w:usb0="E1002EFF" w:usb1="C000605B" w:usb2="00000029" w:usb3="00000000" w:csb0="200101FF" w:csb1="2028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华文新魏">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3</w:t>
                          </w:r>
                          <w:r>
                            <w:rPr>
                              <w:rFonts w:hint="eastAsia" w:eastAsia="宋体"/>
                              <w:lang w:eastAsia="zh-CN"/>
                            </w:rPr>
                            <w:fldChar w:fldCharType="end"/>
                          </w:r>
                          <w:r>
                            <w:rPr>
                              <w:rFonts w:hint="eastAsia" w:eastAsia="宋体"/>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3</w:t>
                    </w:r>
                    <w:r>
                      <w:rPr>
                        <w:rFonts w:hint="eastAsia" w:eastAsia="宋体"/>
                        <w:lang w:eastAsia="zh-CN"/>
                      </w:rPr>
                      <w:fldChar w:fldCharType="end"/>
                    </w:r>
                    <w:r>
                      <w:rPr>
                        <w:rFonts w:hint="eastAsia" w:eastAsia="宋体"/>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15C40"/>
    <w:multiLevelType w:val="singleLevel"/>
    <w:tmpl w:val="5AE15C40"/>
    <w:lvl w:ilvl="0" w:tentative="0">
      <w:start w:val="1"/>
      <w:numFmt w:val="decimal"/>
      <w:lvlText w:val="%1."/>
      <w:lvlJc w:val="left"/>
      <w:pPr>
        <w:ind w:left="425" w:hanging="425"/>
      </w:pPr>
      <w:rPr>
        <w:rFonts w:hint="default"/>
      </w:rPr>
    </w:lvl>
  </w:abstractNum>
  <w:abstractNum w:abstractNumId="1">
    <w:nsid w:val="5AE29AC1"/>
    <w:multiLevelType w:val="singleLevel"/>
    <w:tmpl w:val="5AE29AC1"/>
    <w:lvl w:ilvl="0" w:tentative="0">
      <w:start w:val="1"/>
      <w:numFmt w:val="decimal"/>
      <w:lvlText w:val="%1."/>
      <w:lvlJc w:val="left"/>
      <w:pPr>
        <w:ind w:left="425" w:hanging="425"/>
      </w:pPr>
      <w:rPr>
        <w:rFonts w:hint="default"/>
      </w:rPr>
    </w:lvl>
  </w:abstractNum>
  <w:abstractNum w:abstractNumId="2">
    <w:nsid w:val="5AE29C09"/>
    <w:multiLevelType w:val="singleLevel"/>
    <w:tmpl w:val="5AE29C09"/>
    <w:lvl w:ilvl="0" w:tentative="0">
      <w:start w:val="1"/>
      <w:numFmt w:val="decimal"/>
      <w:lvlText w:val="%1."/>
      <w:lvlJc w:val="left"/>
      <w:pPr>
        <w:ind w:left="425" w:hanging="425"/>
      </w:pPr>
      <w:rPr>
        <w:rFonts w:hint="default"/>
      </w:rPr>
    </w:lvl>
  </w:abstractNum>
  <w:abstractNum w:abstractNumId="3">
    <w:nsid w:val="5AE29F54"/>
    <w:multiLevelType w:val="singleLevel"/>
    <w:tmpl w:val="5AE29F54"/>
    <w:lvl w:ilvl="0" w:tentative="0">
      <w:start w:val="1"/>
      <w:numFmt w:val="decimal"/>
      <w:lvlText w:val="%1."/>
      <w:lvlJc w:val="left"/>
      <w:pPr>
        <w:ind w:left="425" w:hanging="425"/>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F1495"/>
    <w:rsid w:val="0B56256F"/>
    <w:rsid w:val="0C37645B"/>
    <w:rsid w:val="0E4F78FF"/>
    <w:rsid w:val="11192B00"/>
    <w:rsid w:val="16A20526"/>
    <w:rsid w:val="18F378FE"/>
    <w:rsid w:val="19F86582"/>
    <w:rsid w:val="20B10973"/>
    <w:rsid w:val="216D68CB"/>
    <w:rsid w:val="21D2631A"/>
    <w:rsid w:val="29317A77"/>
    <w:rsid w:val="2EFD2577"/>
    <w:rsid w:val="2F33471C"/>
    <w:rsid w:val="316F1495"/>
    <w:rsid w:val="325064E1"/>
    <w:rsid w:val="37DF70B8"/>
    <w:rsid w:val="3C744C12"/>
    <w:rsid w:val="3F937ECC"/>
    <w:rsid w:val="44D7050C"/>
    <w:rsid w:val="4B7519CF"/>
    <w:rsid w:val="4DE8671D"/>
    <w:rsid w:val="50754D84"/>
    <w:rsid w:val="565E5C26"/>
    <w:rsid w:val="5A654501"/>
    <w:rsid w:val="6159627A"/>
    <w:rsid w:val="645C4F23"/>
    <w:rsid w:val="6A46592E"/>
    <w:rsid w:val="6DA52622"/>
    <w:rsid w:val="6EC2589C"/>
    <w:rsid w:val="6FD0138A"/>
    <w:rsid w:val="768A5385"/>
    <w:rsid w:val="76D6154F"/>
    <w:rsid w:val="7B564DF0"/>
    <w:rsid w:val="7D882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2018-03-22T13:08:00Z</dcterms:created>
  <dc:creator>Stallone</dc:creator>
  <cp:lastModifiedBy>30886</cp:lastModifiedBy>
  <cp:lastPrinted>2018-08-31T04:28:04Z</cp:lastPrinted>
  <dcterms:modified xsi:type="dcterms:W3CDTF">2018-09-02T06:27:13Z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