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GoBack"/>
      <w:r>
        <w:rPr>
          <w:rFonts w:hint="eastAsia"/>
          <w:lang w:val="en-US" w:eastAsia="zh-CN"/>
        </w:rPr>
        <w:t>法律链接</w:t>
      </w:r>
    </w:p>
    <w:bookmarkEnd w:id="0"/>
    <w:p>
      <w:pPr>
        <w:rPr>
          <w:rFonts w:hint="eastAsia"/>
          <w:b/>
          <w:bCs/>
          <w:lang w:val="en-US" w:eastAsia="zh-CN"/>
        </w:rPr>
      </w:pPr>
      <w:r>
        <w:rPr>
          <w:rFonts w:hint="eastAsia"/>
          <w:b/>
          <w:bCs/>
          <w:lang w:val="en-US" w:eastAsia="zh-CN"/>
        </w:rPr>
        <w:t>《最高法院关于民事诉讼法的解释》</w:t>
      </w:r>
    </w:p>
    <w:p>
      <w:pPr>
        <w:rPr>
          <w:rFonts w:hint="eastAsia"/>
          <w:lang w:val="en-US" w:eastAsia="zh-CN"/>
        </w:rPr>
      </w:pPr>
    </w:p>
    <w:p>
      <w:pPr>
        <w:rPr>
          <w:rFonts w:hint="eastAsia"/>
          <w:lang w:val="en-US" w:eastAsia="zh-CN"/>
        </w:rPr>
      </w:pPr>
      <w:r>
        <w:rPr>
          <w:rFonts w:hint="eastAsia"/>
          <w:lang w:val="en-US" w:eastAsia="zh-CN"/>
        </w:rPr>
        <w:t>第三百三十三条 第二审人民法院对下列上诉案件，依照民事诉讼法第一百六十九条规定可以不开庭审理：</w:t>
      </w:r>
    </w:p>
    <w:p>
      <w:pPr>
        <w:rPr>
          <w:rFonts w:hint="eastAsia"/>
          <w:lang w:val="en-US" w:eastAsia="zh-CN"/>
        </w:rPr>
      </w:pPr>
    </w:p>
    <w:p>
      <w:pPr>
        <w:rPr>
          <w:rFonts w:hint="eastAsia"/>
          <w:lang w:val="en-US" w:eastAsia="zh-CN"/>
        </w:rPr>
      </w:pPr>
      <w:r>
        <w:rPr>
          <w:rFonts w:hint="eastAsia"/>
          <w:lang w:val="en-US" w:eastAsia="zh-CN"/>
        </w:rPr>
        <w:t>(一)不服不予受理、管辖权异议和驳回起诉裁定的;</w:t>
      </w:r>
    </w:p>
    <w:p>
      <w:pPr>
        <w:rPr>
          <w:rFonts w:hint="eastAsia"/>
          <w:lang w:val="en-US" w:eastAsia="zh-CN"/>
        </w:rPr>
      </w:pPr>
    </w:p>
    <w:p>
      <w:pPr>
        <w:rPr>
          <w:rFonts w:hint="eastAsia"/>
          <w:lang w:val="en-US" w:eastAsia="zh-CN"/>
        </w:rPr>
      </w:pPr>
      <w:r>
        <w:rPr>
          <w:rFonts w:hint="eastAsia"/>
          <w:lang w:val="en-US" w:eastAsia="zh-CN"/>
        </w:rPr>
        <w:t>(二)当事人提出的上诉请求明显不能成立的;</w:t>
      </w:r>
    </w:p>
    <w:p>
      <w:pPr>
        <w:rPr>
          <w:rFonts w:hint="eastAsia"/>
          <w:lang w:val="en-US" w:eastAsia="zh-CN"/>
        </w:rPr>
      </w:pPr>
    </w:p>
    <w:p>
      <w:pPr>
        <w:rPr>
          <w:rFonts w:hint="eastAsia"/>
          <w:lang w:val="en-US" w:eastAsia="zh-CN"/>
        </w:rPr>
      </w:pPr>
      <w:r>
        <w:rPr>
          <w:rFonts w:hint="eastAsia"/>
          <w:lang w:val="en-US" w:eastAsia="zh-CN"/>
        </w:rPr>
        <w:t>(三)原判决、裁定认定事实清楚，但适用法律错误的;</w:t>
      </w:r>
    </w:p>
    <w:p>
      <w:pPr>
        <w:rPr>
          <w:rFonts w:hint="eastAsia"/>
          <w:lang w:val="en-US" w:eastAsia="zh-CN"/>
        </w:rPr>
      </w:pPr>
    </w:p>
    <w:p>
      <w:pPr>
        <w:numPr>
          <w:ilvl w:val="0"/>
          <w:numId w:val="1"/>
        </w:numPr>
        <w:rPr>
          <w:rFonts w:hint="eastAsia"/>
          <w:lang w:val="en-US" w:eastAsia="zh-CN"/>
        </w:rPr>
      </w:pPr>
      <w:r>
        <w:rPr>
          <w:rFonts w:hint="eastAsia"/>
          <w:lang w:val="en-US" w:eastAsia="zh-CN"/>
        </w:rPr>
        <w:t>原判决严重违反法定程序，需要发回重审的。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b/>
          <w:bCs/>
          <w:lang w:val="en-US" w:eastAsia="zh-CN"/>
        </w:rPr>
      </w:pPr>
      <w:r>
        <w:rPr>
          <w:rFonts w:hint="eastAsia"/>
          <w:b/>
          <w:bCs/>
          <w:lang w:val="en-US" w:eastAsia="zh-CN"/>
        </w:rPr>
        <w:t>最高人民法院关于人民法院庭审录音录像的若干规定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发布：2017-02-22实施：2017-03-01现行有效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法律修订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2017年1月25日最高人民法院审判委员会第1708次会议通过，自2017年3月1日起施行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正文</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第一条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人民法院开庭审判案件，应当对庭审活动进行全程录音录像。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第二条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人民法院应当在法庭内配备固定或者移动的录音录像设备。 有条件的人民法院可以在法庭安装使用智能语音识别同步转换文字系统。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第三条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庭审录音录像应当自宣布开庭时开始，至闭庭时结束。除下列情形外，庭审录音录像不得人为中断： （一）休庭； （二）公开庭审中的不公开举证、质证活动； （三）不宜录制的调解活动。 负责录音录像的人员应当对录音录像的起止时间、有无中断等情况进行记录并附卷。</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第四条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人民法院应当采取叠加同步录制时间或者其他措施保证庭审录音录像的真实和完整。 因设备故障或技术原因导致录音录像不真实、不完整的，负责录音录像的人员应当作出书面说明，经审判长或独任审判员审核签字后附卷。</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第五条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人民法院应当使用专门设备在线或离线存储、备份庭审录音录像。因设备故障等原因导致不符合技术标准的录音录像，应当一并存储。 庭审录音录像的归档，按照人民法院电子诉讼档案管理规定执行。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第六条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人民法院通过使用智能语音识别系统同步转换生成的庭审文字记录，经审判人员、书记员、诉讼参与人核对签字后，作为法庭笔录管理和使用。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第七条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诉讼参与人对法庭笔录有异议并申请补正的，书记员可以播放庭审录音录像进行核对、补正；不予补正的，应当将申请记录在案。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第八条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适用简易程序审理民事案件的庭审录音录像，经当事人同意的，可以替代法庭笔录。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第九条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人民法院应当将替代法庭笔录的庭审录音录像同步保存在服务器或者刻录成光盘，并由当事人和其他诉讼参与人对其完整性校验值签字或者采取其他方法进行确认。</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第十条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人民法院应当通过审判流程信息公开平台、诉讼服务平台以及其他便民诉讼服务平台，为当事人、辩护律师、诉讼代理人等依法查阅庭审录音录像提供便利。 对提供查阅的录音录像，人民法院应当设置必要的安全防范措施。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第十一条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当事人、辩护律师、诉讼代理人等可以依照规定复制录音或者誊录庭审录音录像，必要时人民法院应当配备相应设施。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第十二条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人民法院可以播放依法公开审理案件的庭审录音录像。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第十三条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诉讼参与人、旁听人员违反法庭纪律或者有关法律规定，危害法庭安全、扰乱法庭秩序的，人民法院可以通过庭审录音录像进行调查核实，并将其作为追究法律责任的证据。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第十四条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人民检察院、诉讼参与人认为庭审活动不规范或者违反法律规定的，人民法院应当结合庭审录音录像进行调查核实。</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第十五条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未经人民法院许可，任何人不得对庭审活动进行录音录像，不得对庭审录音录像进行拍录、复制、删除和迁移。 行为人实施前款行为的，依照规定追究其相应责任。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第十六条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涉及国家秘密、商业秘密、个人隐私等庭审活动的录制，以及对庭审录音录像的存储、查阅、复制、誊录等，应当符合保密管理等相关规定。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第十七条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庭审录音录像涉及的相关技术保障、技术标准和技术规范，由最高人民法院另行制定。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第十八条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人民法院从事其他审判活动或者进行执行、听证、接访等活动需要进行录音录像的，参照本规定执行。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第十九条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本规定自2017年3月1日起施行。最高人民法院此前发布的司法解释及规范性文件与本规定不一致的，以本规定为准。</w:t>
      </w:r>
    </w:p>
    <w:p>
      <w:pPr>
        <w:widowControl w:val="0"/>
        <w:numPr>
          <w:numId w:val="0"/>
        </w:numPr>
        <w:jc w:val="both"/>
        <w:rPr>
          <w:rFonts w:hint="eastAsia"/>
          <w:lang w:val="en-US" w:eastAsia="zh-CN"/>
        </w:rPr>
      </w:pPr>
      <w:r>
        <w:rPr>
          <w:rFonts w:hint="eastAsia"/>
          <w:lang w:val="en-US" w:eastAsia="zh-CN"/>
        </w:rPr>
        <w:br w:type="page"/>
      </w:r>
    </w:p>
    <w:p>
      <w:pPr>
        <w:widowControl w:val="0"/>
        <w:numPr>
          <w:numId w:val="0"/>
        </w:numPr>
        <w:jc w:val="both"/>
        <w:rPr>
          <w:rFonts w:hint="eastAsia"/>
          <w:b/>
          <w:bCs/>
          <w:lang w:val="en-US" w:eastAsia="zh-CN"/>
        </w:rPr>
      </w:pPr>
      <w:r>
        <w:rPr>
          <w:rFonts w:hint="eastAsia"/>
          <w:b/>
          <w:bCs/>
          <w:lang w:val="en-US" w:eastAsia="zh-CN"/>
        </w:rPr>
        <w:t>最高人民法院关于民事诉讼证据的若干规定</w:t>
      </w:r>
    </w:p>
    <w:p>
      <w:pPr>
        <w:widowControl w:val="0"/>
        <w:numPr>
          <w:numId w:val="0"/>
        </w:numPr>
        <w:jc w:val="both"/>
        <w:rPr>
          <w:rFonts w:hint="eastAsia"/>
          <w:b/>
          <w:bCs/>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一、当事人举证</w:t>
      </w:r>
    </w:p>
    <w:p>
      <w:pPr>
        <w:widowControl w:val="0"/>
        <w:numPr>
          <w:numId w:val="0"/>
        </w:numPr>
        <w:jc w:val="both"/>
        <w:rPr>
          <w:rFonts w:hint="eastAsia"/>
          <w:b w:val="0"/>
          <w:bCs w:val="0"/>
          <w:lang w:val="en-US" w:eastAsia="zh-CN"/>
        </w:rPr>
      </w:pPr>
      <w:r>
        <w:rPr>
          <w:rFonts w:hint="eastAsia"/>
          <w:b w:val="0"/>
          <w:bCs w:val="0"/>
          <w:lang w:val="en-US" w:eastAsia="zh-CN"/>
        </w:rPr>
        <w:t>第一条 原告向人民法院起诉或者被告提出反诉，应当附有符合起诉条件的相应的证据材料。</w:t>
      </w:r>
    </w:p>
    <w:p>
      <w:pPr>
        <w:widowControl w:val="0"/>
        <w:numPr>
          <w:numId w:val="0"/>
        </w:numPr>
        <w:jc w:val="both"/>
        <w:rPr>
          <w:rFonts w:hint="eastAsia"/>
          <w:b w:val="0"/>
          <w:bCs w:val="0"/>
          <w:lang w:val="en-US" w:eastAsia="zh-CN"/>
        </w:rPr>
      </w:pPr>
      <w:r>
        <w:rPr>
          <w:rFonts w:hint="eastAsia"/>
          <w:b w:val="0"/>
          <w:bCs w:val="0"/>
          <w:lang w:val="en-US" w:eastAsia="zh-CN"/>
        </w:rPr>
        <w:t>第二条 当事人对自己提出的诉讼请求所依据的事实或者反驳对方诉讼请求所依据的事实有责任提供证据加以证明。没有证据或者证据不足以证明当事人的事实主张的，由负有举证责任的当事人承担不利后果。</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第八条 诉讼过程中，一方当事人对另一方当事人陈述的案件事实明确表示承认的，另一方当事人无需举证。但涉及身份关系的案件除外。</w:t>
      </w:r>
    </w:p>
    <w:p>
      <w:pPr>
        <w:widowControl w:val="0"/>
        <w:numPr>
          <w:numId w:val="0"/>
        </w:numPr>
        <w:jc w:val="both"/>
        <w:rPr>
          <w:rFonts w:hint="eastAsia"/>
          <w:b w:val="0"/>
          <w:bCs w:val="0"/>
          <w:u w:val="single"/>
          <w:lang w:val="en-US" w:eastAsia="zh-CN"/>
        </w:rPr>
      </w:pPr>
      <w:r>
        <w:rPr>
          <w:rFonts w:hint="eastAsia"/>
          <w:b w:val="0"/>
          <w:bCs w:val="0"/>
          <w:lang w:val="en-US" w:eastAsia="zh-CN"/>
        </w:rPr>
        <w:t>对一方当事人陈述的事实，另一方当事人既未表示承认也未否认，</w:t>
      </w:r>
      <w:r>
        <w:rPr>
          <w:rFonts w:hint="eastAsia"/>
          <w:b w:val="0"/>
          <w:bCs w:val="0"/>
          <w:u w:val="single"/>
          <w:lang w:val="en-US" w:eastAsia="zh-CN"/>
        </w:rPr>
        <w:t>经审判人员充分说明并询问后，其仍不明确表示肯定或者否定的，视为对该项事实的承认。</w:t>
      </w:r>
    </w:p>
    <w:p>
      <w:pPr>
        <w:widowControl w:val="0"/>
        <w:numPr>
          <w:numId w:val="0"/>
        </w:numPr>
        <w:jc w:val="both"/>
        <w:rPr>
          <w:rFonts w:hint="eastAsia"/>
          <w:b w:val="0"/>
          <w:bCs w:val="0"/>
          <w:lang w:val="en-US" w:eastAsia="zh-CN"/>
        </w:rPr>
      </w:pPr>
      <w:r>
        <w:rPr>
          <w:rFonts w:hint="eastAsia"/>
          <w:b w:val="0"/>
          <w:bCs w:val="0"/>
          <w:lang w:val="en-US" w:eastAsia="zh-CN"/>
        </w:rPr>
        <w:t>第九条 下列事实当事人无需举证证明</w:t>
      </w:r>
    </w:p>
    <w:p>
      <w:pPr>
        <w:widowControl w:val="0"/>
        <w:numPr>
          <w:numId w:val="0"/>
        </w:numPr>
        <w:jc w:val="both"/>
        <w:rPr>
          <w:rFonts w:hint="eastAsia"/>
          <w:b w:val="0"/>
          <w:bCs w:val="0"/>
          <w:lang w:val="en-US" w:eastAsia="zh-CN"/>
        </w:rPr>
      </w:pPr>
      <w:r>
        <w:rPr>
          <w:rFonts w:hint="eastAsia"/>
          <w:b w:val="0"/>
          <w:bCs w:val="0"/>
          <w:lang w:val="en-US" w:eastAsia="zh-CN"/>
        </w:rPr>
        <w:t>(一)众所周知的事实；</w:t>
      </w:r>
    </w:p>
    <w:p>
      <w:pPr>
        <w:widowControl w:val="0"/>
        <w:numPr>
          <w:numId w:val="0"/>
        </w:numPr>
        <w:jc w:val="both"/>
        <w:rPr>
          <w:rFonts w:hint="eastAsia"/>
          <w:b w:val="0"/>
          <w:bCs w:val="0"/>
          <w:lang w:val="en-US" w:eastAsia="zh-CN"/>
        </w:rPr>
      </w:pPr>
      <w:r>
        <w:rPr>
          <w:rFonts w:hint="eastAsia"/>
          <w:b w:val="0"/>
          <w:bCs w:val="0"/>
          <w:lang w:val="en-US" w:eastAsia="zh-CN"/>
        </w:rPr>
        <w:t>(二)自然规律及定理；</w:t>
      </w:r>
    </w:p>
    <w:p>
      <w:pPr>
        <w:widowControl w:val="0"/>
        <w:numPr>
          <w:numId w:val="0"/>
        </w:numPr>
        <w:jc w:val="both"/>
        <w:rPr>
          <w:rFonts w:hint="eastAsia"/>
          <w:b w:val="0"/>
          <w:bCs w:val="0"/>
          <w:lang w:val="en-US" w:eastAsia="zh-CN"/>
        </w:rPr>
      </w:pPr>
      <w:r>
        <w:rPr>
          <w:rFonts w:hint="eastAsia"/>
          <w:b w:val="0"/>
          <w:bCs w:val="0"/>
          <w:lang w:val="en-US" w:eastAsia="zh-CN"/>
        </w:rPr>
        <w:t>(三)根据法律规定或者已知事实和日常生活经验法则能推定出的另一事实；</w:t>
      </w:r>
    </w:p>
    <w:p>
      <w:pPr>
        <w:widowControl w:val="0"/>
        <w:numPr>
          <w:numId w:val="0"/>
        </w:numPr>
        <w:jc w:val="both"/>
        <w:rPr>
          <w:rFonts w:hint="eastAsia"/>
          <w:b w:val="0"/>
          <w:bCs w:val="0"/>
          <w:lang w:val="en-US" w:eastAsia="zh-CN"/>
        </w:rPr>
      </w:pPr>
      <w:r>
        <w:rPr>
          <w:rFonts w:hint="eastAsia"/>
          <w:b w:val="0"/>
          <w:bCs w:val="0"/>
          <w:lang w:val="en-US" w:eastAsia="zh-CN"/>
        </w:rPr>
        <w:t>(四)已为人民法院发生法律效力的裁判所确认的事实；</w:t>
      </w:r>
    </w:p>
    <w:p>
      <w:pPr>
        <w:widowControl w:val="0"/>
        <w:numPr>
          <w:numId w:val="0"/>
        </w:numPr>
        <w:jc w:val="both"/>
        <w:rPr>
          <w:rFonts w:hint="eastAsia"/>
          <w:b w:val="0"/>
          <w:bCs w:val="0"/>
          <w:lang w:val="en-US" w:eastAsia="zh-CN"/>
        </w:rPr>
      </w:pPr>
      <w:r>
        <w:rPr>
          <w:rFonts w:hint="eastAsia"/>
          <w:b w:val="0"/>
          <w:bCs w:val="0"/>
          <w:lang w:val="en-US" w:eastAsia="zh-CN"/>
        </w:rPr>
        <w:t>(五)已为仲裁机构的生效裁决所确认的事实；</w:t>
      </w:r>
    </w:p>
    <w:p>
      <w:pPr>
        <w:widowControl w:val="0"/>
        <w:numPr>
          <w:numId w:val="0"/>
        </w:numPr>
        <w:jc w:val="both"/>
        <w:rPr>
          <w:rFonts w:hint="eastAsia"/>
          <w:b w:val="0"/>
          <w:bCs w:val="0"/>
          <w:lang w:val="en-US" w:eastAsia="zh-CN"/>
        </w:rPr>
      </w:pPr>
      <w:r>
        <w:rPr>
          <w:rFonts w:hint="eastAsia"/>
          <w:b w:val="0"/>
          <w:bCs w:val="0"/>
          <w:lang w:val="en-US" w:eastAsia="zh-CN"/>
        </w:rPr>
        <w:t>(六)已为有效公证文书所证明的事实。</w:t>
      </w:r>
    </w:p>
    <w:p>
      <w:pPr>
        <w:widowControl w:val="0"/>
        <w:numPr>
          <w:numId w:val="0"/>
        </w:numPr>
        <w:jc w:val="both"/>
        <w:rPr>
          <w:rFonts w:hint="eastAsia"/>
          <w:b w:val="0"/>
          <w:bCs w:val="0"/>
          <w:lang w:val="en-US" w:eastAsia="zh-CN"/>
        </w:rPr>
      </w:pPr>
      <w:r>
        <w:rPr>
          <w:rFonts w:hint="eastAsia"/>
          <w:b w:val="0"/>
          <w:bCs w:val="0"/>
          <w:lang w:val="en-US" w:eastAsia="zh-CN"/>
        </w:rPr>
        <w:t>前款(一)、(三)、(四)、(五)、(六)项，当事人有相反证据足以推翻的除外。</w:t>
      </w:r>
    </w:p>
    <w:p>
      <w:pPr>
        <w:widowControl w:val="0"/>
        <w:numPr>
          <w:ilvl w:val="0"/>
          <w:numId w:val="2"/>
        </w:numPr>
        <w:jc w:val="both"/>
        <w:rPr>
          <w:rFonts w:hint="eastAsia"/>
          <w:b w:val="0"/>
          <w:bCs w:val="0"/>
          <w:lang w:val="en-US" w:eastAsia="zh-CN"/>
        </w:rPr>
      </w:pPr>
      <w:r>
        <w:rPr>
          <w:rFonts w:hint="eastAsia"/>
          <w:b w:val="0"/>
          <w:bCs w:val="0"/>
          <w:lang w:val="en-US" w:eastAsia="zh-CN"/>
        </w:rPr>
        <w:t>当事人向人民法院提供证据应当提供原件或者原物。如需自己保存证据原件、原物或者提供原件、原物确有困难的可以提供经人民法院核对无异的复制件或者复制品。</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第十四条 当事人应当对其提交的证据材料逐一分类编号对证据材料的来源、证明对象和内容作简要说明签名盖章注明提交日期，并依照对方当事人人数提出副本。</w:t>
      </w:r>
    </w:p>
    <w:p>
      <w:pPr>
        <w:widowControl w:val="0"/>
        <w:numPr>
          <w:numId w:val="0"/>
        </w:numPr>
        <w:jc w:val="both"/>
        <w:rPr>
          <w:rFonts w:hint="eastAsia"/>
          <w:b w:val="0"/>
          <w:bCs w:val="0"/>
          <w:lang w:val="en-US" w:eastAsia="zh-CN"/>
        </w:rPr>
      </w:pPr>
      <w:r>
        <w:rPr>
          <w:rFonts w:hint="eastAsia"/>
          <w:b w:val="0"/>
          <w:bCs w:val="0"/>
          <w:lang w:val="en-US" w:eastAsia="zh-CN"/>
        </w:rPr>
        <w:t>人民法院收到当事人提交的证据材料应当出具收据注明证据的名称、份数和页数以及收到的时间由经办人员签名或者盖章。</w:t>
      </w:r>
    </w:p>
    <w:p>
      <w:pPr>
        <w:widowControl w:val="0"/>
        <w:numPr>
          <w:numId w:val="0"/>
        </w:numPr>
        <w:jc w:val="both"/>
        <w:rPr>
          <w:rFonts w:hint="eastAsia"/>
          <w:b w:val="0"/>
          <w:bCs w:val="0"/>
          <w:lang w:val="en-US" w:eastAsia="zh-CN"/>
        </w:rPr>
      </w:pPr>
      <w:r>
        <w:rPr>
          <w:rFonts w:hint="eastAsia"/>
          <w:b w:val="0"/>
          <w:bCs w:val="0"/>
          <w:lang w:val="en-US" w:eastAsia="zh-CN"/>
        </w:rPr>
        <w:t>第十九条 当事人及其诉讼代理人申请人民法院调查收集证据，不得迟于举证期限届满前七日。</w:t>
      </w:r>
    </w:p>
    <w:p>
      <w:pPr>
        <w:widowControl w:val="0"/>
        <w:numPr>
          <w:numId w:val="0"/>
        </w:numPr>
        <w:jc w:val="both"/>
        <w:rPr>
          <w:rFonts w:hint="eastAsia"/>
          <w:b w:val="0"/>
          <w:bCs w:val="0"/>
          <w:u w:val="single"/>
          <w:lang w:val="en-US" w:eastAsia="zh-CN"/>
        </w:rPr>
      </w:pPr>
      <w:r>
        <w:rPr>
          <w:rFonts w:hint="eastAsia"/>
          <w:b w:val="0"/>
          <w:bCs w:val="0"/>
          <w:u w:val="single"/>
          <w:lang w:val="en-US" w:eastAsia="zh-CN"/>
        </w:rPr>
        <w:t>人民法院对当事人及其诉讼代理人的申请不予准许的，应当向当事人或其诉讼代理人送达通知书。当事人及其诉讼代理人可以在收到通知书的次日起三日内向受理申请的人民法院书面申请复议一次。人民法院应当在收到复议申请之日起五日内作出答复。</w:t>
      </w:r>
    </w:p>
    <w:p>
      <w:pPr>
        <w:widowControl w:val="0"/>
        <w:numPr>
          <w:numId w:val="0"/>
        </w:numPr>
        <w:jc w:val="both"/>
        <w:rPr>
          <w:rFonts w:hint="eastAsia"/>
          <w:b w:val="0"/>
          <w:bCs w:val="0"/>
          <w:u w:val="single"/>
          <w:lang w:val="en-US" w:eastAsia="zh-CN"/>
        </w:rPr>
      </w:pPr>
    </w:p>
    <w:p>
      <w:pPr>
        <w:widowControl w:val="0"/>
        <w:numPr>
          <w:numId w:val="0"/>
        </w:numPr>
        <w:jc w:val="both"/>
        <w:rPr>
          <w:rFonts w:hint="eastAsia"/>
          <w:b w:val="0"/>
          <w:bCs w:val="0"/>
          <w:u w:val="none"/>
          <w:lang w:val="en-US" w:eastAsia="zh-CN"/>
        </w:rPr>
      </w:pPr>
      <w:r>
        <w:rPr>
          <w:rFonts w:hint="eastAsia"/>
          <w:b w:val="0"/>
          <w:bCs w:val="0"/>
          <w:u w:val="none"/>
          <w:lang w:val="en-US" w:eastAsia="zh-CN"/>
        </w:rPr>
        <w:t>第七十七条人民法院就数个证据对同一事实的证明力可以依照下列原则认定</w:t>
      </w:r>
    </w:p>
    <w:p>
      <w:pPr>
        <w:widowControl w:val="0"/>
        <w:numPr>
          <w:numId w:val="0"/>
        </w:numPr>
        <w:jc w:val="both"/>
        <w:rPr>
          <w:rFonts w:hint="eastAsia"/>
          <w:b w:val="0"/>
          <w:bCs w:val="0"/>
          <w:u w:val="single"/>
          <w:lang w:val="en-US" w:eastAsia="zh-CN"/>
        </w:rPr>
      </w:pPr>
      <w:r>
        <w:rPr>
          <w:rFonts w:hint="eastAsia"/>
          <w:b w:val="0"/>
          <w:bCs w:val="0"/>
          <w:u w:val="single"/>
          <w:lang w:val="en-US" w:eastAsia="zh-CN"/>
        </w:rPr>
        <w:t>(一)国家机关、社会团体依职权制作的公文书证的证明力一般大于其他书证；</w:t>
      </w:r>
    </w:p>
    <w:p>
      <w:pPr>
        <w:widowControl w:val="0"/>
        <w:numPr>
          <w:numId w:val="0"/>
        </w:numPr>
        <w:jc w:val="both"/>
        <w:rPr>
          <w:rFonts w:hint="eastAsia"/>
          <w:b w:val="0"/>
          <w:bCs w:val="0"/>
          <w:u w:val="none"/>
          <w:lang w:val="en-US" w:eastAsia="zh-CN"/>
        </w:rPr>
      </w:pPr>
      <w:r>
        <w:rPr>
          <w:rFonts w:hint="eastAsia"/>
          <w:b w:val="0"/>
          <w:bCs w:val="0"/>
          <w:u w:val="none"/>
          <w:lang w:val="en-US" w:eastAsia="zh-CN"/>
        </w:rPr>
        <w:t>(二)物证、档案、鉴定结论、勘验笔录或者经过公证、登记的书证其证明力一般大于其他书证、视听资料和证人证言；</w:t>
      </w:r>
    </w:p>
    <w:p>
      <w:pPr>
        <w:widowControl w:val="0"/>
        <w:numPr>
          <w:numId w:val="0"/>
        </w:numPr>
        <w:jc w:val="both"/>
        <w:rPr>
          <w:rFonts w:hint="eastAsia"/>
          <w:b w:val="0"/>
          <w:bCs w:val="0"/>
          <w:u w:val="none"/>
          <w:lang w:val="en-US" w:eastAsia="zh-CN"/>
        </w:rPr>
      </w:pPr>
      <w:r>
        <w:rPr>
          <w:rFonts w:hint="eastAsia"/>
          <w:b w:val="0"/>
          <w:bCs w:val="0"/>
          <w:u w:val="none"/>
          <w:lang w:val="en-US" w:eastAsia="zh-CN"/>
        </w:rPr>
        <w:t>(三)原始证据的证明力一般大于传来证据；</w:t>
      </w:r>
    </w:p>
    <w:p>
      <w:pPr>
        <w:widowControl w:val="0"/>
        <w:numPr>
          <w:numId w:val="0"/>
        </w:numPr>
        <w:jc w:val="both"/>
        <w:rPr>
          <w:rFonts w:hint="eastAsia"/>
          <w:b w:val="0"/>
          <w:bCs w:val="0"/>
          <w:u w:val="none"/>
          <w:lang w:val="en-US" w:eastAsia="zh-CN"/>
        </w:rPr>
      </w:pPr>
      <w:r>
        <w:rPr>
          <w:rFonts w:hint="eastAsia"/>
          <w:b w:val="0"/>
          <w:bCs w:val="0"/>
          <w:u w:val="none"/>
          <w:lang w:val="en-US" w:eastAsia="zh-CN"/>
        </w:rPr>
        <w:t>(四)直接证据的证明力一般大于间接证据；</w:t>
      </w:r>
    </w:p>
    <w:p>
      <w:pPr>
        <w:widowControl w:val="0"/>
        <w:numPr>
          <w:numId w:val="0"/>
        </w:numPr>
        <w:jc w:val="both"/>
        <w:rPr>
          <w:rFonts w:hint="eastAsia"/>
          <w:b w:val="0"/>
          <w:bCs w:val="0"/>
          <w:u w:val="none"/>
          <w:lang w:val="en-US" w:eastAsia="zh-CN"/>
        </w:rPr>
      </w:pPr>
      <w:r>
        <w:rPr>
          <w:rFonts w:hint="eastAsia"/>
          <w:b w:val="0"/>
          <w:bCs w:val="0"/>
          <w:u w:val="none"/>
          <w:lang w:val="en-US" w:eastAsia="zh-CN"/>
        </w:rPr>
        <w:t>(五)证人提供的对与其有亲属或者其他密切关系的当事人有利的证言其证明力一般小于其他证人证言。</w:t>
      </w:r>
    </w:p>
    <w:p>
      <w:pPr>
        <w:widowControl w:val="0"/>
        <w:numPr>
          <w:numId w:val="0"/>
        </w:numPr>
        <w:jc w:val="both"/>
        <w:rPr>
          <w:rFonts w:hint="eastAsia"/>
          <w:b w:val="0"/>
          <w:bCs w:val="0"/>
          <w:u w:val="none"/>
          <w:lang w:val="en-US" w:eastAsia="zh-CN"/>
        </w:rPr>
      </w:pPr>
      <w:r>
        <w:rPr>
          <w:rFonts w:hint="eastAsia"/>
          <w:b w:val="0"/>
          <w:bCs w:val="0"/>
          <w:u w:val="none"/>
          <w:lang w:val="en-US" w:eastAsia="zh-CN"/>
        </w:rPr>
        <w:br w:type="page"/>
      </w:r>
    </w:p>
    <w:p>
      <w:pPr>
        <w:widowControl w:val="0"/>
        <w:numPr>
          <w:numId w:val="0"/>
        </w:numPr>
        <w:jc w:val="both"/>
        <w:rPr>
          <w:rFonts w:hint="eastAsia"/>
          <w:b w:val="0"/>
          <w:bCs w:val="0"/>
          <w:u w:val="none"/>
          <w:lang w:val="en-US" w:eastAsia="zh-CN"/>
        </w:rPr>
      </w:pPr>
      <w:r>
        <w:rPr>
          <w:rFonts w:hint="eastAsia"/>
          <w:b/>
          <w:bCs/>
          <w:u w:val="none"/>
          <w:lang w:val="en-US" w:eastAsia="zh-CN"/>
        </w:rPr>
        <w:t>《最高人民法院关于房地产案件受理问题的通知》</w:t>
      </w:r>
      <w:r>
        <w:rPr>
          <w:rFonts w:hint="eastAsia"/>
          <w:b w:val="0"/>
          <w:bCs w:val="0"/>
          <w:u w:val="none"/>
          <w:lang w:val="en-US" w:eastAsia="zh-CN"/>
        </w:rPr>
        <w:t>在1992.11.25由最高人民法院颁布。</w:t>
      </w:r>
    </w:p>
    <w:p>
      <w:pPr>
        <w:widowControl w:val="0"/>
        <w:numPr>
          <w:numId w:val="0"/>
        </w:numPr>
        <w:jc w:val="both"/>
        <w:rPr>
          <w:rFonts w:hint="eastAsia"/>
          <w:b w:val="0"/>
          <w:bCs w:val="0"/>
          <w:u w:val="none"/>
          <w:lang w:val="en-US" w:eastAsia="zh-CN"/>
        </w:rPr>
      </w:pPr>
      <w:r>
        <w:rPr>
          <w:rFonts w:hint="eastAsia"/>
          <w:b w:val="0"/>
          <w:bCs w:val="0"/>
          <w:u w:val="none"/>
          <w:lang w:val="en-US" w:eastAsia="zh-CN"/>
        </w:rPr>
        <w:t>全国地方各级人民法院、各级军事法院、各铁路运输中级法院和基层法院、各海事法院：</w:t>
      </w:r>
    </w:p>
    <w:p>
      <w:pPr>
        <w:widowControl w:val="0"/>
        <w:numPr>
          <w:numId w:val="0"/>
        </w:numPr>
        <w:jc w:val="both"/>
        <w:rPr>
          <w:rFonts w:hint="eastAsia"/>
          <w:b w:val="0"/>
          <w:bCs w:val="0"/>
          <w:u w:val="none"/>
          <w:lang w:val="en-US" w:eastAsia="zh-CN"/>
        </w:rPr>
      </w:pPr>
      <w:r>
        <w:rPr>
          <w:rFonts w:hint="eastAsia"/>
          <w:b w:val="0"/>
          <w:bCs w:val="0"/>
          <w:u w:val="none"/>
          <w:lang w:val="en-US" w:eastAsia="zh-CN"/>
        </w:rPr>
        <w:t>随着我国当前经济的发展和住房制度、土地使用制度的改革，有关房屋和土地使用方面的纠纷在一些经济发达的地区，不仅收案数量和纠纷种类有增多的趋势，而且出现了许多值得重视和研究的新的情况和新问题。为了适应形势发展的需要，现就不少地方提出的而又需要明确的有关房地产纠纷案件的受理问题通知如下：</w:t>
      </w:r>
    </w:p>
    <w:p>
      <w:pPr>
        <w:widowControl w:val="0"/>
        <w:numPr>
          <w:numId w:val="0"/>
        </w:numPr>
        <w:jc w:val="both"/>
        <w:rPr>
          <w:rFonts w:hint="eastAsia"/>
          <w:b w:val="0"/>
          <w:bCs w:val="0"/>
          <w:u w:val="none"/>
          <w:lang w:val="en-US" w:eastAsia="zh-CN"/>
        </w:rPr>
      </w:pPr>
    </w:p>
    <w:p>
      <w:pPr>
        <w:widowControl w:val="0"/>
        <w:numPr>
          <w:ilvl w:val="0"/>
          <w:numId w:val="3"/>
        </w:numPr>
        <w:jc w:val="both"/>
        <w:rPr>
          <w:rFonts w:hint="eastAsia"/>
          <w:b w:val="0"/>
          <w:bCs w:val="0"/>
          <w:u w:val="none"/>
          <w:lang w:val="en-US" w:eastAsia="zh-CN"/>
        </w:rPr>
      </w:pPr>
      <w:r>
        <w:rPr>
          <w:rFonts w:hint="eastAsia"/>
          <w:b w:val="0"/>
          <w:bCs w:val="0"/>
          <w:u w:val="none"/>
          <w:lang w:val="en-US" w:eastAsia="zh-CN"/>
        </w:rPr>
        <w:t>凡公民之间、法人之间、其他组织之间以及他们相互之间因房地产方面的权益发生争执而提起的民事诉讼，由讼争的房地产所在地人民法院的民事审判庭依法受理。</w:t>
      </w:r>
    </w:p>
    <w:p>
      <w:pPr>
        <w:widowControl w:val="0"/>
        <w:numPr>
          <w:numId w:val="0"/>
        </w:numPr>
        <w:jc w:val="both"/>
        <w:rPr>
          <w:rFonts w:hint="eastAsia"/>
          <w:b w:val="0"/>
          <w:bCs w:val="0"/>
          <w:u w:val="none"/>
          <w:lang w:val="en-US" w:eastAsia="zh-CN"/>
        </w:rPr>
      </w:pPr>
    </w:p>
    <w:p>
      <w:pPr>
        <w:widowControl w:val="0"/>
        <w:numPr>
          <w:ilvl w:val="0"/>
          <w:numId w:val="3"/>
        </w:numPr>
        <w:jc w:val="both"/>
        <w:rPr>
          <w:rFonts w:hint="eastAsia"/>
          <w:b w:val="0"/>
          <w:bCs w:val="0"/>
          <w:u w:val="none"/>
          <w:lang w:val="en-US" w:eastAsia="zh-CN"/>
        </w:rPr>
      </w:pPr>
      <w:r>
        <w:rPr>
          <w:rFonts w:hint="eastAsia"/>
          <w:b w:val="0"/>
          <w:bCs w:val="0"/>
          <w:u w:val="none"/>
          <w:lang w:val="en-US" w:eastAsia="zh-CN"/>
        </w:rPr>
        <w:t>公民、法人和其他组织对人民政府或者其主管部门就有关土地的所有权或者使用权归属的处理决定不服，或对人民政府或者其主管部门就房地产问题作出的行政处罚决定不服，依法向人民法院提起的行政诉讼，由房地产所在地人民法院的行政审判庭依法受理。</w:t>
      </w:r>
    </w:p>
    <w:p>
      <w:pPr>
        <w:widowControl w:val="0"/>
        <w:numPr>
          <w:numId w:val="0"/>
        </w:numPr>
        <w:jc w:val="both"/>
        <w:rPr>
          <w:rFonts w:hint="eastAsia"/>
          <w:b w:val="0"/>
          <w:bCs w:val="0"/>
          <w:u w:val="none"/>
          <w:lang w:val="en-US" w:eastAsia="zh-CN"/>
        </w:rPr>
      </w:pPr>
    </w:p>
    <w:p>
      <w:pPr>
        <w:widowControl w:val="0"/>
        <w:numPr>
          <w:numId w:val="0"/>
        </w:numPr>
        <w:jc w:val="both"/>
        <w:rPr>
          <w:rFonts w:hint="eastAsia"/>
          <w:b w:val="0"/>
          <w:bCs w:val="0"/>
          <w:u w:val="none"/>
          <w:lang w:val="en-US" w:eastAsia="zh-CN"/>
        </w:rPr>
      </w:pPr>
      <w:r>
        <w:rPr>
          <w:rFonts w:hint="eastAsia"/>
          <w:b/>
          <w:bCs/>
          <w:u w:val="none"/>
          <w:lang w:val="en-US" w:eastAsia="zh-CN"/>
        </w:rPr>
        <w:t>三、凡不符合民事诉讼法、行政诉讼法有关起诉条件的属于历史遗留的落实政策性质的房地产纠纷</w:t>
      </w:r>
      <w:r>
        <w:rPr>
          <w:rFonts w:hint="eastAsia"/>
          <w:b w:val="0"/>
          <w:bCs w:val="0"/>
          <w:u w:val="none"/>
          <w:lang w:val="en-US" w:eastAsia="zh-CN"/>
        </w:rPr>
        <w:t>，因行政指令而调整划拨、机构撤并分合等引起的房地产纠纷，因单位内部建房、分房等而引起的占房、腾房等房地产纠纷，</w:t>
      </w:r>
      <w:r>
        <w:rPr>
          <w:rFonts w:hint="eastAsia"/>
          <w:b/>
          <w:bCs/>
          <w:u w:val="none"/>
          <w:lang w:val="en-US" w:eastAsia="zh-CN"/>
        </w:rPr>
        <w:t>均不属于人民法院主管工作的范围，当事人为此而提起的诉讼，人民法院应依法不予受理或驳回起诉，可告知其找有关部门申请解决。</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D5224"/>
    <w:multiLevelType w:val="singleLevel"/>
    <w:tmpl w:val="5C8D5224"/>
    <w:lvl w:ilvl="0" w:tentative="0">
      <w:start w:val="4"/>
      <w:numFmt w:val="chineseCounting"/>
      <w:suff w:val="nothing"/>
      <w:lvlText w:val="(%1)"/>
      <w:lvlJc w:val="left"/>
    </w:lvl>
  </w:abstractNum>
  <w:abstractNum w:abstractNumId="1">
    <w:nsid w:val="5C8D579C"/>
    <w:multiLevelType w:val="singleLevel"/>
    <w:tmpl w:val="5C8D579C"/>
    <w:lvl w:ilvl="0" w:tentative="0">
      <w:start w:val="10"/>
      <w:numFmt w:val="chineseCounting"/>
      <w:suff w:val="nothing"/>
      <w:lvlText w:val="第%1条"/>
      <w:lvlJc w:val="left"/>
    </w:lvl>
  </w:abstractNum>
  <w:abstractNum w:abstractNumId="2">
    <w:nsid w:val="5C8D5911"/>
    <w:multiLevelType w:val="singleLevel"/>
    <w:tmpl w:val="5C8D5911"/>
    <w:lvl w:ilvl="0" w:tentative="0">
      <w:start w:val="1"/>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1816B6"/>
    <w:rsid w:val="4E181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2019-03-16T15:18:00Z</dcterms:created>
  <dc:creator>30886</dc:creator>
  <cp:lastModifiedBy>30886</cp:lastModifiedBy>
  <cp:lastPrinted>2019-03-16T15:49:22Z</cp:lastPrinted>
  <dcterms:modified xsi:type="dcterms:W3CDTF">2019-03-16T15:50:04Z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