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申请</w:t>
      </w:r>
      <w:r>
        <w:rPr>
          <w:rFonts w:hint="eastAsia"/>
          <w:lang w:val="en-US" w:eastAsia="zh-CN"/>
        </w:rPr>
        <w:t>长沙</w:t>
      </w:r>
      <w:r>
        <w:rPr>
          <w:rFonts w:hint="eastAsia"/>
        </w:rPr>
        <w:t>市中级人民法院</w:t>
      </w:r>
    </w:p>
    <w:p>
      <w:pPr>
        <w:pStyle w:val="2"/>
        <w:jc w:val="center"/>
        <w:rPr>
          <w:rFonts w:hint="eastAsia"/>
        </w:rPr>
      </w:pPr>
      <w:r>
        <w:rPr>
          <w:rFonts w:hint="eastAsia"/>
        </w:rPr>
        <w:t>整体回避申请书</w:t>
      </w:r>
    </w:p>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申请人：李燕；性别：女；民族：汉族；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出生日期：1986年8月29日；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住址：长沙市开福区陡岭路4栋2门200房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法定代表人:</w:t>
      </w:r>
      <w:r>
        <w:rPr>
          <w:rFonts w:hint="eastAsia" w:ascii="仿宋" w:hAnsi="仿宋" w:eastAsia="仿宋" w:cs="仿宋"/>
          <w:sz w:val="30"/>
          <w:szCs w:val="30"/>
          <w:lang w:val="en-US" w:eastAsia="zh-CN"/>
        </w:rPr>
        <w:t>肖新平</w:t>
      </w:r>
      <w:r>
        <w:rPr>
          <w:rFonts w:hint="eastAsia" w:ascii="仿宋" w:hAnsi="仿宋" w:eastAsia="仿宋" w:cs="仿宋"/>
          <w:sz w:val="30"/>
          <w:szCs w:val="30"/>
        </w:rPr>
        <w:t xml:space="preserve"> 职务:院长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请求事项：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w:t>
      </w:r>
      <w:r>
        <w:rPr>
          <w:rFonts w:hint="eastAsia" w:ascii="仿宋" w:hAnsi="仿宋" w:eastAsia="仿宋" w:cs="仿宋"/>
          <w:sz w:val="30"/>
          <w:szCs w:val="30"/>
          <w:lang w:val="en-US" w:eastAsia="zh-CN"/>
        </w:rPr>
        <w:t>人申请</w:t>
      </w:r>
      <w:r>
        <w:rPr>
          <w:rFonts w:hint="eastAsia" w:ascii="仿宋" w:hAnsi="仿宋" w:eastAsia="仿宋" w:cs="仿宋"/>
          <w:sz w:val="30"/>
          <w:szCs w:val="30"/>
        </w:rPr>
        <w:t>被申请人整体回避</w:t>
      </w:r>
      <w:r>
        <w:rPr>
          <w:rFonts w:hint="eastAsia" w:ascii="仿宋" w:hAnsi="仿宋" w:eastAsia="仿宋" w:cs="仿宋"/>
          <w:sz w:val="30"/>
          <w:szCs w:val="30"/>
          <w:lang w:val="en-US" w:eastAsia="zh-CN"/>
        </w:rPr>
        <w:t>其受理的房屋征收公告及行政复议决定纠纷</w:t>
      </w:r>
      <w:r>
        <w:rPr>
          <w:rFonts w:hint="eastAsia" w:ascii="仿宋" w:hAnsi="仿宋" w:eastAsia="仿宋" w:cs="仿宋"/>
          <w:sz w:val="30"/>
          <w:szCs w:val="30"/>
        </w:rPr>
        <w:t>一案</w:t>
      </w:r>
      <w:r>
        <w:rPr>
          <w:rFonts w:hint="eastAsia" w:ascii="仿宋" w:hAnsi="仿宋" w:eastAsia="仿宋" w:cs="仿宋"/>
          <w:sz w:val="30"/>
          <w:szCs w:val="30"/>
          <w:lang w:val="en-US" w:eastAsia="zh-CN"/>
        </w:rPr>
        <w:t>[</w:t>
      </w:r>
      <w:r>
        <w:rPr>
          <w:rFonts w:hint="eastAsia" w:ascii="仿宋" w:hAnsi="仿宋" w:eastAsia="仿宋" w:cs="仿宋"/>
          <w:sz w:val="30"/>
          <w:szCs w:val="30"/>
        </w:rPr>
        <w:t>(20</w:t>
      </w:r>
      <w:r>
        <w:rPr>
          <w:rFonts w:hint="eastAsia" w:ascii="仿宋" w:hAnsi="仿宋" w:eastAsia="仿宋" w:cs="仿宋"/>
          <w:sz w:val="30"/>
          <w:szCs w:val="30"/>
          <w:lang w:val="en-US" w:eastAsia="zh-CN"/>
        </w:rPr>
        <w:t>19</w:t>
      </w:r>
      <w:r>
        <w:rPr>
          <w:rFonts w:hint="eastAsia" w:ascii="仿宋" w:hAnsi="仿宋" w:eastAsia="仿宋" w:cs="仿宋"/>
          <w:sz w:val="30"/>
          <w:szCs w:val="30"/>
        </w:rPr>
        <w:t>)</w:t>
      </w:r>
      <w:r>
        <w:rPr>
          <w:rFonts w:hint="eastAsia" w:ascii="仿宋" w:hAnsi="仿宋" w:eastAsia="仿宋" w:cs="仿宋"/>
          <w:sz w:val="30"/>
          <w:szCs w:val="30"/>
          <w:lang w:val="en-US" w:eastAsia="zh-CN"/>
        </w:rPr>
        <w:t>湘01行初22</w:t>
      </w:r>
      <w:r>
        <w:rPr>
          <w:rFonts w:hint="eastAsia" w:ascii="仿宋" w:hAnsi="仿宋" w:eastAsia="仿宋" w:cs="仿宋"/>
          <w:sz w:val="30"/>
          <w:szCs w:val="30"/>
        </w:rPr>
        <w:t>号</w:t>
      </w:r>
      <w:r>
        <w:rPr>
          <w:rFonts w:hint="eastAsia" w:ascii="仿宋" w:hAnsi="仿宋" w:eastAsia="仿宋" w:cs="仿宋"/>
          <w:sz w:val="30"/>
          <w:szCs w:val="30"/>
          <w:lang w:val="en-US" w:eastAsia="zh-CN"/>
        </w:rPr>
        <w:t>]，并</w:t>
      </w:r>
      <w:r>
        <w:rPr>
          <w:rFonts w:hint="eastAsia" w:ascii="仿宋" w:hAnsi="仿宋" w:eastAsia="仿宋" w:cs="仿宋"/>
          <w:sz w:val="30"/>
          <w:szCs w:val="30"/>
        </w:rPr>
        <w:t>移送</w:t>
      </w: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事实与理由：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申请人因不服长沙市开福区人民政府于 2018年7月31日作出的开政征补字[2018]第2号《房屋征收决定公告》，于2018年9月27号向长沙市人民政府申请行政复议，长沙市人民政府于2018年12月18日作出长府复决字[2018]第310号行政复议决定书，予以维持开福区人民政府的征收决定（申请人于2018年12月22日收到）。申请人对此不服，依法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长沙市中级人民法院依法受理后，于2019年3月6日向申请人送达开庭传票，然而申请人收到的开庭传票及合议庭成员告知书均显示，合议庭组成成员只有三人！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根据中华人民共和国人民陪审员法第十六条第三款之规定：人民法院审判下列第一审案件，由人民陪审员和法官组成七人合议庭进行：涉及征地</w:t>
      </w:r>
      <w:r>
        <w:rPr>
          <w:rFonts w:hint="eastAsia" w:ascii="仿宋" w:hAnsi="仿宋" w:eastAsia="仿宋" w:cs="仿宋"/>
          <w:b/>
          <w:bCs/>
          <w:sz w:val="30"/>
          <w:szCs w:val="30"/>
          <w:u w:val="single"/>
          <w:lang w:val="en-US" w:eastAsia="zh-CN"/>
        </w:rPr>
        <w:t>拆迁</w:t>
      </w:r>
      <w:r>
        <w:rPr>
          <w:rFonts w:hint="eastAsia" w:ascii="仿宋" w:hAnsi="仿宋" w:eastAsia="仿宋" w:cs="仿宋"/>
          <w:sz w:val="30"/>
          <w:szCs w:val="30"/>
          <w:u w:val="single"/>
          <w:lang w:val="en-US" w:eastAsia="zh-CN"/>
        </w:rPr>
        <w:t>、生态环境保护、食品药品安全，社会影响重大的案件；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维护司法公正的长沙市中级人民法院居然涉嫌程序违法，令人错愕！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为了排除申请人对行政诉讼程序公正性的合理怀疑，申请人认为长沙市中级人</w:t>
      </w:r>
      <w:bookmarkStart w:id="0" w:name="_GoBack"/>
      <w:bookmarkEnd w:id="0"/>
      <w:r>
        <w:rPr>
          <w:rFonts w:hint="eastAsia" w:ascii="仿宋" w:hAnsi="仿宋" w:eastAsia="仿宋" w:cs="仿宋"/>
          <w:sz w:val="30"/>
          <w:szCs w:val="30"/>
          <w:lang w:val="en-US" w:eastAsia="zh-CN"/>
        </w:rPr>
        <w:t>民法院的全体法官均须回避，有管辖权的法院可以据此报上级法院指定管辖。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认为：行政诉讼程序价值的重要表现在于它能够为双方申请人提供不偏不倚、公正的裁决，并因此获得申请人对裁决结果的信赖。回避制度就是为行政诉讼程序价值服务的。虽然行政诉讼法第五十五条规定直接适用的对象是审判人员，但不可否认的是，根据该条第一款第（三）项“与本案申请人、诉讼代理人有其他关系，可能影响对案件公正审理的”之规定，可以推导出该规定还适用于当某种关系牵扯到法院全体法官，并且可能影响对案件公正审理时，法院整体需要回避的特殊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法院整体回避有利于实现息诉止争。司法不仅事实上必须是公正的，而且必须以合理的外化表现出其是公正的。对申请人而言，案件处理是否公正不只在于裁判结果本身，还在于审判组织在形式上是否中立。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综上，根据行政诉讼法第三十七条规定及最高人民法院关于审判人员在诉讼活动中执行回避制度若干问题规定（法释〔2011〕12号）的立法本意；</w:t>
      </w:r>
      <w:r>
        <w:rPr>
          <w:rFonts w:hint="eastAsia" w:ascii="仿宋" w:hAnsi="仿宋" w:eastAsia="仿宋" w:cs="仿宋"/>
          <w:sz w:val="30"/>
          <w:szCs w:val="30"/>
        </w:rPr>
        <w:t>申请人依法向</w:t>
      </w:r>
      <w:r>
        <w:rPr>
          <w:rFonts w:hint="eastAsia" w:ascii="仿宋" w:hAnsi="仿宋" w:eastAsia="仿宋" w:cs="仿宋"/>
          <w:sz w:val="30"/>
          <w:szCs w:val="30"/>
          <w:lang w:val="en-US" w:eastAsia="zh-CN"/>
        </w:rPr>
        <w:t>湖</w:t>
      </w:r>
      <w:r>
        <w:rPr>
          <w:rFonts w:hint="eastAsia" w:ascii="仿宋" w:hAnsi="仿宋" w:eastAsia="仿宋" w:cs="仿宋"/>
          <w:sz w:val="30"/>
          <w:szCs w:val="30"/>
        </w:rPr>
        <w:t>南省高级人民法院提出回避申请，请求批准</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市中级人民法院在本案中整体回避以保护申请人的合法权益，维护司法公正。</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申请</w:t>
      </w:r>
      <w:r>
        <w:rPr>
          <w:rFonts w:hint="eastAsia" w:ascii="仿宋" w:hAnsi="仿宋" w:eastAsia="仿宋" w:cs="仿宋"/>
          <w:sz w:val="30"/>
          <w:szCs w:val="30"/>
        </w:rPr>
        <w:t>人</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17</w:t>
      </w:r>
      <w:r>
        <w:rPr>
          <w:rFonts w:hint="eastAsia" w:ascii="仿宋" w:hAnsi="仿宋" w:eastAsia="仿宋" w:cs="仿宋"/>
          <w:sz w:val="30"/>
          <w:szCs w:val="30"/>
        </w:rPr>
        <w:t>日</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rPr>
        <w:br w:type="page"/>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附法律条文：行政诉讼法</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第三十七条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人民法院之间因管辖权发生争议，由争议双方协商解决；协商解决不了的，报请它们的共同上级人民法院指定管辖。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第三十八条 上级人民法院有权审理下级人民法院管辖的第一审行政案件；确有必要将本院管辖的第一审行政案件交下级人民法院审理的，应当报请其上级人民法院批准。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下级人民法院对它所管辖的第一审行政案件，认为需要由上级人民法院审理的，可以报请上级人民法院审理。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第四十四条 审判人员有下列情形之一的，应当自行回避，申请人有权用口头或者书面方式申请他们回避：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（一）是本案申请人或者申请人、诉讼代理人近亲属的；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（二）与本案有利害关系的；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（三）与本案申请人、诉讼代理人有其他关系，可能影响对案件公正审理的。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审判人员接受申请人、诉讼代理人请客送礼，或者违反规定会见申请人、诉讼代理人的，申请人有权要求他们回避。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审判人员有前款规定的行为的，应当依法追究法律责任。</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前三款规定，适用于书记员、翻译人员、鉴定人、勘验人。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第四十五条 申请人提出回避申请，应当说明理由，在案件开始审理时提出；回避事由在案件开始审理后知道的，也可以在法庭辩论终结前提出。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第四十六条 院长担任审判长时的回避，由审判委员会决定；审判人员的回避，由院长决定；其他人员的回避，由审判长决定。</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第四十七条 人民法院对申请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12F23527"/>
    <w:rsid w:val="131C25B4"/>
    <w:rsid w:val="1EF57E60"/>
    <w:rsid w:val="21A943C2"/>
    <w:rsid w:val="231160E7"/>
    <w:rsid w:val="2BC44C03"/>
    <w:rsid w:val="34F84328"/>
    <w:rsid w:val="38786C47"/>
    <w:rsid w:val="3C802FB0"/>
    <w:rsid w:val="3FCA2B9A"/>
    <w:rsid w:val="3FF55D63"/>
    <w:rsid w:val="5F7D3971"/>
    <w:rsid w:val="5FAE35BE"/>
    <w:rsid w:val="5FFF25C1"/>
    <w:rsid w:val="74354E47"/>
    <w:rsid w:val="7A227BF5"/>
    <w:rsid w:val="7B407741"/>
    <w:rsid w:val="7F42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1030</Words>
  <Characters>1070</Characters>
  <Lines>0</Lines>
  <Paragraphs>0</Paragraphs>
  <ScaleCrop>false</ScaleCrop>
  <LinksUpToDate>false</LinksUpToDate>
  <CharactersWithSpaces>1071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cp:lastPrinted>2019-03-17T02:57:00Z</cp:lastPrinted>
  <dcterms:modified xsi:type="dcterms:W3CDTF">2019-03-23T16:09:06Z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