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申请</w:t>
      </w:r>
      <w:r>
        <w:rPr>
          <w:rFonts w:hint="eastAsia"/>
          <w:lang w:val="en-US" w:eastAsia="zh-CN"/>
        </w:rPr>
        <w:t>长沙</w:t>
      </w:r>
      <w:r>
        <w:rPr>
          <w:rFonts w:hint="eastAsia"/>
        </w:rPr>
        <w:t>市中级人民法院</w:t>
      </w:r>
    </w:p>
    <w:p>
      <w:pPr>
        <w:pStyle w:val="2"/>
        <w:jc w:val="center"/>
        <w:rPr>
          <w:rFonts w:hint="eastAsia"/>
        </w:rPr>
      </w:pPr>
      <w:r>
        <w:rPr>
          <w:rFonts w:hint="eastAsia"/>
        </w:rPr>
        <w:t>整体回避申请书</w:t>
      </w:r>
    </w:p>
    <w:p>
      <w:pPr>
        <w:rPr>
          <w:rFonts w:hint="eastAsia"/>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申请人：李燕；性别：女；民族：汉族；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出生日期：1986年8月29日；</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住址：长沙市开福区陡岭路4栋2门200房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被申请人:</w:t>
      </w:r>
      <w:r>
        <w:rPr>
          <w:rFonts w:hint="eastAsia" w:ascii="仿宋" w:hAnsi="仿宋" w:eastAsia="仿宋" w:cs="仿宋"/>
          <w:sz w:val="30"/>
          <w:szCs w:val="30"/>
          <w:lang w:val="en-US" w:eastAsia="zh-CN"/>
        </w:rPr>
        <w:t>长沙</w:t>
      </w:r>
      <w:r>
        <w:rPr>
          <w:rFonts w:hint="eastAsia" w:ascii="仿宋" w:hAnsi="仿宋" w:eastAsia="仿宋" w:cs="仿宋"/>
          <w:sz w:val="30"/>
          <w:szCs w:val="30"/>
        </w:rPr>
        <w:t>市中级人民法院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法定代表人:</w:t>
      </w:r>
      <w:r>
        <w:rPr>
          <w:rFonts w:hint="eastAsia" w:ascii="仿宋" w:hAnsi="仿宋" w:eastAsia="仿宋" w:cs="仿宋"/>
          <w:sz w:val="30"/>
          <w:szCs w:val="30"/>
          <w:lang w:val="en-US" w:eastAsia="zh-CN"/>
        </w:rPr>
        <w:t>肖新平</w:t>
      </w:r>
      <w:r>
        <w:rPr>
          <w:rFonts w:hint="eastAsia" w:ascii="仿宋" w:hAnsi="仿宋" w:eastAsia="仿宋" w:cs="仿宋"/>
          <w:sz w:val="30"/>
          <w:szCs w:val="30"/>
        </w:rPr>
        <w:t xml:space="preserve"> 职务:院长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请求事项：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申请</w:t>
      </w:r>
      <w:r>
        <w:rPr>
          <w:rFonts w:hint="eastAsia" w:ascii="仿宋" w:hAnsi="仿宋" w:eastAsia="仿宋" w:cs="仿宋"/>
          <w:sz w:val="30"/>
          <w:szCs w:val="30"/>
          <w:lang w:val="en-US" w:eastAsia="zh-CN"/>
        </w:rPr>
        <w:t>人申请</w:t>
      </w:r>
      <w:r>
        <w:rPr>
          <w:rFonts w:hint="eastAsia" w:ascii="仿宋" w:hAnsi="仿宋" w:eastAsia="仿宋" w:cs="仿宋"/>
          <w:sz w:val="30"/>
          <w:szCs w:val="30"/>
        </w:rPr>
        <w:t>被申请人整体回避</w:t>
      </w:r>
      <w:r>
        <w:rPr>
          <w:rFonts w:hint="eastAsia" w:ascii="仿宋" w:hAnsi="仿宋" w:eastAsia="仿宋" w:cs="仿宋"/>
          <w:sz w:val="30"/>
          <w:szCs w:val="30"/>
          <w:lang w:val="en-US" w:eastAsia="zh-CN"/>
        </w:rPr>
        <w:t>其受理的房屋征收公告及行政复议决定纠纷</w:t>
      </w:r>
      <w:r>
        <w:rPr>
          <w:rFonts w:hint="eastAsia" w:ascii="仿宋" w:hAnsi="仿宋" w:eastAsia="仿宋" w:cs="仿宋"/>
          <w:sz w:val="30"/>
          <w:szCs w:val="30"/>
        </w:rPr>
        <w:t>一案</w:t>
      </w:r>
      <w:r>
        <w:rPr>
          <w:rFonts w:hint="eastAsia" w:ascii="仿宋" w:hAnsi="仿宋" w:eastAsia="仿宋" w:cs="仿宋"/>
          <w:sz w:val="30"/>
          <w:szCs w:val="30"/>
          <w:lang w:val="en-US" w:eastAsia="zh-CN"/>
        </w:rPr>
        <w:t>[</w:t>
      </w:r>
      <w:r>
        <w:rPr>
          <w:rFonts w:hint="eastAsia" w:ascii="仿宋" w:hAnsi="仿宋" w:eastAsia="仿宋" w:cs="仿宋"/>
          <w:sz w:val="30"/>
          <w:szCs w:val="30"/>
        </w:rPr>
        <w:t>(20</w:t>
      </w:r>
      <w:r>
        <w:rPr>
          <w:rFonts w:hint="eastAsia" w:ascii="仿宋" w:hAnsi="仿宋" w:eastAsia="仿宋" w:cs="仿宋"/>
          <w:sz w:val="30"/>
          <w:szCs w:val="30"/>
          <w:lang w:val="en-US" w:eastAsia="zh-CN"/>
        </w:rPr>
        <w:t>19</w:t>
      </w:r>
      <w:r>
        <w:rPr>
          <w:rFonts w:hint="eastAsia" w:ascii="仿宋" w:hAnsi="仿宋" w:eastAsia="仿宋" w:cs="仿宋"/>
          <w:sz w:val="30"/>
          <w:szCs w:val="30"/>
        </w:rPr>
        <w:t>)</w:t>
      </w:r>
      <w:r>
        <w:rPr>
          <w:rFonts w:hint="eastAsia" w:ascii="仿宋" w:hAnsi="仿宋" w:eastAsia="仿宋" w:cs="仿宋"/>
          <w:sz w:val="30"/>
          <w:szCs w:val="30"/>
          <w:lang w:val="en-US" w:eastAsia="zh-CN"/>
        </w:rPr>
        <w:t>湘01行初22</w:t>
      </w:r>
      <w:r>
        <w:rPr>
          <w:rFonts w:hint="eastAsia" w:ascii="仿宋" w:hAnsi="仿宋" w:eastAsia="仿宋" w:cs="仿宋"/>
          <w:sz w:val="30"/>
          <w:szCs w:val="30"/>
        </w:rPr>
        <w:t>号</w:t>
      </w:r>
      <w:r>
        <w:rPr>
          <w:rFonts w:hint="eastAsia" w:ascii="仿宋" w:hAnsi="仿宋" w:eastAsia="仿宋" w:cs="仿宋"/>
          <w:sz w:val="30"/>
          <w:szCs w:val="30"/>
          <w:lang w:val="en-US" w:eastAsia="zh-CN"/>
        </w:rPr>
        <w:t>]，并</w:t>
      </w:r>
      <w:r>
        <w:rPr>
          <w:rFonts w:hint="eastAsia" w:ascii="仿宋" w:hAnsi="仿宋" w:eastAsia="仿宋" w:cs="仿宋"/>
          <w:sz w:val="30"/>
          <w:szCs w:val="30"/>
        </w:rPr>
        <w:t>移送</w:t>
      </w:r>
      <w:r>
        <w:rPr>
          <w:rFonts w:hint="eastAsia" w:ascii="仿宋" w:hAnsi="仿宋" w:eastAsia="仿宋" w:cs="仿宋"/>
          <w:sz w:val="30"/>
          <w:szCs w:val="30"/>
          <w:lang w:val="en-US" w:eastAsia="zh-CN"/>
        </w:rPr>
        <w:t>湖南省高级</w:t>
      </w:r>
      <w:r>
        <w:rPr>
          <w:rFonts w:hint="eastAsia" w:ascii="仿宋" w:hAnsi="仿宋" w:eastAsia="仿宋" w:cs="仿宋"/>
          <w:sz w:val="30"/>
          <w:szCs w:val="30"/>
        </w:rPr>
        <w:t>人民法院管辖。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事实与理由：</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申请人因不服长沙市开福区人民政府于 2018年7月31日作出的开政征补字[2018]第2号《房屋征收决定公告》，于2018年9月27号向长沙市人民政府申请行政复议，长沙市人民政府于2018年12月18日作出长府复决字[2018]第310号行政复议决定书，予以维持开福区人民政府的征收决定（申请人于2018年12月22日收到）。申请人对此不服，依法提起诉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长沙市中级人民法院依法受理后，于2019年3月6日向申请人送达开庭传票，然而申请人收到的开庭传票及合议庭成员告知书均显示，合议庭组成成员只有三人！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根据中华人民共和国人民陪审员法第十六条第三款之规定：人民法院审判下列第一审案件，由人民陪审员和法官组成七人合议庭进行：涉及征地</w:t>
      </w:r>
      <w:r>
        <w:rPr>
          <w:rFonts w:hint="eastAsia" w:ascii="仿宋" w:hAnsi="仿宋" w:eastAsia="仿宋" w:cs="仿宋"/>
          <w:b/>
          <w:bCs/>
          <w:sz w:val="30"/>
          <w:szCs w:val="30"/>
          <w:u w:val="single"/>
          <w:lang w:val="en-US" w:eastAsia="zh-CN"/>
        </w:rPr>
        <w:t>拆迁</w:t>
      </w:r>
      <w:r>
        <w:rPr>
          <w:rFonts w:hint="eastAsia" w:ascii="仿宋" w:hAnsi="仿宋" w:eastAsia="仿宋" w:cs="仿宋"/>
          <w:sz w:val="30"/>
          <w:szCs w:val="30"/>
          <w:u w:val="single"/>
          <w:lang w:val="en-US" w:eastAsia="zh-CN"/>
        </w:rPr>
        <w:t>、生态环境保护、食品药品安全，社会影响重大的案件；</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维护司法公正的长沙市中级人民法院居然涉嫌程序违法，真令人猝不及防！</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为了排除申请人对行政诉讼程序公正性的合理怀疑，申请人认为长沙市中级人民法院的全体法官均须回避，有管辖权的法院可以据此报上级法院指定管辖。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申请人认为：行政诉讼程序价值的重要表现在于它能够为双方申请人提供不偏不倚、公正的裁决，并因此获得申请人对裁决结果的信赖。回避制度就是为行政诉讼程序价值服务的。虽然行政诉讼法第五十五条规定直接适用的对象是审判人员，但不可否认的是，根据该条第一款第（三）项“与本案申请人、诉讼代理人有其他关系，可能影响对案件公正审理的”之规定，可以推导出该规定还适用于当某种关系牵扯到法院全体法官，并且可能影响对案件公正审理时，法院整体需要回避的特殊情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法院整体回避有利于实现息诉止争。司法不仅事实上必须是公正的，而且必须以合理的外化</w:t>
      </w:r>
      <w:bookmarkStart w:id="0" w:name="_GoBack"/>
      <w:bookmarkEnd w:id="0"/>
      <w:r>
        <w:rPr>
          <w:rFonts w:hint="eastAsia" w:ascii="仿宋" w:hAnsi="仿宋" w:eastAsia="仿宋" w:cs="仿宋"/>
          <w:sz w:val="30"/>
          <w:szCs w:val="30"/>
          <w:lang w:val="en-US" w:eastAsia="zh-CN"/>
        </w:rPr>
        <w:t>表现出其是公正的。对申请人而言，案件处理是否公正不只在于裁判结果本身，还在于审判组织在形式上是否中立。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综上，根据行政诉讼法第三十七条规定及最高人民法院关于审判人员在诉讼活动中执行回避制度若干问题规定（法释〔2011〕12号）的立法本意；</w:t>
      </w:r>
      <w:r>
        <w:rPr>
          <w:rFonts w:hint="eastAsia" w:ascii="仿宋" w:hAnsi="仿宋" w:eastAsia="仿宋" w:cs="仿宋"/>
          <w:sz w:val="30"/>
          <w:szCs w:val="30"/>
        </w:rPr>
        <w:t>申请人依法向</w:t>
      </w:r>
      <w:r>
        <w:rPr>
          <w:rFonts w:hint="eastAsia" w:ascii="仿宋" w:hAnsi="仿宋" w:eastAsia="仿宋" w:cs="仿宋"/>
          <w:sz w:val="30"/>
          <w:szCs w:val="30"/>
          <w:lang w:val="en-US" w:eastAsia="zh-CN"/>
        </w:rPr>
        <w:t>湖</w:t>
      </w:r>
      <w:r>
        <w:rPr>
          <w:rFonts w:hint="eastAsia" w:ascii="仿宋" w:hAnsi="仿宋" w:eastAsia="仿宋" w:cs="仿宋"/>
          <w:sz w:val="30"/>
          <w:szCs w:val="30"/>
        </w:rPr>
        <w:t>南省高级人民法院提出回避申请，请求批准</w:t>
      </w:r>
      <w:r>
        <w:rPr>
          <w:rFonts w:hint="eastAsia" w:ascii="仿宋" w:hAnsi="仿宋" w:eastAsia="仿宋" w:cs="仿宋"/>
          <w:sz w:val="30"/>
          <w:szCs w:val="30"/>
          <w:lang w:val="en-US" w:eastAsia="zh-CN"/>
        </w:rPr>
        <w:t>长沙</w:t>
      </w:r>
      <w:r>
        <w:rPr>
          <w:rFonts w:hint="eastAsia" w:ascii="仿宋" w:hAnsi="仿宋" w:eastAsia="仿宋" w:cs="仿宋"/>
          <w:sz w:val="30"/>
          <w:szCs w:val="30"/>
        </w:rPr>
        <w:t>市中级人民法院在本案中整体回避以保护申请人的合法权益，维护司法公正。</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0"/>
          <w:szCs w:val="30"/>
        </w:rPr>
      </w:pPr>
      <w:r>
        <w:rPr>
          <w:rFonts w:hint="eastAsia" w:ascii="仿宋" w:hAnsi="仿宋" w:eastAsia="仿宋" w:cs="仿宋"/>
          <w:sz w:val="30"/>
          <w:szCs w:val="30"/>
        </w:rPr>
        <w:t>此致</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湖南省高级</w:t>
      </w:r>
      <w:r>
        <w:rPr>
          <w:rFonts w:hint="eastAsia" w:ascii="仿宋" w:hAnsi="仿宋" w:eastAsia="仿宋" w:cs="仿宋"/>
          <w:sz w:val="30"/>
          <w:szCs w:val="30"/>
        </w:rPr>
        <w:t>人民法院</w:t>
      </w: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申请</w:t>
      </w:r>
      <w:r>
        <w:rPr>
          <w:rFonts w:hint="eastAsia" w:ascii="仿宋" w:hAnsi="仿宋" w:eastAsia="仿宋" w:cs="仿宋"/>
          <w:sz w:val="30"/>
          <w:szCs w:val="30"/>
        </w:rPr>
        <w:t>人</w:t>
      </w: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2019</w:t>
      </w:r>
      <w:r>
        <w:rPr>
          <w:rFonts w:hint="eastAsia" w:ascii="仿宋" w:hAnsi="仿宋" w:eastAsia="仿宋" w:cs="仿宋"/>
          <w:sz w:val="30"/>
          <w:szCs w:val="30"/>
        </w:rPr>
        <w:t>年</w:t>
      </w:r>
      <w:r>
        <w:rPr>
          <w:rFonts w:hint="eastAsia" w:ascii="仿宋" w:hAnsi="仿宋" w:eastAsia="仿宋" w:cs="仿宋"/>
          <w:sz w:val="30"/>
          <w:szCs w:val="30"/>
          <w:lang w:val="en-US" w:eastAsia="zh-CN"/>
        </w:rPr>
        <w:t>03</w:t>
      </w:r>
      <w:r>
        <w:rPr>
          <w:rFonts w:hint="eastAsia" w:ascii="仿宋" w:hAnsi="仿宋" w:eastAsia="仿宋" w:cs="仿宋"/>
          <w:sz w:val="30"/>
          <w:szCs w:val="30"/>
        </w:rPr>
        <w:t>月</w:t>
      </w:r>
      <w:r>
        <w:rPr>
          <w:rFonts w:hint="eastAsia" w:ascii="仿宋" w:hAnsi="仿宋" w:eastAsia="仿宋" w:cs="仿宋"/>
          <w:sz w:val="30"/>
          <w:szCs w:val="30"/>
          <w:lang w:val="en-US" w:eastAsia="zh-CN"/>
        </w:rPr>
        <w:t xml:space="preserve"> 17</w:t>
      </w:r>
      <w:r>
        <w:rPr>
          <w:rFonts w:hint="eastAsia" w:ascii="仿宋" w:hAnsi="仿宋" w:eastAsia="仿宋" w:cs="仿宋"/>
          <w:sz w:val="30"/>
          <w:szCs w:val="30"/>
        </w:rPr>
        <w:t>日</w:t>
      </w: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rPr>
      </w:pPr>
      <w:r>
        <w:rPr>
          <w:rFonts w:hint="eastAsia" w:ascii="仿宋" w:hAnsi="仿宋" w:eastAsia="仿宋" w:cs="仿宋"/>
          <w:sz w:val="30"/>
          <w:szCs w:val="30"/>
        </w:rPr>
        <w:br w:type="page"/>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附法律条文：行政诉讼法</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第三十七条 有管辖权的人民法院由于特殊原因，不能行使管辖权的，由上级人民法院指定管辖。</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人民法院之间因管辖权发生争议，由争议双方协商解决；协商解决不了的，报请它们的共同上级人民法院指定管辖。</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第三十八条 上级人民法院有权审理下级人民法院管辖的第一审行政案件；确有必要将本院管辖的第一审行政案件交下级人民法院审理的，应当报请其上级人民法院批准。</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下级人民法院对它所管辖的第一审行政案件，认为需要由上级人民法院审理的，可以报请上级人民法院审理。</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第四十四条 审判人员有下列情形之一的，应当自行回避，申请人有权用口头或者书面方式申请他们回避：</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（一）是本案申请人或者申请人、诉讼代理人近亲属的；</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（二）与本案有利害关系的；</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（三）与本案申请人、诉讼代理人有其他关系，可能影响对案件公正审理的。</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审判人员接受申请人、诉讼代理人请客送礼，或者违反规定会见申请人、诉讼代理人的，申请人有权要求他们回避。</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审判人员有前款规定的行为的，应当依法追究法律责任。</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前三款规定，适用于书记员、翻译人员、鉴定人、勘验人。</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第四十五条 申请人提出回避申请，应当说明理由，在案件开始审理时提出；回避事由在案件开始审理后知道的，也可以在法庭辩论终结前提出。</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被申请回避的人员在人民法院作出是否回避的决定前，应当暂停参与本案的工作，但案件需要采取紧急措施的除外。</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第四十六条 院长担任审判长时的回避，由审判委员会决定；审判人员的回避，由院长决定；其他人员的回避，由审判长决定。</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第四十七条 人民法院对申请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84328"/>
    <w:rsid w:val="12F23527"/>
    <w:rsid w:val="131C25B4"/>
    <w:rsid w:val="1EF57E60"/>
    <w:rsid w:val="21A943C2"/>
    <w:rsid w:val="231160E7"/>
    <w:rsid w:val="2BC44C03"/>
    <w:rsid w:val="34F84328"/>
    <w:rsid w:val="38786C47"/>
    <w:rsid w:val="3C802FB0"/>
    <w:rsid w:val="3FF55D63"/>
    <w:rsid w:val="5F7D3971"/>
    <w:rsid w:val="5FAE35BE"/>
    <w:rsid w:val="5FFF25C1"/>
    <w:rsid w:val="74354E47"/>
    <w:rsid w:val="7A227BF5"/>
    <w:rsid w:val="7B407741"/>
    <w:rsid w:val="7F426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1030</Words>
  <Characters>1070</Characters>
  <Lines>0</Lines>
  <Paragraphs>0</Paragraphs>
  <TotalTime>0</TotalTime>
  <ScaleCrop>false</ScaleCrop>
  <LinksUpToDate>false</LinksUpToDate>
  <CharactersWithSpaces>1071</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2019-01-24T16:17:00Z</dcterms:created>
  <dc:creator>30886</dc:creator>
  <cp:lastModifiedBy>30886</cp:lastModifiedBy>
  <cp:lastPrinted>2019-03-17T02:57:02Z</cp:lastPrinted>
  <dcterms:modified xsi:type="dcterms:W3CDTF">2019-03-22T04:06:20Z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