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行政诉讼授权委托书</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兹有地址为长沙市开福区潮宗街91号1门402房[产权登记证号：90006666号,产权人：贺志强]；  </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委托人贺志强现委托杨迪敏与开福区政府的行政诉讼案件中作为其代理，参加诉讼。</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代理人杨迪敏的代理权限为：代为立案、承认、放弃、变更诉讼请求，进行和解，提出反诉或者提起上诉。</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此致</w:t>
      </w: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长沙市开福区</w:t>
      </w:r>
      <w:bookmarkStart w:id="0" w:name="_GoBack"/>
      <w:bookmarkEnd w:id="0"/>
      <w:r>
        <w:rPr>
          <w:rFonts w:hint="eastAsia" w:ascii="仿宋" w:hAnsi="仿宋" w:eastAsia="仿宋" w:cs="仿宋"/>
          <w:sz w:val="36"/>
          <w:szCs w:val="36"/>
          <w:lang w:val="en-US" w:eastAsia="zh-CN"/>
        </w:rPr>
        <w:t>人民法院</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委托人：</w:t>
      </w: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受委托人：</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2018年5月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25AB9"/>
    <w:rsid w:val="271C1D2D"/>
    <w:rsid w:val="30161804"/>
    <w:rsid w:val="3F125AB9"/>
    <w:rsid w:val="69B43343"/>
    <w:rsid w:val="69E10FDE"/>
    <w:rsid w:val="76983765"/>
    <w:rsid w:val="7C02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2018-04-19T12:09:00Z</dcterms:created>
  <dc:creator>Stallone</dc:creator>
  <cp:lastModifiedBy>30886</cp:lastModifiedBy>
  <dcterms:modified xsi:type="dcterms:W3CDTF">2018-05-17T01:14:04Z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