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行政起诉状</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rPr>
        <w:t>原告：</w:t>
      </w:r>
      <w:r>
        <w:rPr>
          <w:rFonts w:hint="eastAsia" w:ascii="仿宋" w:hAnsi="仿宋" w:eastAsia="仿宋" w:cs="仿宋"/>
          <w:sz w:val="32"/>
          <w:szCs w:val="32"/>
          <w:lang w:val="en-US" w:eastAsia="zh-CN"/>
        </w:rPr>
        <w:t>黄冲云</w:t>
      </w:r>
      <w:r>
        <w:rPr>
          <w:rFonts w:hint="eastAsia" w:ascii="仿宋" w:hAnsi="仿宋" w:eastAsia="仿宋" w:cs="仿宋"/>
          <w:sz w:val="32"/>
          <w:szCs w:val="32"/>
        </w:rPr>
        <w:t>,男,汉族,19</w:t>
      </w:r>
      <w:r>
        <w:rPr>
          <w:rFonts w:hint="eastAsia" w:ascii="仿宋" w:hAnsi="仿宋" w:eastAsia="仿宋" w:cs="仿宋"/>
          <w:sz w:val="32"/>
          <w:szCs w:val="32"/>
          <w:lang w:val="en-US" w:eastAsia="zh-CN"/>
        </w:rPr>
        <w:t>55</w:t>
      </w:r>
      <w:r>
        <w:rPr>
          <w:rFonts w:hint="eastAsia" w:ascii="仿宋" w:hAnsi="仿宋" w:eastAsia="仿宋" w:cs="仿宋"/>
          <w:sz w:val="32"/>
          <w:szCs w:val="32"/>
        </w:rPr>
        <w:t>年</w:t>
      </w:r>
      <w:r>
        <w:rPr>
          <w:rFonts w:hint="eastAsia" w:ascii="仿宋" w:hAnsi="仿宋" w:eastAsia="仿宋" w:cs="仿宋"/>
          <w:sz w:val="32"/>
          <w:szCs w:val="32"/>
          <w:lang w:val="en-US" w:eastAsia="zh-CN"/>
        </w:rPr>
        <w:t>8</w:t>
      </w:r>
      <w:r>
        <w:rPr>
          <w:rFonts w:hint="eastAsia" w:ascii="仿宋" w:hAnsi="仿宋" w:eastAsia="仿宋" w:cs="仿宋"/>
          <w:sz w:val="32"/>
          <w:szCs w:val="32"/>
        </w:rPr>
        <w:t>月2</w:t>
      </w:r>
      <w:r>
        <w:rPr>
          <w:rFonts w:hint="eastAsia" w:ascii="仿宋" w:hAnsi="仿宋" w:eastAsia="仿宋" w:cs="仿宋"/>
          <w:sz w:val="32"/>
          <w:szCs w:val="32"/>
          <w:lang w:val="en-US" w:eastAsia="zh-CN"/>
        </w:rPr>
        <w:t>2</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住长沙市开福区潮宗街91号</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被告：长沙市开福区政府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开政征补字（2017）76号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2017年9月20日，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76号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但原告于2017年11月10日才收到；</w:t>
      </w:r>
      <w:r>
        <w:rPr>
          <w:rFonts w:hint="eastAsia" w:ascii="仿宋" w:hAnsi="仿宋" w:eastAsia="仿宋" w:cs="仿宋"/>
          <w:sz w:val="32"/>
          <w:szCs w:val="32"/>
        </w:rPr>
        <w:t>原告房屋位于该征收决定确定的征收范围内，原告认为被告作出的房屋征收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行政行为违法，原告认为：</w:t>
      </w:r>
    </w:p>
    <w:p>
      <w:pPr>
        <w:rPr>
          <w:rFonts w:hint="eastAsia" w:ascii="仿宋" w:hAnsi="仿宋" w:eastAsia="仿宋" w:cs="仿宋"/>
          <w:sz w:val="32"/>
          <w:szCs w:val="32"/>
        </w:rPr>
      </w:pPr>
    </w:p>
    <w:p>
      <w:pPr>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征收所涉建设项目未取得建设项目立项批复、建设用地规划许可证、国有土地使用权批准文件以及建设工程规划许可、建设项目环评审批等前置行政行为法律文件。</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征收行为不符合国民经济和社会发展规划、土地利用整体规划、城乡规划和专项规划及长沙市开福区国民经济和社会发展年度计划；且这些规划的制定未按照《国有土地征收与补偿条例》第9条规定广泛征求社会公众意见，未经科学论证。</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被告实施征收行为前未依法进行社会稳定风险评估并提供社会稳定风险评估备案呈报表。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被告实施征收行为前，未按照《国有土地征收与补偿条例》第12条规定做到征收补偿费用足额到位、专户存储、专款专用；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书》并按照法定方式公告。被告开福区政府作出《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开政征补字（2017）76号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号），而非法定的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w:t>
      </w:r>
    </w:p>
    <w:p>
      <w:pPr>
        <w:numPr>
          <w:numId w:val="0"/>
        </w:numPr>
        <w:ind w:leftChars="200"/>
        <w:rPr>
          <w:rFonts w:hint="eastAsia" w:ascii="仿宋" w:hAnsi="仿宋" w:eastAsia="仿宋" w:cs="仿宋"/>
          <w:sz w:val="32"/>
          <w:szCs w:val="32"/>
        </w:rPr>
      </w:pPr>
    </w:p>
    <w:p>
      <w:pPr>
        <w:numPr>
          <w:numId w:val="0"/>
        </w:numPr>
        <w:ind w:leftChars="200"/>
        <w:rPr>
          <w:rFonts w:hint="eastAsia" w:ascii="仿宋" w:hAnsi="仿宋" w:eastAsia="仿宋" w:cs="仿宋"/>
          <w:sz w:val="32"/>
          <w:szCs w:val="32"/>
        </w:rPr>
      </w:pPr>
    </w:p>
    <w:p>
      <w:pPr>
        <w:numPr>
          <w:numId w:val="0"/>
        </w:numPr>
        <w:ind w:leftChars="200"/>
        <w:rPr>
          <w:rFonts w:hint="eastAsia" w:ascii="仿宋" w:hAnsi="仿宋" w:eastAsia="仿宋" w:cs="仿宋"/>
          <w:sz w:val="32"/>
          <w:szCs w:val="32"/>
        </w:rPr>
      </w:pPr>
    </w:p>
    <w:p>
      <w:pPr>
        <w:numPr>
          <w:numId w:val="0"/>
        </w:numPr>
        <w:ind w:leftChars="200"/>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被告未将补偿方案征求意见情况和根据公众意见修改情况进行及时公布。被告亦未组织针对补偿方案的听证会并根据听证会情况修改补偿方案。</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补偿方案中关于评估机构的确定，违反《国有土地上房屋征收评估办法》第四条规定房地产价格评估机构由被征收人在规定时间内协商选定；在规定时间内协商不成的，由房屋征收部门通过组织被征收人按照少数服从多数的原则投票决定，或者采取摇号、抽签等随机方式确定。被告在也未向</w:t>
      </w:r>
      <w:r>
        <w:rPr>
          <w:rFonts w:hint="eastAsia" w:ascii="仿宋" w:hAnsi="仿宋" w:eastAsia="仿宋" w:cs="仿宋"/>
          <w:sz w:val="32"/>
          <w:szCs w:val="32"/>
          <w:lang w:val="en-US" w:eastAsia="zh-CN"/>
        </w:rPr>
        <w:t>原告</w:t>
      </w:r>
      <w:r>
        <w:rPr>
          <w:rFonts w:hint="eastAsia" w:ascii="仿宋" w:hAnsi="仿宋" w:eastAsia="仿宋" w:cs="仿宋"/>
          <w:sz w:val="32"/>
          <w:szCs w:val="32"/>
        </w:rPr>
        <w:t>提供</w:t>
      </w:r>
      <w:r>
        <w:rPr>
          <w:rFonts w:hint="eastAsia" w:ascii="仿宋" w:hAnsi="仿宋" w:eastAsia="仿宋" w:cs="仿宋"/>
          <w:sz w:val="32"/>
          <w:szCs w:val="32"/>
          <w:lang w:val="en-US" w:eastAsia="zh-CN"/>
        </w:rPr>
        <w:t>相关证据以</w:t>
      </w:r>
      <w:r>
        <w:rPr>
          <w:rFonts w:hint="eastAsia" w:ascii="仿宋" w:hAnsi="仿宋" w:eastAsia="仿宋" w:cs="仿宋"/>
          <w:sz w:val="32"/>
          <w:szCs w:val="32"/>
        </w:rPr>
        <w:t>证明</w:t>
      </w:r>
      <w:r>
        <w:rPr>
          <w:rFonts w:hint="eastAsia" w:ascii="仿宋" w:hAnsi="仿宋" w:eastAsia="仿宋" w:cs="仿宋"/>
          <w:sz w:val="32"/>
          <w:szCs w:val="32"/>
          <w:lang w:val="en-US" w:eastAsia="zh-CN"/>
        </w:rPr>
        <w:t>被告与</w:t>
      </w:r>
      <w:r>
        <w:rPr>
          <w:rFonts w:hint="eastAsia" w:ascii="仿宋" w:hAnsi="仿宋" w:eastAsia="仿宋" w:cs="仿宋"/>
          <w:sz w:val="32"/>
          <w:szCs w:val="32"/>
        </w:rPr>
        <w:t>被征收人在规定时间内协商选定</w:t>
      </w:r>
      <w:r>
        <w:rPr>
          <w:rFonts w:hint="eastAsia" w:ascii="仿宋" w:hAnsi="仿宋" w:eastAsia="仿宋" w:cs="仿宋"/>
          <w:sz w:val="32"/>
          <w:szCs w:val="32"/>
          <w:lang w:val="en-US" w:eastAsia="zh-CN"/>
        </w:rPr>
        <w:t>评估机构</w:t>
      </w:r>
      <w:r>
        <w:rPr>
          <w:rFonts w:hint="eastAsia" w:ascii="仿宋" w:hAnsi="仿宋" w:eastAsia="仿宋" w:cs="仿宋"/>
          <w:sz w:val="32"/>
          <w:szCs w:val="32"/>
        </w:rPr>
        <w:t>的原始证据材料。</w:t>
      </w:r>
    </w:p>
    <w:p>
      <w:pPr>
        <w:widowControl w:val="0"/>
        <w:numPr>
          <w:numId w:val="0"/>
        </w:numPr>
        <w:jc w:val="both"/>
        <w:rPr>
          <w:rFonts w:hint="eastAsia" w:ascii="仿宋" w:hAnsi="仿宋" w:eastAsia="仿宋" w:cs="仿宋"/>
          <w:sz w:val="32"/>
          <w:szCs w:val="32"/>
        </w:rPr>
      </w:pPr>
    </w:p>
    <w:p>
      <w:pPr>
        <w:widowControl w:val="0"/>
        <w:numPr>
          <w:numId w:val="0"/>
        </w:numPr>
        <w:jc w:val="both"/>
        <w:rPr>
          <w:rFonts w:hint="eastAsia" w:ascii="仿宋" w:hAnsi="仿宋" w:eastAsia="仿宋" w:cs="仿宋"/>
          <w:sz w:val="32"/>
          <w:szCs w:val="32"/>
        </w:rPr>
      </w:pPr>
    </w:p>
    <w:p>
      <w:pPr>
        <w:widowControl w:val="0"/>
        <w:numPr>
          <w:numId w:val="0"/>
        </w:numPr>
        <w:jc w:val="both"/>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bookmarkStart w:id="0" w:name="_GoBack"/>
      <w:bookmarkEnd w:id="0"/>
      <w:r>
        <w:rPr>
          <w:rFonts w:hint="eastAsia" w:ascii="仿宋" w:hAnsi="仿宋" w:eastAsia="仿宋" w:cs="仿宋"/>
          <w:sz w:val="32"/>
          <w:szCs w:val="32"/>
        </w:rPr>
        <w:t>征收补偿方案</w:t>
      </w:r>
      <w:r>
        <w:rPr>
          <w:rFonts w:hint="eastAsia" w:ascii="仿宋" w:hAnsi="仿宋" w:eastAsia="仿宋" w:cs="仿宋"/>
          <w:sz w:val="32"/>
          <w:szCs w:val="32"/>
          <w:lang w:val="en-US" w:eastAsia="zh-CN"/>
        </w:rPr>
        <w:t>中</w:t>
      </w:r>
      <w:r>
        <w:rPr>
          <w:rFonts w:hint="eastAsia" w:ascii="仿宋" w:hAnsi="仿宋" w:eastAsia="仿宋" w:cs="仿宋"/>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安置</w:t>
      </w:r>
      <w:r>
        <w:rPr>
          <w:rFonts w:hint="eastAsia" w:ascii="仿宋" w:hAnsi="仿宋" w:eastAsia="仿宋" w:cs="仿宋"/>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让原告等被征收人</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rPr>
          <w:rFonts w:hint="eastAsia" w:ascii="仿宋" w:hAnsi="仿宋" w:eastAsia="仿宋" w:cs="仿宋"/>
          <w:sz w:val="32"/>
          <w:szCs w:val="32"/>
        </w:rPr>
      </w:pPr>
    </w:p>
    <w:p>
      <w:pPr>
        <w:ind w:firstLine="643" w:firstLineChars="200"/>
        <w:rPr>
          <w:rFonts w:hint="eastAsia" w:ascii="仿宋" w:hAnsi="仿宋" w:eastAsia="仿宋" w:cs="仿宋"/>
          <w:b/>
          <w:bCs/>
          <w:sz w:val="32"/>
          <w:szCs w:val="32"/>
        </w:rPr>
      </w:pPr>
      <w:r>
        <w:rPr>
          <w:rFonts w:hint="eastAsia" w:ascii="仿宋" w:hAnsi="仿宋" w:eastAsia="仿宋" w:cs="仿宋"/>
          <w:b/>
          <w:bCs/>
          <w:sz w:val="32"/>
          <w:szCs w:val="32"/>
        </w:rPr>
        <w:t>综上，被告作出的</w:t>
      </w:r>
      <w:r>
        <w:rPr>
          <w:rFonts w:hint="eastAsia" w:ascii="仿宋" w:hAnsi="仿宋" w:eastAsia="仿宋" w:cs="仿宋"/>
          <w:b/>
          <w:bCs/>
          <w:sz w:val="32"/>
          <w:szCs w:val="32"/>
          <w:lang w:eastAsia="zh-CN"/>
        </w:rPr>
        <w:t>《房屋征收补偿决定》（开政征补字（2017）76号）</w:t>
      </w:r>
      <w:r>
        <w:rPr>
          <w:rFonts w:hint="eastAsia" w:ascii="仿宋" w:hAnsi="仿宋" w:eastAsia="仿宋" w:cs="仿宋"/>
          <w:b/>
          <w:bCs/>
          <w:sz w:val="32"/>
          <w:szCs w:val="32"/>
        </w:rPr>
        <w:t>事实认定不清，适用法律错误，程序违法；征收补偿方案</w:t>
      </w:r>
      <w:r>
        <w:rPr>
          <w:rFonts w:hint="eastAsia" w:ascii="仿宋" w:hAnsi="仿宋" w:eastAsia="仿宋" w:cs="仿宋"/>
          <w:b/>
          <w:bCs/>
          <w:sz w:val="32"/>
          <w:szCs w:val="32"/>
          <w:lang w:val="en-US" w:eastAsia="zh-CN"/>
        </w:rPr>
        <w:t>亦</w:t>
      </w:r>
      <w:r>
        <w:rPr>
          <w:rFonts w:hint="eastAsia" w:ascii="仿宋" w:hAnsi="仿宋" w:eastAsia="仿宋" w:cs="仿宋"/>
          <w:b/>
          <w:bCs/>
          <w:sz w:val="32"/>
          <w:szCs w:val="32"/>
        </w:rPr>
        <w:t>未能充分保障原告等被征收人的合法权利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故原告为了维护自身的合法权益，特诉至贵院，希判如所请。</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此致</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长沙市中级人民法院</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具状人：</w:t>
      </w:r>
      <w:r>
        <w:rPr>
          <w:rFonts w:hint="eastAsia" w:ascii="仿宋" w:hAnsi="仿宋" w:eastAsia="仿宋" w:cs="仿宋"/>
          <w:sz w:val="32"/>
          <w:szCs w:val="32"/>
          <w:lang w:val="en-US" w:eastAsia="zh-CN"/>
        </w:rPr>
        <w:t>黄冲云</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5</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9F4748E"/>
    <w:rsid w:val="1BB06124"/>
    <w:rsid w:val="2682795D"/>
    <w:rsid w:val="26C66B21"/>
    <w:rsid w:val="321E3283"/>
    <w:rsid w:val="366E4903"/>
    <w:rsid w:val="3B0F6E56"/>
    <w:rsid w:val="3E31640D"/>
    <w:rsid w:val="482C3D90"/>
    <w:rsid w:val="54DA4721"/>
    <w:rsid w:val="5CB84DEE"/>
    <w:rsid w:val="60152851"/>
    <w:rsid w:val="62B70141"/>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Stallone</cp:lastModifiedBy>
  <cp:lastPrinted>2018-05-05T08:02:56Z</cp:lastPrinted>
  <dcterms:modified xsi:type="dcterms:W3CDTF">2018-05-05T08:11:22Z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