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责令行政机关负责人出庭应诉申请书</w:t>
      </w:r>
    </w:p>
    <w:bookmarkEnd w:id="0"/>
    <w:p>
      <w:pPr>
        <w:pStyle w:val="2"/>
        <w:jc w:val="both"/>
        <w:rPr>
          <w:rFonts w:hint="eastAsia" w:ascii="仿宋" w:hAnsi="仿宋" w:eastAsia="仿宋" w:cs="仿宋"/>
          <w:b w:val="0"/>
          <w:kern w:val="2"/>
          <w:sz w:val="30"/>
          <w:szCs w:val="30"/>
          <w:lang w:val="en-US" w:eastAsia="zh-CN" w:bidi="ar-SA"/>
        </w:rPr>
      </w:pPr>
      <w:r>
        <w:rPr>
          <w:rFonts w:hint="eastAsia" w:ascii="仿宋" w:hAnsi="仿宋" w:eastAsia="仿宋" w:cs="仿宋"/>
          <w:b w:val="0"/>
          <w:kern w:val="2"/>
          <w:sz w:val="30"/>
          <w:szCs w:val="30"/>
          <w:lang w:val="en-US" w:eastAsia="zh-CN" w:bidi="ar-SA"/>
        </w:rPr>
        <w:t>长沙市中级人民法院：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原告刘菊珍诉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开福区</w:t>
      </w:r>
      <w:r>
        <w:rPr>
          <w:rFonts w:hint="eastAsia" w:ascii="仿宋" w:hAnsi="仿宋" w:eastAsia="仿宋" w:cs="仿宋"/>
          <w:sz w:val="30"/>
          <w:szCs w:val="30"/>
        </w:rPr>
        <w:t>人民政府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与长沙市人民政府征收</w:t>
      </w:r>
      <w:r>
        <w:rPr>
          <w:rFonts w:hint="eastAsia" w:ascii="仿宋" w:hAnsi="仿宋" w:eastAsia="仿宋" w:cs="仿宋"/>
          <w:sz w:val="30"/>
          <w:szCs w:val="30"/>
        </w:rPr>
        <w:t>纠纷一案，贵院业已接收案件材料。</w:t>
      </w:r>
    </w:p>
    <w:p>
      <w:pPr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 xml:space="preserve">    此前，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潮宗街街区棚户区改造项目（一期）被征收范围内的被征收人</w:t>
      </w:r>
      <w:r>
        <w:rPr>
          <w:rFonts w:hint="eastAsia" w:ascii="仿宋" w:hAnsi="仿宋" w:eastAsia="仿宋" w:cs="仿宋"/>
          <w:sz w:val="30"/>
          <w:szCs w:val="30"/>
        </w:rPr>
        <w:t>起诉</w:t>
      </w: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开福区</w:t>
      </w:r>
      <w:r>
        <w:rPr>
          <w:rFonts w:hint="eastAsia" w:ascii="仿宋" w:hAnsi="仿宋" w:eastAsia="仿宋" w:cs="仿宋"/>
          <w:sz w:val="30"/>
          <w:szCs w:val="30"/>
        </w:rPr>
        <w:t>人民政府及相应职能部门的所有案件中，作为被告的政府及职能部门均未有行政机关负责人出庭应诉，甚至副职负责人也鲜有出庭记录。原告认为：作为行政机关的被告，其避而不见、漠视民权的行为严重违背了现行《行政诉讼法》、相关司法解释及最高人民法院指示的立法和指导精神，罔顾法律尊严。</w:t>
      </w:r>
    </w:p>
    <w:p>
      <w:pPr>
        <w:ind w:firstLine="600" w:firstLineChars="200"/>
        <w:rPr>
          <w:rFonts w:hint="eastAsia" w:ascii="仿宋" w:hAnsi="仿宋" w:eastAsia="仿宋" w:cs="仿宋"/>
          <w:sz w:val="30"/>
          <w:szCs w:val="30"/>
        </w:rPr>
      </w:pPr>
      <w:r>
        <w:rPr>
          <w:rFonts w:hint="eastAsia" w:ascii="仿宋" w:hAnsi="仿宋" w:eastAsia="仿宋" w:cs="仿宋"/>
          <w:sz w:val="30"/>
          <w:szCs w:val="30"/>
        </w:rPr>
        <w:t>鉴上述，原告特依据《行政诉讼法》第三条第三款：“被诉行政机关负责人应当出庭应诉。不能出庭的，应当委托行政机关相应的工作人员出庭”；《最高人民法院关于适用〈中华人民共和国行政诉讼法〉若干问题的解释》第五条：“行政诉讼法第三条第三款规定的“行政机关负责人”，包括行政机关的正职和副职负责人。行政机关负责人出庭应诉的，可以另行委托一至二名诉讼代理人”之规定，特请求贵院责令被告行政机关负责人出庭应诉，以期能够解决百姓告官不见官普遍问题。另外，行政机关负责人出庭应诉也更能够实质解决纠纷，节省有限的司法资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D2956"/>
    <w:rsid w:val="54A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2018-04-18T03:50:00Z</dcterms:created>
  <dc:creator>Stallone</dc:creator>
  <cp:lastModifiedBy>Stallone</cp:lastModifiedBy>
  <dcterms:modified xsi:type="dcterms:W3CDTF">2018-04-18T03:57:26Z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