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471"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2225"/>
        <w:gridCol w:w="3418"/>
        <w:gridCol w:w="1475"/>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shd w:val="clear" w:color="auto" w:fill="F1F1F1" w:themeFill="background1" w:themeFillShade="F2"/>
          </w:tcPr>
          <w:p>
            <w:pPr>
              <w:rPr>
                <w:rFonts w:hint="eastAsia" w:eastAsiaTheme="minorEastAsia"/>
                <w:b/>
                <w:bCs/>
                <w:vertAlign w:val="baseline"/>
                <w:lang w:eastAsia="zh-CN"/>
              </w:rPr>
            </w:pPr>
            <w:r>
              <w:rPr>
                <w:rFonts w:hint="eastAsia"/>
                <w:b/>
                <w:bCs/>
                <w:vertAlign w:val="baseline"/>
                <w:lang w:val="en-US" w:eastAsia="zh-CN"/>
              </w:rPr>
              <w:t>ID</w:t>
            </w:r>
          </w:p>
        </w:tc>
        <w:tc>
          <w:tcPr>
            <w:tcW w:w="2225" w:type="dxa"/>
            <w:shd w:val="clear" w:color="auto" w:fill="F1F1F1" w:themeFill="background1" w:themeFillShade="F2"/>
          </w:tcPr>
          <w:p>
            <w:pPr>
              <w:rPr>
                <w:b/>
                <w:bCs/>
                <w:vertAlign w:val="baseline"/>
              </w:rPr>
            </w:pPr>
            <w:r>
              <w:rPr>
                <w:rFonts w:hint="eastAsia"/>
                <w:b/>
                <w:bCs/>
                <w:vertAlign w:val="baseline"/>
              </w:rPr>
              <w:t>证据名称</w:t>
            </w:r>
          </w:p>
        </w:tc>
        <w:tc>
          <w:tcPr>
            <w:tcW w:w="3418" w:type="dxa"/>
            <w:shd w:val="clear" w:color="auto" w:fill="F1F1F1" w:themeFill="background1" w:themeFillShade="F2"/>
          </w:tcPr>
          <w:p>
            <w:pPr>
              <w:rPr>
                <w:b/>
                <w:bCs/>
                <w:vertAlign w:val="baseline"/>
              </w:rPr>
            </w:pPr>
            <w:r>
              <w:rPr>
                <w:rFonts w:hint="eastAsia"/>
                <w:b/>
                <w:bCs/>
              </w:rPr>
              <w:t>证明内容（目的）</w:t>
            </w:r>
          </w:p>
        </w:tc>
        <w:tc>
          <w:tcPr>
            <w:tcW w:w="1475" w:type="dxa"/>
            <w:shd w:val="clear" w:color="auto" w:fill="F1F1F1" w:themeFill="background1" w:themeFillShade="F2"/>
            <w:vAlign w:val="top"/>
          </w:tcPr>
          <w:p>
            <w:r>
              <w:rPr>
                <w:rFonts w:hint="eastAsia"/>
                <w:b/>
                <w:bCs/>
                <w:vertAlign w:val="baseline"/>
              </w:rPr>
              <w:t>证据来源</w:t>
            </w:r>
          </w:p>
        </w:tc>
        <w:tc>
          <w:tcPr>
            <w:tcW w:w="837" w:type="dxa"/>
            <w:shd w:val="clear" w:color="auto" w:fill="F1F1F1" w:themeFill="background1" w:themeFillShade="F2"/>
          </w:tcPr>
          <w:p>
            <w:pPr>
              <w:rPr>
                <w:b/>
                <w:bCs/>
                <w:vertAlign w:val="baseline"/>
              </w:rPr>
            </w:pPr>
            <w:r>
              <w:rPr>
                <w:rFonts w:hint="eastAsia"/>
                <w:b/>
                <w:bCs/>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b/>
                <w:bCs/>
                <w:vertAlign w:val="baseline"/>
                <w:lang w:val="en-US" w:eastAsia="zh-CN"/>
              </w:rPr>
              <w:t>信息公开回复</w:t>
            </w:r>
          </w:p>
        </w:tc>
        <w:tc>
          <w:tcPr>
            <w:tcW w:w="3418" w:type="dxa"/>
            <w:vAlign w:val="top"/>
          </w:tcPr>
          <w:p>
            <w:pPr>
              <w:rPr>
                <w:rFonts w:hint="eastAsia" w:ascii="宋体" w:hAnsi="宋体" w:eastAsia="宋体" w:cs="宋体"/>
                <w:i w:val="0"/>
                <w:color w:val="000000"/>
                <w:kern w:val="0"/>
                <w:sz w:val="22"/>
                <w:szCs w:val="22"/>
                <w:u w:val="none"/>
                <w:lang w:val="en-US" w:eastAsia="zh-CN" w:bidi="ar"/>
              </w:rPr>
            </w:pPr>
            <w:r>
              <w:rPr>
                <w:rFonts w:hint="eastAsia"/>
                <w:vertAlign w:val="baseline"/>
                <w:lang w:val="en-US" w:eastAsia="zh-CN"/>
              </w:rPr>
              <w:t>原告通过信息公开获得分户评估报告</w:t>
            </w:r>
          </w:p>
        </w:tc>
        <w:tc>
          <w:tcPr>
            <w:tcW w:w="1475" w:type="dxa"/>
            <w:vAlign w:val="center"/>
          </w:tcPr>
          <w:p>
            <w:pPr>
              <w:keepNext w:val="0"/>
              <w:keepLines w:val="0"/>
              <w:widowControl/>
              <w:suppressLineNumbers w:val="0"/>
              <w:jc w:val="left"/>
              <w:textAlignment w:val="center"/>
            </w:pPr>
            <w:r>
              <w:rPr>
                <w:rFonts w:hint="eastAsia"/>
                <w:lang w:val="en-US" w:eastAsia="zh-CN"/>
              </w:rPr>
              <w:t>区征收办</w:t>
            </w:r>
          </w:p>
        </w:tc>
        <w:tc>
          <w:tcPr>
            <w:tcW w:w="837"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b/>
                <w:bCs/>
                <w:vertAlign w:val="baseline"/>
                <w:lang w:val="en-US" w:eastAsia="zh-CN"/>
              </w:rPr>
              <w:t>复核信封及给据邮件回执</w:t>
            </w:r>
          </w:p>
        </w:tc>
        <w:tc>
          <w:tcPr>
            <w:tcW w:w="3418" w:type="dxa"/>
            <w:vAlign w:val="top"/>
          </w:tcPr>
          <w:p>
            <w:pPr>
              <w:rPr>
                <w:rFonts w:hint="eastAsia" w:ascii="宋体" w:hAnsi="宋体" w:eastAsia="宋体" w:cs="宋体"/>
                <w:i w:val="0"/>
                <w:color w:val="000000"/>
                <w:kern w:val="0"/>
                <w:sz w:val="22"/>
                <w:szCs w:val="22"/>
                <w:u w:val="none"/>
                <w:lang w:val="en-US" w:eastAsia="zh-CN" w:bidi="ar"/>
              </w:rPr>
            </w:pPr>
            <w:r>
              <w:rPr>
                <w:rFonts w:hint="eastAsia"/>
                <w:vertAlign w:val="baseline"/>
                <w:lang w:val="en-US" w:eastAsia="zh-CN"/>
              </w:rPr>
              <w:t>原告收到分户评估报告后，</w:t>
            </w:r>
            <w:bookmarkStart w:id="0" w:name="_GoBack"/>
            <w:bookmarkEnd w:id="0"/>
            <w:r>
              <w:rPr>
                <w:rFonts w:hint="eastAsia"/>
                <w:vertAlign w:val="baseline"/>
                <w:lang w:val="en-US" w:eastAsia="zh-CN"/>
              </w:rPr>
              <w:t>在法定时间之内进行了复核</w:t>
            </w:r>
          </w:p>
        </w:tc>
        <w:tc>
          <w:tcPr>
            <w:tcW w:w="1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lang w:val="en-US" w:eastAsia="zh-CN"/>
              </w:rPr>
              <w:t>邮政局</w:t>
            </w:r>
          </w:p>
        </w:tc>
        <w:tc>
          <w:tcPr>
            <w:tcW w:w="837"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r>
              <w:rPr>
                <w:rFonts w:hint="eastAsia"/>
                <w:vertAlign w:val="baseline"/>
                <w:lang w:val="en-US" w:eastAsia="zh-CN"/>
              </w:rPr>
              <w:t>分户补偿情况公示表(第十一批）</w:t>
            </w:r>
          </w:p>
        </w:tc>
        <w:tc>
          <w:tcPr>
            <w:tcW w:w="3418" w:type="dxa"/>
            <w:vAlign w:val="top"/>
          </w:tcPr>
          <w:p>
            <w:pPr>
              <w:rPr>
                <w:rFonts w:hint="eastAsia" w:eastAsiaTheme="minorEastAsia"/>
                <w:vertAlign w:val="baseline"/>
                <w:lang w:val="en-US" w:eastAsia="zh-CN"/>
              </w:rPr>
            </w:pPr>
            <w:r>
              <w:rPr>
                <w:rFonts w:hint="eastAsia"/>
                <w:vertAlign w:val="baseline"/>
                <w:lang w:val="en-US" w:eastAsia="zh-CN"/>
              </w:rPr>
              <w:t>征收办对被征收人姓名、房屋面积调查严重失实，征收补偿决定不具备事实基础。</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lang w:val="en-US" w:eastAsia="zh-CN"/>
              </w:rPr>
              <w:t>区征收办</w:t>
            </w:r>
          </w:p>
        </w:tc>
        <w:tc>
          <w:tcPr>
            <w:tcW w:w="837" w:type="dxa"/>
            <w:vAlign w:val="top"/>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eastAsiaTheme="minorEastAsia"/>
                <w:b/>
                <w:bCs/>
                <w:vertAlign w:val="baseline"/>
                <w:lang w:val="en-US" w:eastAsia="zh-CN"/>
              </w:rPr>
            </w:pPr>
            <w:r>
              <w:rPr>
                <w:rFonts w:hint="eastAsia"/>
                <w:vertAlign w:val="baseline"/>
                <w:lang w:val="en-US" w:eastAsia="zh-CN"/>
              </w:rPr>
              <w:t>信息公开回复</w:t>
            </w:r>
          </w:p>
        </w:tc>
        <w:tc>
          <w:tcPr>
            <w:tcW w:w="3418" w:type="dxa"/>
            <w:vAlign w:val="top"/>
          </w:tcPr>
          <w:p>
            <w:pPr>
              <w:rPr>
                <w:rFonts w:hint="eastAsia" w:eastAsiaTheme="minorEastAsia"/>
                <w:vertAlign w:val="baseline"/>
                <w:lang w:val="en-US" w:eastAsia="zh-CN"/>
              </w:rPr>
            </w:pPr>
            <w:r>
              <w:rPr>
                <w:rFonts w:hint="eastAsia"/>
                <w:b/>
                <w:bCs/>
                <w:vertAlign w:val="baseline"/>
                <w:lang w:val="en-US" w:eastAsia="zh-CN"/>
              </w:rPr>
              <w:t>区征收办没有依法与原告协商确定被征收房屋装饰装修及其他设施价值补偿。没有保障原告的权利</w:t>
            </w:r>
            <w:r>
              <w:rPr>
                <w:rFonts w:hint="eastAsia"/>
                <w:vertAlign w:val="baseline"/>
                <w:lang w:val="en-US" w:eastAsia="zh-CN"/>
              </w:rPr>
              <w:t>。</w:t>
            </w:r>
          </w:p>
        </w:tc>
        <w:tc>
          <w:tcPr>
            <w:tcW w:w="1475" w:type="dxa"/>
            <w:vAlign w:val="center"/>
          </w:tcPr>
          <w:p>
            <w:pPr>
              <w:keepNext w:val="0"/>
              <w:keepLines w:val="0"/>
              <w:widowControl/>
              <w:suppressLineNumbers w:val="0"/>
              <w:jc w:val="left"/>
              <w:textAlignment w:val="center"/>
            </w:pPr>
            <w:r>
              <w:rPr>
                <w:rFonts w:hint="eastAsia"/>
                <w:lang w:val="en-US" w:eastAsia="zh-CN"/>
              </w:rPr>
              <w:t>区征收办</w:t>
            </w:r>
          </w:p>
        </w:tc>
        <w:tc>
          <w:tcPr>
            <w:tcW w:w="837"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eastAsiaTheme="minorEastAsia"/>
                <w:b/>
                <w:bCs/>
                <w:vertAlign w:val="baseline"/>
                <w:lang w:val="en-US" w:eastAsia="zh-CN"/>
              </w:rPr>
            </w:pPr>
            <w:r>
              <w:rPr>
                <w:rFonts w:hint="eastAsia"/>
                <w:vertAlign w:val="baseline"/>
                <w:lang w:val="en-US" w:eastAsia="zh-CN"/>
              </w:rPr>
              <w:t>关于长沙市开福区潮宗街街区有机更新项目信息公开申请的回复函</w:t>
            </w:r>
          </w:p>
        </w:tc>
        <w:tc>
          <w:tcPr>
            <w:tcW w:w="3418" w:type="dxa"/>
            <w:vAlign w:val="top"/>
          </w:tcPr>
          <w:p>
            <w:pPr>
              <w:rPr>
                <w:rFonts w:hint="eastAsia" w:eastAsiaTheme="minorEastAsia"/>
                <w:vertAlign w:val="baseline"/>
                <w:lang w:val="en-US" w:eastAsia="zh-CN"/>
              </w:rPr>
            </w:pPr>
            <w:r>
              <w:rPr>
                <w:rFonts w:hint="eastAsia"/>
                <w:vertAlign w:val="baseline"/>
                <w:lang w:val="en-US" w:eastAsia="zh-CN"/>
              </w:rPr>
              <w:t>被征收范围实施有机更新（提质改造），恰好证明作为前置要件的生效房屋征收决定本身有“明显、重大”的违法之处！</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lang w:val="en-US" w:eastAsia="zh-CN"/>
              </w:rPr>
              <w:t>区工务局</w:t>
            </w:r>
          </w:p>
        </w:tc>
        <w:tc>
          <w:tcPr>
            <w:tcW w:w="837"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eastAsiaTheme="minorEastAsia"/>
                <w:vertAlign w:val="baseline"/>
                <w:lang w:val="en-US" w:eastAsia="zh-CN"/>
              </w:rPr>
            </w:pPr>
            <w:r>
              <w:rPr>
                <w:rFonts w:hint="eastAsia"/>
                <w:vertAlign w:val="baseline"/>
                <w:lang w:val="en-US" w:eastAsia="zh-CN"/>
              </w:rPr>
              <w:t>信息公开回复</w:t>
            </w:r>
          </w:p>
        </w:tc>
        <w:tc>
          <w:tcPr>
            <w:tcW w:w="3418" w:type="dxa"/>
            <w:vAlign w:val="top"/>
          </w:tcPr>
          <w:p>
            <w:pPr>
              <w:rPr>
                <w:rFonts w:hint="eastAsia" w:eastAsiaTheme="minorEastAsia"/>
                <w:vertAlign w:val="baseline"/>
                <w:lang w:val="en-US" w:eastAsia="zh-CN"/>
              </w:rPr>
            </w:pPr>
            <w:r>
              <w:rPr>
                <w:rFonts w:hint="eastAsia"/>
                <w:vertAlign w:val="baseline"/>
              </w:rPr>
              <w:t>指挥部不能作为签订合同的主体</w:t>
            </w:r>
            <w:r>
              <w:rPr>
                <w:rFonts w:hint="eastAsia"/>
                <w:vertAlign w:val="baseline"/>
                <w:lang w:eastAsia="zh-CN"/>
              </w:rPr>
              <w:t>，</w:t>
            </w:r>
            <w:r>
              <w:rPr>
                <w:rFonts w:hint="eastAsia"/>
                <w:vertAlign w:val="baseline"/>
                <w:lang w:val="en-US" w:eastAsia="zh-CN"/>
              </w:rPr>
              <w:t>无权</w:t>
            </w:r>
            <w:r>
              <w:rPr>
                <w:rFonts w:hint="eastAsia"/>
                <w:vertAlign w:val="baseline"/>
                <w:lang w:eastAsia="zh-CN"/>
              </w:rPr>
              <w:t>聘请律所</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lang w:val="en-US" w:eastAsia="zh-CN"/>
              </w:rPr>
              <w:t>区征收办</w:t>
            </w:r>
          </w:p>
        </w:tc>
        <w:tc>
          <w:tcPr>
            <w:tcW w:w="837"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eastAsiaTheme="minorEastAsia"/>
                <w:vertAlign w:val="baseline"/>
                <w:lang w:val="en-US" w:eastAsia="zh-CN"/>
              </w:rPr>
            </w:pPr>
            <w:r>
              <w:rPr>
                <w:rFonts w:hint="eastAsia"/>
                <w:vertAlign w:val="baseline"/>
                <w:lang w:val="en-US" w:eastAsia="zh-CN"/>
              </w:rPr>
              <w:t>信息公开回复</w:t>
            </w:r>
          </w:p>
        </w:tc>
        <w:tc>
          <w:tcPr>
            <w:tcW w:w="3418" w:type="dxa"/>
            <w:vAlign w:val="center"/>
          </w:tcPr>
          <w:p>
            <w:pPr>
              <w:keepNext w:val="0"/>
              <w:keepLines w:val="0"/>
              <w:widowControl/>
              <w:suppressLineNumbers w:val="0"/>
              <w:jc w:val="left"/>
              <w:textAlignment w:val="center"/>
              <w:rPr>
                <w:rFonts w:hint="eastAsia" w:eastAsiaTheme="minorEastAsia"/>
                <w:vertAlign w:val="baseline"/>
                <w:lang w:val="en-US" w:eastAsia="zh-CN"/>
              </w:rPr>
            </w:pPr>
            <w:r>
              <w:rPr>
                <w:rFonts w:hint="eastAsia"/>
                <w:b/>
                <w:bCs/>
                <w:vertAlign w:val="baseline"/>
                <w:lang w:val="en-US" w:eastAsia="zh-CN"/>
              </w:rPr>
              <w:t>区征收办未支付临时安置费和提供周转用房，涉案征收补偿决定不具备必要条件！</w:t>
            </w:r>
          </w:p>
        </w:tc>
        <w:tc>
          <w:tcPr>
            <w:tcW w:w="1475" w:type="dxa"/>
            <w:vAlign w:val="top"/>
          </w:tcPr>
          <w:p/>
        </w:tc>
        <w:tc>
          <w:tcPr>
            <w:tcW w:w="837"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二O一五年公证员年度考核备案花名册</w:t>
            </w:r>
          </w:p>
        </w:tc>
        <w:tc>
          <w:tcPr>
            <w:tcW w:w="3418" w:type="dxa"/>
            <w:vAlign w:val="center"/>
          </w:tcPr>
          <w:p>
            <w:pPr>
              <w:keepNext w:val="0"/>
              <w:keepLines w:val="0"/>
              <w:widowControl/>
              <w:suppressLineNumbers w:val="0"/>
              <w:jc w:val="left"/>
              <w:textAlignment w:val="center"/>
              <w:rPr>
                <w:rFonts w:hint="eastAsia" w:eastAsiaTheme="minorEastAsia"/>
                <w:vertAlign w:val="baseline"/>
                <w:lang w:val="en-US" w:eastAsia="zh-CN"/>
              </w:rPr>
            </w:pPr>
            <w:r>
              <w:rPr>
                <w:rFonts w:hint="eastAsia" w:ascii="宋体" w:hAnsi="宋体" w:eastAsia="宋体" w:cs="宋体"/>
                <w:i w:val="0"/>
                <w:color w:val="000000"/>
                <w:kern w:val="0"/>
                <w:sz w:val="22"/>
                <w:szCs w:val="22"/>
                <w:u w:val="none"/>
                <w:lang w:val="en-US" w:eastAsia="zh-CN" w:bidi="ar"/>
              </w:rPr>
              <w:t>彭青未通过2015年公证员年度考核，在公证时点已不具备公证员资格。</w:t>
            </w:r>
          </w:p>
        </w:tc>
        <w:tc>
          <w:tcPr>
            <w:tcW w:w="1475" w:type="dxa"/>
            <w:vAlign w:val="top"/>
          </w:tcPr>
          <w:p>
            <w:r>
              <w:rPr>
                <w:rFonts w:hint="eastAsia" w:ascii="宋体" w:hAnsi="宋体" w:eastAsia="宋体" w:cs="宋体"/>
                <w:i w:val="0"/>
                <w:color w:val="000000"/>
                <w:kern w:val="0"/>
                <w:sz w:val="22"/>
                <w:szCs w:val="22"/>
                <w:u w:val="none"/>
                <w:lang w:val="en-US" w:eastAsia="zh-CN" w:bidi="ar"/>
              </w:rPr>
              <w:t>市司法局</w:t>
            </w:r>
          </w:p>
        </w:tc>
        <w:tc>
          <w:tcPr>
            <w:tcW w:w="837"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vertAlign w:val="baseline"/>
              </w:rPr>
              <w:t>钟山说事</w:t>
            </w:r>
            <w:r>
              <w:rPr>
                <w:rFonts w:hint="eastAsia"/>
                <w:vertAlign w:val="baseline"/>
                <w:lang w:eastAsia="zh-CN"/>
              </w:rPr>
              <w:t>《</w:t>
            </w:r>
            <w:r>
              <w:rPr>
                <w:rFonts w:hint="eastAsia"/>
                <w:vertAlign w:val="baseline"/>
              </w:rPr>
              <w:t>如此交房？福泽园没有竣工验收 就催促业主收房</w:t>
            </w:r>
            <w:r>
              <w:rPr>
                <w:rFonts w:hint="eastAsia"/>
                <w:vertAlign w:val="baseline"/>
                <w:lang w:eastAsia="zh-CN"/>
              </w:rPr>
              <w:t>》</w:t>
            </w:r>
          </w:p>
        </w:tc>
        <w:tc>
          <w:tcPr>
            <w:tcW w:w="3418" w:type="dxa"/>
            <w:vAlign w:val="center"/>
          </w:tcPr>
          <w:p>
            <w:pPr>
              <w:keepNext w:val="0"/>
              <w:keepLines w:val="0"/>
              <w:widowControl/>
              <w:suppressLineNumbers w:val="0"/>
              <w:jc w:val="left"/>
              <w:textAlignment w:val="center"/>
              <w:rPr>
                <w:rFonts w:hint="eastAsia"/>
                <w:vertAlign w:val="baseline"/>
              </w:rPr>
            </w:pPr>
            <w:r>
              <w:rPr>
                <w:rFonts w:hint="eastAsia"/>
                <w:vertAlign w:val="baseline"/>
                <w:lang w:val="en-US" w:eastAsia="zh-CN"/>
              </w:rPr>
              <w:t>产权调换房屋无竣工验收备案登记表，不符合产权调换条件。</w:t>
            </w:r>
          </w:p>
        </w:tc>
        <w:tc>
          <w:tcPr>
            <w:tcW w:w="1475" w:type="dxa"/>
            <w:vAlign w:val="top"/>
          </w:tcPr>
          <w:p>
            <w:r>
              <w:rPr>
                <w:rFonts w:hint="eastAsia"/>
                <w:lang w:val="en-US" w:eastAsia="zh-CN"/>
              </w:rPr>
              <w:t>湖南卫视</w:t>
            </w:r>
          </w:p>
        </w:tc>
        <w:tc>
          <w:tcPr>
            <w:tcW w:w="837" w:type="dxa"/>
            <w:vAlign w:val="top"/>
          </w:tcPr>
          <w:p>
            <w:pPr>
              <w:jc w:val="center"/>
              <w:rPr>
                <w:vertAlign w:val="baseline"/>
              </w:rPr>
            </w:pPr>
            <w:r>
              <w:rPr>
                <w:rFonts w:hint="eastAsia"/>
                <w:vertAlign w:val="baseline"/>
                <w:lang w:val="en-US" w:eastAsia="zh-CN"/>
              </w:rPr>
              <w:t>视听资料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top"/>
          </w:tcPr>
          <w:p/>
        </w:tc>
        <w:tc>
          <w:tcPr>
            <w:tcW w:w="837"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top"/>
          </w:tcPr>
          <w:p/>
        </w:tc>
        <w:tc>
          <w:tcPr>
            <w:tcW w:w="837"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tcPr>
          <w:p>
            <w:pPr>
              <w:rPr>
                <w:vertAlign w:val="baseline"/>
              </w:rPr>
            </w:pPr>
          </w:p>
        </w:tc>
        <w:tc>
          <w:tcPr>
            <w:tcW w:w="1475" w:type="dxa"/>
            <w:vAlign w:val="top"/>
          </w:tc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tcPr>
          <w:p>
            <w:pPr>
              <w:rPr>
                <w:vertAlign w:val="baseline"/>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vertAlign w:val="baseline"/>
              </w:rPr>
            </w:pPr>
          </w:p>
        </w:tc>
        <w:tc>
          <w:tcPr>
            <w:tcW w:w="34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2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4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837" w:type="dxa"/>
          </w:tcPr>
          <w:p>
            <w:pPr>
              <w:rPr>
                <w:vertAlign w:val="baseline"/>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仿宋" w:hAnsi="仿宋" w:cs="仿宋"/>
        <w:sz w:val="28"/>
        <w:szCs w:val="28"/>
      </w:rPr>
    </w:pPr>
    <w:r>
      <w:rPr>
        <w:rFonts w:hint="eastAsia" w:ascii="仿宋" w:hAnsi="仿宋" w:eastAsia="仿宋" w:cs="仿宋"/>
        <w:sz w:val="28"/>
        <w:szCs w:val="28"/>
      </w:rPr>
      <w:t>提交人：</w:t>
    </w:r>
    <w:r>
      <w:rPr>
        <w:rFonts w:hint="eastAsia" w:ascii="仿宋" w:hAnsi="仿宋" w:eastAsia="仿宋" w:cs="仿宋"/>
        <w:sz w:val="28"/>
        <w:szCs w:val="28"/>
        <w:lang w:val="en-US" w:eastAsia="zh-CN"/>
      </w:rPr>
      <w:t>李运芳</w:t>
    </w:r>
    <w:r>
      <w:rPr>
        <w:rFonts w:hint="eastAsia" w:ascii="仿宋" w:hAnsi="仿宋" w:eastAsia="仿宋" w:cs="仿宋"/>
        <w:sz w:val="28"/>
        <w:szCs w:val="28"/>
      </w:rPr>
      <w:t xml:space="preserve">               日期：</w:t>
    </w:r>
    <w:r>
      <w:rPr>
        <w:rFonts w:hint="eastAsia" w:ascii="仿宋" w:hAnsi="仿宋" w:eastAsia="仿宋" w:cs="仿宋"/>
        <w:sz w:val="28"/>
        <w:szCs w:val="28"/>
        <w:lang w:val="en-US" w:eastAsia="zh-CN"/>
      </w:rPr>
      <w:t>20181101</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仿宋_GB2312" w:hAnsi="仿宋_GB2312" w:eastAsia="仿宋_GB2312" w:cs="仿宋_GB2312"/>
        <w:b/>
        <w:bCs/>
        <w:sz w:val="36"/>
        <w:szCs w:val="36"/>
      </w:rPr>
    </w:pPr>
    <w:r>
      <w:rPr>
        <w:rFonts w:hint="eastAsia" w:ascii="仿宋" w:hAnsi="仿宋" w:eastAsia="仿宋" w:cs="仿宋"/>
        <w:b/>
        <w:bCs/>
        <w:sz w:val="28"/>
        <w:szCs w:val="28"/>
      </w:rPr>
      <w:t>证据提交清单（证据目录）</w:t>
    </w:r>
    <w:r>
      <w:rPr>
        <w:rFonts w:hint="eastAsia" w:ascii="仿宋" w:hAnsi="仿宋" w:eastAsia="仿宋" w:cs="仿宋"/>
        <w:sz w:val="28"/>
        <w:szCs w:val="28"/>
      </w:rPr>
      <w:t xml:space="preserve"> 案号：</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cs="仿宋"/>
        <w:sz w:val="28"/>
        <w:szCs w:val="28"/>
      </w:rPr>
      <w:t xml:space="preserve">  </w:t>
    </w:r>
  </w:p>
  <w:p>
    <w:pPr>
      <w:rPr>
        <w:rFonts w:hint="eastAsia" w:ascii="仿宋" w:hAnsi="仿宋" w:cs="仿宋"/>
        <w:sz w:val="28"/>
        <w:szCs w:val="28"/>
      </w:rPr>
    </w:pPr>
    <w:r>
      <w:rPr>
        <w:rFonts w:hint="eastAsia" w:ascii="仿宋" w:hAnsi="仿宋" w:eastAsia="仿宋" w:cs="仿宋"/>
        <w:sz w:val="28"/>
        <w:szCs w:val="28"/>
      </w:rPr>
      <w:t xml:space="preserve">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1EBEF"/>
    <w:multiLevelType w:val="singleLevel"/>
    <w:tmpl w:val="5AD1EBE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66410"/>
    <w:rsid w:val="054136B2"/>
    <w:rsid w:val="08AF1E3F"/>
    <w:rsid w:val="0C6F704F"/>
    <w:rsid w:val="0E7444A5"/>
    <w:rsid w:val="11452B11"/>
    <w:rsid w:val="132C59C0"/>
    <w:rsid w:val="1C3F0C22"/>
    <w:rsid w:val="1F853783"/>
    <w:rsid w:val="26885193"/>
    <w:rsid w:val="2A5174F8"/>
    <w:rsid w:val="2FB91045"/>
    <w:rsid w:val="44E62BDA"/>
    <w:rsid w:val="455C7222"/>
    <w:rsid w:val="4848303D"/>
    <w:rsid w:val="4CC17042"/>
    <w:rsid w:val="51394BF0"/>
    <w:rsid w:val="66982FBA"/>
    <w:rsid w:val="695138F2"/>
    <w:rsid w:val="69F66EB4"/>
    <w:rsid w:val="6B641761"/>
    <w:rsid w:val="6F5C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2018-04-14T11:20:00Z</dcterms:created>
  <dc:creator>Stallone</dc:creator>
  <cp:lastModifiedBy>30886</cp:lastModifiedBy>
  <cp:lastPrinted>2018-11-01T00:39:00Z</cp:lastPrinted>
  <dcterms:modified xsi:type="dcterms:W3CDTF">2018-11-01T04:16:54Z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