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45"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75"/>
        <w:gridCol w:w="2475"/>
        <w:gridCol w:w="1489"/>
        <w:gridCol w:w="3471"/>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shd w:val="clear" w:color="auto" w:fill="F1F1F1" w:themeFill="background1" w:themeFillShade="F2"/>
          </w:tcPr>
          <w:p>
            <w:pPr>
              <w:rPr>
                <w:b/>
                <w:bCs/>
                <w:vertAlign w:val="baseline"/>
              </w:rPr>
            </w:pPr>
            <w:r>
              <w:rPr>
                <w:rFonts w:hint="eastAsia"/>
                <w:b/>
                <w:bCs/>
                <w:vertAlign w:val="baseline"/>
              </w:rPr>
              <w:t>编号</w:t>
            </w:r>
          </w:p>
        </w:tc>
        <w:tc>
          <w:tcPr>
            <w:tcW w:w="2475" w:type="dxa"/>
            <w:shd w:val="clear" w:color="auto" w:fill="F1F1F1" w:themeFill="background1" w:themeFillShade="F2"/>
          </w:tcPr>
          <w:p>
            <w:pPr>
              <w:rPr>
                <w:b/>
                <w:bCs/>
                <w:vertAlign w:val="baseline"/>
              </w:rPr>
            </w:pPr>
            <w:r>
              <w:rPr>
                <w:rFonts w:hint="eastAsia"/>
                <w:b/>
                <w:bCs/>
                <w:vertAlign w:val="baseline"/>
              </w:rPr>
              <w:t>证据名称</w:t>
            </w:r>
          </w:p>
        </w:tc>
        <w:tc>
          <w:tcPr>
            <w:tcW w:w="1489" w:type="dxa"/>
            <w:shd w:val="clear" w:color="auto" w:fill="F1F1F1" w:themeFill="background1" w:themeFillShade="F2"/>
          </w:tcPr>
          <w:p>
            <w:pPr>
              <w:rPr>
                <w:b/>
                <w:bCs/>
                <w:vertAlign w:val="baseline"/>
              </w:rPr>
            </w:pPr>
            <w:r>
              <w:rPr>
                <w:rFonts w:hint="eastAsia"/>
                <w:b/>
                <w:bCs/>
                <w:vertAlign w:val="baseline"/>
              </w:rPr>
              <w:t>证据来源</w:t>
            </w:r>
          </w:p>
        </w:tc>
        <w:tc>
          <w:tcPr>
            <w:tcW w:w="3471" w:type="dxa"/>
            <w:shd w:val="clear" w:color="auto" w:fill="F1F1F1" w:themeFill="background1" w:themeFillShade="F2"/>
          </w:tcPr>
          <w:p>
            <w:pPr>
              <w:rPr>
                <w:b/>
                <w:bCs/>
                <w:vertAlign w:val="baseline"/>
              </w:rPr>
            </w:pPr>
            <w:r>
              <w:rPr>
                <w:rFonts w:hint="eastAsia"/>
                <w:b/>
                <w:bCs/>
              </w:rPr>
              <w:t>证明事实</w:t>
            </w:r>
          </w:p>
        </w:tc>
        <w:tc>
          <w:tcPr>
            <w:tcW w:w="1435" w:type="dxa"/>
            <w:shd w:val="clear" w:color="auto" w:fill="F1F1F1" w:themeFill="background1" w:themeFillShade="F2"/>
          </w:tcPr>
          <w:p>
            <w:pPr>
              <w:rPr>
                <w:b/>
                <w:bCs/>
                <w:vertAlign w:val="baseline"/>
              </w:rPr>
            </w:pPr>
            <w:r>
              <w:rPr>
                <w:rFonts w:hint="eastAsia"/>
                <w:b/>
                <w:bCs/>
                <w:vertAlign w:val="baseline"/>
              </w:rPr>
              <w:t>证明目的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 xml:space="preserve">上诉人的户口与身份证复印件 </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长沙市公安局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上诉人是适格的诉讼主体。</w:t>
            </w:r>
            <w:bookmarkStart w:id="0" w:name="_GoBack"/>
            <w:bookmarkEnd w:id="0"/>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上诉人合法拥有的房产证复印件</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长沙市房产局</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上诉人在被征收范围内合法拥有被征收房屋。</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委托书一份</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委托人已委托受托人进行诉讼。</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关于潮宗街棚户区改造项目立项批复（长发改[2015]593号）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发改委</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长沙市开福区潮宗街街区棚户区改造项目（一期）未立项。</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项目选址意见书</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选址意见书的日期在征收决定发布之后。</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规划条件书</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规划条件书数据部分空白，不符合法律规定。</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建设项目用地预审申请报告</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规划蓝线申请报告的日期在征收决定发布之后</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建设项目用地预审申请表</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日期部分空白，不符合法律规定。</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建设项目用地预审意见（长国土资预审字[2016]165号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预审意见作出的日期在征收决定发布之后。</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日常地籍测量报告（编号:2016082204)</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作出的日期在征收决定发布之后。</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地籍调查表（编号:2016082204)</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国土局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作出的日期在征收决定发布之后。</w:t>
            </w:r>
          </w:p>
        </w:tc>
        <w:tc>
          <w:tcPr>
            <w:tcW w:w="1435" w:type="dxa"/>
          </w:tcPr>
          <w:p>
            <w:pPr>
              <w:rPr>
                <w:vertAlign w:val="baseline"/>
              </w:rPr>
            </w:pPr>
          </w:p>
        </w:tc>
      </w:tr>
      <w:tr>
        <w:tblPrEx>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来文办理反馈意见单</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未出具征收项目符合城乡规划的文书。</w:t>
            </w:r>
          </w:p>
        </w:tc>
        <w:tc>
          <w:tcPr>
            <w:tcW w:w="1435" w:type="dxa"/>
          </w:tcPr>
          <w:p>
            <w:pPr>
              <w:rPr>
                <w:vertAlign w:val="baseline"/>
              </w:rPr>
            </w:pPr>
          </w:p>
        </w:tc>
      </w:tr>
      <w:tr>
        <w:tblPrEx>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长沙市2014年国民经济和社会发展计划执行情况与2015年国民经济和社会发展计划草案的报告</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发改委</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2015年需办理征收项目的征收手续。</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长沙市2015年国民经济和社会发展计划执行情况与2016年国民经济和社会发展计划草案的报告</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发改委</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无征收项目需办理相关征收手续的内容。</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长沙市2016年国民经济和社会发展计划执行情况与2017年国民经济和社会发展计划草案的报告</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发改委</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2016年需办理征收项目的征收手续。</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国务院关于长沙市城市总体规划的批复（国函[2014]45号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国务院</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原则同意长沙市城市总体规划（2003-2020）（2014年修订）</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长沙市国民经济和社会发展第十二个五年规划纲要</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住房保障局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加强太平街、潮宗街、西文庙坪街、镇等历史文化街区、文化名镇保护和建设。</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来文办理反馈意见单</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规划局</w:t>
            </w:r>
          </w:p>
        </w:tc>
        <w:tc>
          <w:tcPr>
            <w:tcW w:w="347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长沙市城市总体规划（2003-2020）（2014年修订）</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规划局</w:t>
            </w:r>
          </w:p>
        </w:tc>
        <w:tc>
          <w:tcPr>
            <w:tcW w:w="347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关于《潮宗街历史文化街区保护规划》的批复（长政函[2016]76号文</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长沙市人民政府</w:t>
            </w:r>
          </w:p>
        </w:tc>
        <w:tc>
          <w:tcPr>
            <w:tcW w:w="3471" w:type="dxa"/>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关于同意开福区潮宗街街区地块棚改立项的批复(长棚组项[2015]15号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安居工程和棚户区改造工作领导小组</w:t>
            </w:r>
          </w:p>
        </w:tc>
        <w:tc>
          <w:tcPr>
            <w:tcW w:w="347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开福区政府关于将潮宗街街区纳入棚户区改造的请示(开政[2015]53号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开福区人民政府</w:t>
            </w:r>
          </w:p>
        </w:tc>
        <w:tc>
          <w:tcPr>
            <w:tcW w:w="347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长沙市潮宗街片区棚户区改造及历史文化街区建设指挥部咨询服务采购项目竞争性谈判邀请公告</w:t>
            </w:r>
          </w:p>
        </w:tc>
        <w:tc>
          <w:tcPr>
            <w:tcW w:w="1489" w:type="dxa"/>
          </w:tcPr>
          <w:p>
            <w:pPr>
              <w:rPr>
                <w:vertAlign w:val="baseline"/>
              </w:rPr>
            </w:pPr>
            <w:r>
              <w:rPr>
                <w:rFonts w:hint="eastAsia"/>
                <w:vertAlign w:val="baseline"/>
              </w:rPr>
              <w:t>长沙市潮宗街片区棚户区改造及历史文化街区建设指挥部</w:t>
            </w:r>
          </w:p>
        </w:tc>
        <w:tc>
          <w:tcPr>
            <w:tcW w:w="3471" w:type="dxa"/>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长沙市2017年城市棚户区改造项目信息备案表</w:t>
            </w:r>
          </w:p>
        </w:tc>
        <w:tc>
          <w:tcPr>
            <w:tcW w:w="1489" w:type="dxa"/>
          </w:tcPr>
          <w:p>
            <w:pPr>
              <w:rPr>
                <w:rFonts w:hint="eastAsia"/>
                <w:vertAlign w:val="baseline"/>
              </w:rPr>
            </w:pPr>
            <w:r>
              <w:rPr>
                <w:rFonts w:hint="eastAsia"/>
                <w:vertAlign w:val="baseline"/>
              </w:rPr>
              <w:t>住房保障局</w:t>
            </w:r>
          </w:p>
        </w:tc>
        <w:tc>
          <w:tcPr>
            <w:tcW w:w="3471" w:type="dxa"/>
          </w:tcPr>
          <w:p>
            <w:pPr>
              <w:rPr>
                <w:rFonts w:hint="eastAsia"/>
                <w:vertAlign w:val="baseline"/>
              </w:rPr>
            </w:pPr>
            <w:r>
              <w:rPr>
                <w:rFonts w:hint="eastAsia"/>
                <w:vertAlign w:val="baseline"/>
              </w:rPr>
              <w:t>征收项目已被纳入棚户区</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长沙市2016年城市棚户区改造项目信息备案表</w:t>
            </w:r>
          </w:p>
        </w:tc>
        <w:tc>
          <w:tcPr>
            <w:tcW w:w="1489" w:type="dxa"/>
          </w:tcPr>
          <w:p>
            <w:pPr>
              <w:rPr>
                <w:rFonts w:hint="eastAsia"/>
                <w:vertAlign w:val="baseline"/>
              </w:rPr>
            </w:pPr>
            <w:r>
              <w:rPr>
                <w:rFonts w:hint="eastAsia"/>
                <w:vertAlign w:val="baseline"/>
              </w:rPr>
              <w:t>住房保障局</w:t>
            </w:r>
          </w:p>
        </w:tc>
        <w:tc>
          <w:tcPr>
            <w:tcW w:w="3471" w:type="dxa"/>
          </w:tcPr>
          <w:p>
            <w:pPr>
              <w:rPr>
                <w:rFonts w:hint="eastAsia"/>
                <w:vertAlign w:val="baseline"/>
              </w:rPr>
            </w:pPr>
            <w:r>
              <w:rPr>
                <w:rFonts w:hint="eastAsia"/>
                <w:vertAlign w:val="baseline"/>
              </w:rPr>
              <w:t>征收项目已被纳入棚户区</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《关于调整部分保障性安居工程建设项目的通知》（湘建保函[2016]337号）</w:t>
            </w:r>
          </w:p>
        </w:tc>
        <w:tc>
          <w:tcPr>
            <w:tcW w:w="1489" w:type="dxa"/>
          </w:tcPr>
          <w:p>
            <w:pPr>
              <w:rPr>
                <w:vertAlign w:val="baseline"/>
              </w:rPr>
            </w:pPr>
            <w:r>
              <w:rPr>
                <w:rFonts w:hint="eastAsia"/>
                <w:vertAlign w:val="baseline"/>
              </w:rPr>
              <w:t>省财政厅</w:t>
            </w:r>
          </w:p>
        </w:tc>
        <w:tc>
          <w:tcPr>
            <w:tcW w:w="3471" w:type="dxa"/>
          </w:tcPr>
          <w:p>
            <w:pPr>
              <w:rPr>
                <w:vertAlign w:val="baseline"/>
              </w:rPr>
            </w:pPr>
            <w:r>
              <w:rPr>
                <w:rFonts w:hint="eastAsia"/>
                <w:vertAlign w:val="baseline"/>
              </w:rPr>
              <w:t>征收项目已被纳入棚户区，并获得棚改资金</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关于规范棚户区界定标准和审批程序的通知</w:t>
            </w:r>
          </w:p>
        </w:tc>
        <w:tc>
          <w:tcPr>
            <w:tcW w:w="1489" w:type="dxa"/>
          </w:tcPr>
          <w:p>
            <w:pPr>
              <w:rPr>
                <w:vertAlign w:val="baseline"/>
              </w:rPr>
            </w:pPr>
            <w:r>
              <w:rPr>
                <w:rFonts w:hint="eastAsia"/>
                <w:vertAlign w:val="baseline"/>
              </w:rPr>
              <w:t>住房保障局</w:t>
            </w:r>
          </w:p>
        </w:tc>
        <w:tc>
          <w:tcPr>
            <w:tcW w:w="347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35" w:type="dxa"/>
          </w:tcPr>
          <w:p>
            <w:pPr>
              <w:rPr>
                <w:vertAlign w:val="baseline"/>
              </w:rPr>
            </w:pPr>
          </w:p>
        </w:tc>
      </w:tr>
      <w:tr>
        <w:tblPrEx>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《住房城乡建设部办公厅关于棚户区界定标准有关问题的通知》（建办保函〔2014〕535号）</w:t>
            </w:r>
          </w:p>
        </w:tc>
        <w:tc>
          <w:tcPr>
            <w:tcW w:w="1489" w:type="dxa"/>
          </w:tcPr>
          <w:p>
            <w:pPr>
              <w:rPr>
                <w:vertAlign w:val="baseline"/>
              </w:rPr>
            </w:pPr>
            <w:r>
              <w:rPr>
                <w:rFonts w:hint="eastAsia"/>
                <w:vertAlign w:val="baseline"/>
              </w:rPr>
              <w:t>住房保障局</w:t>
            </w:r>
          </w:p>
        </w:tc>
        <w:tc>
          <w:tcPr>
            <w:tcW w:w="347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国务院关于加快棚户区改造工作的意见</w:t>
            </w:r>
            <w:r>
              <w:rPr>
                <w:rFonts w:hint="eastAsia" w:ascii="宋体" w:hAnsi="宋体" w:eastAsia="宋体" w:cs="宋体"/>
                <w:b/>
                <w:i w:val="0"/>
                <w:color w:val="000000"/>
                <w:kern w:val="0"/>
                <w:sz w:val="22"/>
                <w:szCs w:val="22"/>
                <w:u w:val="none"/>
                <w:lang w:val="en-US" w:eastAsia="zh-CN" w:bidi="ar"/>
              </w:rPr>
              <w:br w:type="textWrapping"/>
            </w:r>
            <w:r>
              <w:rPr>
                <w:rFonts w:hint="eastAsia" w:ascii="宋体" w:hAnsi="宋体" w:eastAsia="宋体" w:cs="宋体"/>
                <w:b/>
                <w:i w:val="0"/>
                <w:color w:val="000000"/>
                <w:kern w:val="0"/>
                <w:sz w:val="22"/>
                <w:szCs w:val="22"/>
                <w:u w:val="none"/>
                <w:lang w:val="en-US" w:eastAsia="zh-CN" w:bidi="ar"/>
              </w:rPr>
              <w:t>国发〔2013〕25号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国务院</w:t>
            </w:r>
          </w:p>
        </w:tc>
        <w:tc>
          <w:tcPr>
            <w:tcW w:w="3471" w:type="dxa"/>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《长沙市政府购买棚户区改造服务管理暂行办法》的通知长政办发〔2015〕64号</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长沙市人民政府</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val="0"/>
                <w:i w:val="0"/>
                <w:caps w:val="0"/>
                <w:color w:val="000000"/>
                <w:spacing w:val="0"/>
                <w:sz w:val="24"/>
                <w:szCs w:val="24"/>
                <w:shd w:val="clear" w:fill="FFFFFF"/>
              </w:rPr>
              <w:t>市人民政府授权市住房保障局作为政府购买棚户区改造服务的购买主体，由其依法开展政府购买棚户区改造服务活动</w:t>
            </w:r>
            <w:r>
              <w:rPr>
                <w:rFonts w:hint="eastAsia" w:ascii="宋体" w:hAnsi="宋体" w:eastAsia="宋体" w:cs="宋体"/>
                <w:b w:val="0"/>
                <w:i w:val="0"/>
                <w:caps w:val="0"/>
                <w:color w:val="000000"/>
                <w:spacing w:val="0"/>
                <w:sz w:val="24"/>
                <w:szCs w:val="24"/>
                <w:shd w:val="clear" w:fill="FFFFFF"/>
                <w:lang w:eastAsia="zh-CN"/>
              </w:rPr>
              <w:t>。</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公证书（2016）湘长星证民字第2369号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长沙星城公证处</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公证员未核查申请人《事业单位法人证书》或《公司营业执照》、法定代表人及委托代理人的身份证、授权委托书等证据材料是否真实有效。</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二O一五年公证员年度考核备案花名册</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市司法局</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彭青未通过2015年公证员年度考核，在2016年5月5日当天已不具备公证员资格。</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《湖南省房地产评估机构资质管理规定》(湘建房[2002]78号</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湖南省人民政府</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评估机构在估价时点不具备评估资格。</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潮宗街棚改项目征收评估信息发布及房地产价格评估机构报名公告</w:t>
            </w:r>
          </w:p>
        </w:tc>
        <w:tc>
          <w:tcPr>
            <w:tcW w:w="1489"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区征收办</w:t>
            </w:r>
          </w:p>
        </w:tc>
        <w:tc>
          <w:tcPr>
            <w:tcW w:w="3471"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 xml:space="preserve">报名条件为：已申请纳入长沙市国有土地房屋征收评估机构备选库的机构，而非268号令第九条第二款规定（二）房地产价格评估机构备选库中具有相应资质的房地产价格评估机构报名。                                                                                                                                                                                                                                                                                                                                                                                                                                                                                                                                                                                                                                                                                                                                                                                                                                                                                                                                                                                                                                                                                     </w:t>
            </w:r>
          </w:p>
        </w:tc>
        <w:tc>
          <w:tcPr>
            <w:tcW w:w="1435" w:type="dxa"/>
          </w:tcPr>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房地产价格评估机构的委托合同</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区征收办</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合同内容有涂改部分。</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潮宗街项目整体（基准价格）初步评估结果</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区征收办</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复制件的印章与原件不一致。</w:t>
            </w:r>
          </w:p>
        </w:tc>
        <w:tc>
          <w:tcPr>
            <w:tcW w:w="1435" w:type="dxa"/>
          </w:tcPr>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征收补偿安置资金证明</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区征收办</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资金证明不合法；根据《国有土地上房屋征收与补偿条例》第十二条规定，征收补偿费用应足额拨付到位，在指定的金融机构专户储存，专项用于房屋征收与补偿，不得挪作他用。</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公报</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长沙市人大</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项目建设单位尚未成立及主体资格尚不具备法定效力。就已经被列入棚改计划的项目建设单位。</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棚改项目定向住宅房预定合同（福泽园）</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开福区人民政府</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开福区政府未填写日期，该合同不具备合法效力。</w:t>
            </w:r>
          </w:p>
        </w:tc>
        <w:tc>
          <w:tcPr>
            <w:tcW w:w="1435"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五证二书</w:t>
            </w:r>
          </w:p>
        </w:tc>
        <w:tc>
          <w:tcPr>
            <w:tcW w:w="1489"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住建委</w:t>
            </w:r>
          </w:p>
        </w:tc>
        <w:tc>
          <w:tcPr>
            <w:tcW w:w="347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福泽园未达到普通商品房质量标准和设计规范，不具备产权置换条件。</w:t>
            </w:r>
          </w:p>
        </w:tc>
        <w:tc>
          <w:tcPr>
            <w:tcW w:w="1435" w:type="dxa"/>
          </w:tcPr>
          <w:p>
            <w:pP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1EBEF"/>
    <w:multiLevelType w:val="singleLevel"/>
    <w:tmpl w:val="5AD1EBE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F0C22"/>
    <w:rsid w:val="132C59C0"/>
    <w:rsid w:val="1C3F0C22"/>
    <w:rsid w:val="1F853783"/>
    <w:rsid w:val="26885193"/>
    <w:rsid w:val="69F6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2018-04-14T11:20:00Z</dcterms:created>
  <dc:creator>Stallone</dc:creator>
  <cp:lastModifiedBy>Stallone</cp:lastModifiedBy>
  <dcterms:modified xsi:type="dcterms:W3CDTF">2018-04-14T13:30:24Z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