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871" w:type="dxa"/>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2087"/>
        <w:gridCol w:w="2721"/>
        <w:gridCol w:w="1489"/>
        <w:gridCol w:w="1061"/>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shd w:val="clear" w:color="auto" w:fill="F1F1F1" w:themeFill="background1" w:themeFillShade="F2"/>
          </w:tcPr>
          <w:p>
            <w:pPr>
              <w:rPr>
                <w:rFonts w:hint="eastAsia" w:eastAsiaTheme="minorEastAsia"/>
                <w:b/>
                <w:bCs/>
                <w:vertAlign w:val="baseline"/>
                <w:lang w:eastAsia="zh-CN"/>
              </w:rPr>
            </w:pPr>
            <w:r>
              <w:rPr>
                <w:rFonts w:hint="eastAsia"/>
                <w:b/>
                <w:bCs/>
                <w:vertAlign w:val="baseline"/>
                <w:lang w:val="en-US" w:eastAsia="zh-CN"/>
              </w:rPr>
              <w:t>ID</w:t>
            </w:r>
          </w:p>
        </w:tc>
        <w:tc>
          <w:tcPr>
            <w:tcW w:w="2087" w:type="dxa"/>
            <w:shd w:val="clear" w:color="auto" w:fill="F1F1F1" w:themeFill="background1" w:themeFillShade="F2"/>
          </w:tcPr>
          <w:p>
            <w:pPr>
              <w:rPr>
                <w:b/>
                <w:bCs/>
                <w:vertAlign w:val="baseline"/>
              </w:rPr>
            </w:pPr>
            <w:r>
              <w:rPr>
                <w:rFonts w:hint="eastAsia"/>
                <w:b/>
                <w:bCs/>
                <w:vertAlign w:val="baseline"/>
              </w:rPr>
              <w:t>证据名称</w:t>
            </w:r>
          </w:p>
        </w:tc>
        <w:tc>
          <w:tcPr>
            <w:tcW w:w="2721" w:type="dxa"/>
            <w:shd w:val="clear" w:color="auto" w:fill="F1F1F1" w:themeFill="background1" w:themeFillShade="F2"/>
          </w:tcPr>
          <w:p>
            <w:pPr>
              <w:rPr>
                <w:b/>
                <w:bCs/>
                <w:vertAlign w:val="baseline"/>
              </w:rPr>
            </w:pPr>
            <w:r>
              <w:rPr>
                <w:rFonts w:hint="eastAsia"/>
                <w:b/>
                <w:bCs/>
              </w:rPr>
              <w:t>证明内容（目的）</w:t>
            </w:r>
          </w:p>
        </w:tc>
        <w:tc>
          <w:tcPr>
            <w:tcW w:w="1489" w:type="dxa"/>
            <w:shd w:val="clear" w:color="auto" w:fill="F1F1F1" w:themeFill="background1" w:themeFillShade="F2"/>
            <w:vAlign w:val="top"/>
          </w:tcPr>
          <w:p>
            <w:r>
              <w:rPr>
                <w:rFonts w:hint="eastAsia"/>
                <w:b/>
                <w:bCs/>
                <w:vertAlign w:val="baseline"/>
              </w:rPr>
              <w:t>证据来源</w:t>
            </w:r>
          </w:p>
        </w:tc>
        <w:tc>
          <w:tcPr>
            <w:tcW w:w="1061" w:type="dxa"/>
            <w:shd w:val="clear" w:color="auto" w:fill="F1F1F1" w:themeFill="background1" w:themeFillShade="F2"/>
          </w:tcPr>
          <w:p>
            <w:pPr>
              <w:rPr>
                <w:rFonts w:hint="eastAsia"/>
                <w:b/>
                <w:bCs/>
                <w:vertAlign w:val="baseline"/>
              </w:rPr>
            </w:pPr>
            <w:r>
              <w:rPr>
                <w:rFonts w:hint="eastAsia"/>
                <w:b/>
                <w:bCs/>
                <w:vertAlign w:val="baseline"/>
              </w:rPr>
              <w:t>页码</w:t>
            </w:r>
          </w:p>
        </w:tc>
        <w:tc>
          <w:tcPr>
            <w:tcW w:w="997" w:type="dxa"/>
            <w:shd w:val="clear" w:color="auto" w:fill="F1F1F1" w:themeFill="background1" w:themeFillShade="F2"/>
          </w:tcPr>
          <w:p>
            <w:pPr>
              <w:rPr>
                <w:b/>
                <w:bCs/>
                <w:vertAlign w:val="baseline"/>
              </w:rPr>
            </w:pPr>
            <w:r>
              <w:rPr>
                <w:rFonts w:hint="eastAsia"/>
                <w:b/>
                <w:bCs/>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 xml:space="preserve">上诉人的户口与身份证复印件 </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上诉人是适格的诉讼主体。</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市公安局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上诉人合法拥有的房产证复印件</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上诉人在被征收范围内合法拥有被征收房屋。</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市房产局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委托书一份</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委托人已委托受托人进行诉讼。</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上诉人</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开发改发[2016]319号文</w:t>
            </w:r>
            <w:r>
              <w:rPr>
                <w:rFonts w:hint="eastAsia" w:ascii="宋体" w:hAnsi="宋体" w:eastAsia="宋体" w:cs="宋体"/>
                <w:i w:val="0"/>
                <w:color w:val="000000"/>
                <w:kern w:val="0"/>
                <w:sz w:val="22"/>
                <w:szCs w:val="22"/>
                <w:u w:val="none"/>
                <w:lang w:val="en-US" w:eastAsia="zh-CN" w:bidi="ar"/>
              </w:rPr>
              <w:tab/>
            </w:r>
            <w:r>
              <w:rPr>
                <w:rFonts w:hint="eastAsia" w:ascii="宋体" w:hAnsi="宋体" w:eastAsia="宋体" w:cs="宋体"/>
                <w:i w:val="0"/>
                <w:color w:val="000000"/>
                <w:kern w:val="0"/>
                <w:sz w:val="22"/>
                <w:szCs w:val="22"/>
                <w:u w:val="none"/>
                <w:lang w:val="en-US" w:eastAsia="zh-CN" w:bidi="ar"/>
              </w:rPr>
              <w:tab/>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发改局对潮宗街历史文化街区扩建项目立项进行批复</w:t>
            </w:r>
            <w:r>
              <w:rPr>
                <w:rFonts w:hint="eastAsia" w:ascii="宋体" w:hAnsi="宋体" w:eastAsia="宋体" w:cs="宋体"/>
                <w:i w:val="0"/>
                <w:color w:val="000000"/>
                <w:kern w:val="0"/>
                <w:sz w:val="22"/>
                <w:szCs w:val="22"/>
                <w:u w:val="none"/>
                <w:lang w:val="en-US" w:eastAsia="zh-CN" w:bidi="ar"/>
              </w:rPr>
              <w:tab/>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发改局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长沙市开福区潮宗街历史文化街区第一批项目设计招标书（招标编号：HNZY2018-039）</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潮宗街属于商业开发</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061" w:type="dxa"/>
          </w:tcPr>
          <w:p>
            <w:pPr>
              <w:rPr>
                <w:vertAlign w:val="baseline"/>
              </w:rPr>
            </w:pPr>
            <w:bookmarkStart w:id="0" w:name="_GoBack"/>
            <w:bookmarkEnd w:id="0"/>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val="0"/>
                <w:bCs w:val="0"/>
                <w:i w:val="0"/>
                <w:color w:val="000000"/>
                <w:kern w:val="0"/>
                <w:sz w:val="22"/>
                <w:szCs w:val="22"/>
                <w:u w:val="none"/>
                <w:lang w:val="en-US" w:eastAsia="zh-CN" w:bidi="ar"/>
              </w:rPr>
              <w:t>拆除工程备案表</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无拆迁工程负责人签名</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市征收办</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关于潮宗街棚户区改造项目立项批复（长发改[2015]593号）</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长沙市开福区潮宗街街区棚户区改造项目（一期）已立项。</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发改委</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项目选址意见书</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选址意见书的日期在征收决定发布之后。</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规划局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规划条件书</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规划条件书数据部分空白，不符合法律规定。</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国土局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建设项目用地预审申请报告</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规划蓝线申请报告的日期在征收决定发布之后</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国土局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建设项目用地预审申请表</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日期部分空白，不符合法律规定。</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国土局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建设项目用地预审意见（长国土资预审字[2016]165号</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预审意见作出的日期在征收决定发布之后。</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国土局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日常地籍测量报告（编号:2016082204)</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作出的日期在征收决定发布之后。</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国土局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地籍调查表（编号:2016082204)</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作出的日期在征收决定发布之后。</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国土局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来文办理反馈意见单</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未出具征收项目符合城乡规划的文书。</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规划局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长沙市2014年国民经济和社会发展计划执行情况与2015年国民经济和社会发展计划草案的报告</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2015年需办理征收项目的征收手续。</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发改委</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长沙市2015年国民经济和社会发展计划执行情况与2016年国民经济和社会发展计划草案的报告</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无征收项目需办理相关征收手续的内容。</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发改委</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长沙市2016年国民经济和社会发展计划执行情况与2017年国民经济和社会发展计划草案的报告</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2016年需办理征收项目的征收手续。</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发改委</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国务院关于长沙市城市总体规划的批复（国函[2014]45号</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原则同意长沙市城市总体规划（2003-2020）（2014年修订）</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国务院</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val="0"/>
                <w:bCs/>
                <w:i w:val="0"/>
                <w:color w:val="000000"/>
                <w:kern w:val="0"/>
                <w:sz w:val="22"/>
                <w:szCs w:val="22"/>
                <w:u w:val="none"/>
                <w:lang w:val="en-US" w:eastAsia="zh-CN" w:bidi="ar"/>
              </w:rPr>
              <w:t>长沙市国民经济和社会发展第十二个五年规划纲要</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加强太平街、潮宗街、西文庙坪街、镇等历史文化街区、文化名镇保护和建设。</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住房保障局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bCs/>
                <w:i w:val="0"/>
                <w:color w:val="000000"/>
                <w:kern w:val="0"/>
                <w:sz w:val="22"/>
                <w:szCs w:val="22"/>
                <w:u w:val="none"/>
                <w:lang w:val="en-US" w:eastAsia="zh-CN" w:bidi="ar"/>
              </w:rPr>
              <w:t>来文办理反馈意见单</w:t>
            </w:r>
          </w:p>
        </w:tc>
        <w:tc>
          <w:tcPr>
            <w:tcW w:w="2721" w:type="dxa"/>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规划局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bCs/>
                <w:i w:val="0"/>
                <w:color w:val="000000"/>
                <w:kern w:val="0"/>
                <w:sz w:val="22"/>
                <w:szCs w:val="22"/>
                <w:u w:val="none"/>
                <w:lang w:val="en-US" w:eastAsia="zh-CN" w:bidi="ar"/>
              </w:rPr>
              <w:t>长沙市城市总体规划（2003-2020）（2014年修订）</w:t>
            </w:r>
          </w:p>
        </w:tc>
        <w:tc>
          <w:tcPr>
            <w:tcW w:w="2721" w:type="dxa"/>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规划局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关于《潮宗街历史文化街区保护规划》的批复（长政函[2016]76号文</w:t>
            </w:r>
          </w:p>
        </w:tc>
        <w:tc>
          <w:tcPr>
            <w:tcW w:w="2721" w:type="dxa"/>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市人民政府</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关于同意开福区潮宗街街区地块棚改立项的批复(长棚组项[2015]15号</w:t>
            </w:r>
          </w:p>
        </w:tc>
        <w:tc>
          <w:tcPr>
            <w:tcW w:w="2721" w:type="dxa"/>
          </w:tcPr>
          <w:p>
            <w:pPr>
              <w:rPr>
                <w:vertAlign w:val="baseline"/>
              </w:rPr>
            </w:pPr>
            <w:r>
              <w:rPr>
                <w:rFonts w:hint="eastAsia"/>
                <w:vertAlign w:val="baseline"/>
                <w:lang w:val="en-US" w:eastAsia="zh-CN"/>
              </w:rPr>
              <w:t>被告</w:t>
            </w:r>
            <w:r>
              <w:rPr>
                <w:rFonts w:hint="eastAsia"/>
                <w:vertAlign w:val="baseline"/>
              </w:rPr>
              <w:t>将征收项目纳入棚户区改造</w:t>
            </w:r>
            <w:r>
              <w:rPr>
                <w:rFonts w:hint="eastAsia"/>
                <w:vertAlign w:val="baseline"/>
                <w:lang w:eastAsia="zh-CN"/>
              </w:rPr>
              <w:t>。</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安居工程和棚户区改造工作领导小组</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开福区政府关于将潮宗街街区纳入棚户区改造的请示(开政[2015]53号</w:t>
            </w:r>
          </w:p>
        </w:tc>
        <w:tc>
          <w:tcPr>
            <w:tcW w:w="2721" w:type="dxa"/>
          </w:tcPr>
          <w:p>
            <w:pPr>
              <w:rPr>
                <w:vertAlign w:val="baseline"/>
              </w:rPr>
            </w:pPr>
            <w:r>
              <w:rPr>
                <w:rFonts w:hint="eastAsia"/>
                <w:vertAlign w:val="baseline"/>
                <w:lang w:val="en-US" w:eastAsia="zh-CN"/>
              </w:rPr>
              <w:t>被告</w:t>
            </w:r>
            <w:r>
              <w:rPr>
                <w:rFonts w:hint="eastAsia"/>
                <w:vertAlign w:val="baseline"/>
              </w:rPr>
              <w:t>将征收项目纳入棚户区改造</w:t>
            </w:r>
            <w:r>
              <w:rPr>
                <w:rFonts w:hint="eastAsia"/>
                <w:vertAlign w:val="baseline"/>
                <w:lang w:eastAsia="zh-CN"/>
              </w:rPr>
              <w:t>。</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开福区人民政府</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长沙市潮宗街片区棚户区改造及历史文化街区建设指挥部咨询服务采购项目竞争性谈判邀请公告</w:t>
            </w:r>
          </w:p>
        </w:tc>
        <w:tc>
          <w:tcPr>
            <w:tcW w:w="2721" w:type="dxa"/>
          </w:tcPr>
          <w:p>
            <w:pPr>
              <w:rPr>
                <w:vertAlign w:val="baseline"/>
              </w:rPr>
            </w:pPr>
            <w:r>
              <w:rPr>
                <w:rFonts w:hint="eastAsia"/>
                <w:vertAlign w:val="baseline"/>
                <w:lang w:val="en-US" w:eastAsia="zh-CN"/>
              </w:rPr>
              <w:t>被告</w:t>
            </w:r>
            <w:r>
              <w:rPr>
                <w:rFonts w:hint="eastAsia"/>
                <w:vertAlign w:val="baseline"/>
              </w:rPr>
              <w:t>将征收项目纳入棚户区改造</w:t>
            </w:r>
            <w:r>
              <w:rPr>
                <w:rFonts w:hint="eastAsia"/>
                <w:vertAlign w:val="baseline"/>
                <w:lang w:eastAsia="zh-CN"/>
              </w:rPr>
              <w:t>。</w:t>
            </w:r>
          </w:p>
        </w:tc>
        <w:tc>
          <w:tcPr>
            <w:tcW w:w="1489" w:type="dxa"/>
            <w:vAlign w:val="top"/>
          </w:tcPr>
          <w:p>
            <w:r>
              <w:rPr>
                <w:rFonts w:hint="eastAsia"/>
                <w:vertAlign w:val="baseline"/>
              </w:rPr>
              <w:t>长沙市潮宗街片区棚户区改造及历史文化街区建设指挥部</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长沙市2017年城市棚户区改造项目信息备案表</w:t>
            </w:r>
          </w:p>
        </w:tc>
        <w:tc>
          <w:tcPr>
            <w:tcW w:w="2721" w:type="dxa"/>
          </w:tcPr>
          <w:p>
            <w:pPr>
              <w:rPr>
                <w:rFonts w:hint="eastAsia"/>
                <w:vertAlign w:val="baseline"/>
              </w:rPr>
            </w:pPr>
            <w:r>
              <w:rPr>
                <w:rFonts w:hint="eastAsia"/>
                <w:vertAlign w:val="baseline"/>
              </w:rPr>
              <w:t>征收项目已被纳入棚户区</w:t>
            </w:r>
            <w:r>
              <w:rPr>
                <w:rFonts w:hint="eastAsia"/>
                <w:vertAlign w:val="baseline"/>
                <w:lang w:eastAsia="zh-CN"/>
              </w:rPr>
              <w:t>。</w:t>
            </w:r>
          </w:p>
        </w:tc>
        <w:tc>
          <w:tcPr>
            <w:tcW w:w="1489" w:type="dxa"/>
            <w:vAlign w:val="top"/>
          </w:tcPr>
          <w:p>
            <w:r>
              <w:rPr>
                <w:rFonts w:hint="eastAsia"/>
                <w:vertAlign w:val="baseline"/>
              </w:rPr>
              <w:t>住房保障局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长沙市2016年城市棚户区改造项目信息备案表</w:t>
            </w:r>
          </w:p>
        </w:tc>
        <w:tc>
          <w:tcPr>
            <w:tcW w:w="2721" w:type="dxa"/>
          </w:tcPr>
          <w:p>
            <w:pPr>
              <w:rPr>
                <w:rFonts w:hint="eastAsia"/>
                <w:vertAlign w:val="baseline"/>
              </w:rPr>
            </w:pPr>
            <w:r>
              <w:rPr>
                <w:rFonts w:hint="eastAsia"/>
                <w:vertAlign w:val="baseline"/>
              </w:rPr>
              <w:t>征收项目已被纳入棚户区</w:t>
            </w:r>
            <w:r>
              <w:rPr>
                <w:rFonts w:hint="eastAsia"/>
                <w:vertAlign w:val="baseline"/>
                <w:lang w:eastAsia="zh-CN"/>
              </w:rPr>
              <w:t>。</w:t>
            </w:r>
          </w:p>
        </w:tc>
        <w:tc>
          <w:tcPr>
            <w:tcW w:w="1489" w:type="dxa"/>
            <w:vAlign w:val="top"/>
          </w:tcPr>
          <w:p>
            <w:r>
              <w:rPr>
                <w:rFonts w:hint="eastAsia"/>
                <w:vertAlign w:val="baseline"/>
              </w:rPr>
              <w:t>住房保障局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《关于调整部分保障性安居工程建设项目的通知》（湘建保函[2016]337号）</w:t>
            </w:r>
          </w:p>
        </w:tc>
        <w:tc>
          <w:tcPr>
            <w:tcW w:w="2721" w:type="dxa"/>
          </w:tcPr>
          <w:p>
            <w:pPr>
              <w:rPr>
                <w:vertAlign w:val="baseline"/>
              </w:rPr>
            </w:pPr>
            <w:r>
              <w:rPr>
                <w:rFonts w:hint="eastAsia"/>
                <w:vertAlign w:val="baseline"/>
              </w:rPr>
              <w:t>征收项目已被纳入棚户区，并获得棚改资金</w:t>
            </w:r>
            <w:r>
              <w:rPr>
                <w:rFonts w:hint="eastAsia"/>
                <w:vertAlign w:val="baseline"/>
                <w:lang w:eastAsia="zh-CN"/>
              </w:rPr>
              <w:t>。</w:t>
            </w:r>
          </w:p>
        </w:tc>
        <w:tc>
          <w:tcPr>
            <w:tcW w:w="1489" w:type="dxa"/>
            <w:vAlign w:val="top"/>
          </w:tcPr>
          <w:p>
            <w:r>
              <w:rPr>
                <w:rFonts w:hint="eastAsia"/>
                <w:vertAlign w:val="baseline"/>
              </w:rPr>
              <w:t>省财政厅</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关于规范棚户区界定标准和审批程序的通知</w:t>
            </w:r>
          </w:p>
        </w:tc>
        <w:tc>
          <w:tcPr>
            <w:tcW w:w="2721" w:type="dxa"/>
          </w:tcPr>
          <w:p>
            <w:pPr>
              <w:rPr>
                <w:vertAlign w:val="baseline"/>
              </w:rPr>
            </w:pPr>
            <w:r>
              <w:rPr>
                <w:rFonts w:hint="eastAsia"/>
                <w:vertAlign w:val="baseline"/>
              </w:rPr>
              <w:t>禁止将因城市道路拓展、历史街区保护、文物修缮等带来的房屋拆迁改造项目纳入城市棚户区改造范围</w:t>
            </w:r>
            <w:r>
              <w:rPr>
                <w:rFonts w:hint="eastAsia"/>
                <w:vertAlign w:val="baseline"/>
                <w:lang w:eastAsia="zh-CN"/>
              </w:rPr>
              <w:t>。</w:t>
            </w:r>
          </w:p>
        </w:tc>
        <w:tc>
          <w:tcPr>
            <w:tcW w:w="1489" w:type="dxa"/>
            <w:vAlign w:val="top"/>
          </w:tcPr>
          <w:p>
            <w:r>
              <w:rPr>
                <w:rFonts w:hint="eastAsia"/>
                <w:vertAlign w:val="baseline"/>
              </w:rPr>
              <w:t>住房保障局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《住房城乡建设部办公厅关于棚户区界定标准有关问题的通知》（建办保函〔2014〕535号）</w:t>
            </w:r>
          </w:p>
        </w:tc>
        <w:tc>
          <w:tcPr>
            <w:tcW w:w="2721" w:type="dxa"/>
          </w:tcPr>
          <w:p>
            <w:pPr>
              <w:rPr>
                <w:vertAlign w:val="baseline"/>
              </w:rPr>
            </w:pPr>
            <w:r>
              <w:rPr>
                <w:rFonts w:hint="eastAsia"/>
                <w:vertAlign w:val="baseline"/>
              </w:rPr>
              <w:t>禁止将因城市道路拓展、历史街区保护、文物修缮等带来的房屋拆迁改造项目纳入城市棚户区改造范围</w:t>
            </w:r>
            <w:r>
              <w:rPr>
                <w:rFonts w:hint="eastAsia"/>
                <w:vertAlign w:val="baseline"/>
                <w:lang w:eastAsia="zh-CN"/>
              </w:rPr>
              <w:t>。</w:t>
            </w:r>
          </w:p>
        </w:tc>
        <w:tc>
          <w:tcPr>
            <w:tcW w:w="1489" w:type="dxa"/>
            <w:vAlign w:val="top"/>
          </w:tcPr>
          <w:p>
            <w:r>
              <w:rPr>
                <w:rFonts w:hint="eastAsia"/>
                <w:vertAlign w:val="baseline"/>
              </w:rPr>
              <w:t>住房保障局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国务院关于加快棚户区改造工作的意见</w:t>
            </w:r>
            <w:r>
              <w:rPr>
                <w:rFonts w:hint="eastAsia" w:ascii="宋体" w:hAnsi="宋体" w:eastAsia="宋体" w:cs="宋体"/>
                <w:b/>
                <w:i w:val="0"/>
                <w:color w:val="000000"/>
                <w:kern w:val="0"/>
                <w:sz w:val="22"/>
                <w:szCs w:val="22"/>
                <w:u w:val="none"/>
                <w:lang w:val="en-US" w:eastAsia="zh-CN" w:bidi="ar"/>
              </w:rPr>
              <w:br w:type="textWrapping"/>
            </w:r>
            <w:r>
              <w:rPr>
                <w:rFonts w:hint="eastAsia" w:ascii="宋体" w:hAnsi="宋体" w:eastAsia="宋体" w:cs="宋体"/>
                <w:b/>
                <w:i w:val="0"/>
                <w:color w:val="000000"/>
                <w:kern w:val="0"/>
                <w:sz w:val="22"/>
                <w:szCs w:val="22"/>
                <w:u w:val="none"/>
                <w:lang w:val="en-US" w:eastAsia="zh-CN" w:bidi="ar"/>
              </w:rPr>
              <w:t>国发〔2013〕25号</w:t>
            </w:r>
          </w:p>
        </w:tc>
        <w:tc>
          <w:tcPr>
            <w:tcW w:w="2721" w:type="dxa"/>
          </w:tcPr>
          <w:p>
            <w:pPr>
              <w:rPr>
                <w:vertAlign w:val="baseline"/>
              </w:rPr>
            </w:pPr>
            <w:r>
              <w:rPr>
                <w:rFonts w:hint="eastAsia"/>
                <w:vertAlign w:val="baseline"/>
              </w:rPr>
              <w:t>禁止将因城市道路拓展、历史街区保护、文物修缮等带来的房屋拆迁改造项目纳入城市棚户区改造范围</w:t>
            </w:r>
            <w:r>
              <w:rPr>
                <w:rFonts w:hint="eastAsia"/>
                <w:vertAlign w:val="baseline"/>
                <w:lang w:eastAsia="zh-CN"/>
              </w:rPr>
              <w:t>。</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国务院</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《长沙市政府购买棚户区改造服务管理暂行办法》的通知长政办发〔2015〕64号</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val="0"/>
                <w:i w:val="0"/>
                <w:caps w:val="0"/>
                <w:color w:val="000000"/>
                <w:spacing w:val="0"/>
                <w:sz w:val="24"/>
                <w:szCs w:val="24"/>
                <w:shd w:val="clear" w:fill="FFFFFF"/>
              </w:rPr>
              <w:t>市人民政府授权市住房保障局作为政府购买棚户区改造服务的购买主体，由其依法开展政府购买棚户区改造服务活动</w:t>
            </w:r>
            <w:r>
              <w:rPr>
                <w:rFonts w:hint="eastAsia" w:ascii="宋体" w:hAnsi="宋体" w:eastAsia="宋体" w:cs="宋体"/>
                <w:b w:val="0"/>
                <w:i w:val="0"/>
                <w:caps w:val="0"/>
                <w:color w:val="000000"/>
                <w:spacing w:val="0"/>
                <w:sz w:val="24"/>
                <w:szCs w:val="24"/>
                <w:shd w:val="clear" w:fill="FFFFFF"/>
                <w:lang w:eastAsia="zh-CN"/>
              </w:rPr>
              <w:t>。</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市人民政府</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公证书（2016）湘长星证民字第2369号</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公证员未核查申请人《事业单位法人证书》或《公司营业执照》、法定代表人及委托代理人的身份证、授权委托书等证据材料是否真实有效。</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长沙星城公证处</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二O一五年公证员年度考核备案花名册</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彭青未通过2015年公证员年度考核，在2016年5月5日当天已不具备公证员资格。</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市司法局</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《湖南省房地产评估机构资质管理规定》(湘建房[2002]78号</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评估机构在估价时点不具备评估资格。</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湖南省人民政府</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潮宗街棚改项目征收评估信息发布及房地产价格评估机构报名公告</w:t>
            </w:r>
          </w:p>
        </w:tc>
        <w:tc>
          <w:tcPr>
            <w:tcW w:w="272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 xml:space="preserve">报名条件为：已申请纳入长沙市国有土地房屋征收评估机构备选库的机构，而非268号令第九条第二款规定（二）房地产价格评估机构备选库中具有相应资质的房地产价格评估机构报名。                                                                                                                                                                                                                                                                                                                                                                                                                                                                                                                                                                                                                                                                                                                                                                                                                                                                                                                                                                                                                                                                                     </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区征收办</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房地产价格评估机构的委托合同</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合同内容有涂改部分。</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区征收办</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潮宗街项目整体（基准价格）初步评估结果</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复制件的印章与原件不一致。</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区征收办</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征收补偿安置资金证明</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资金证明不合法；根据《国有土地上房屋征收与补偿条例》第十二条规定，征收补偿费用应足额拨付到位，在指定的金融机构专户储存，专项用于房屋征收与补偿，不得挪作他用。</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区征收办</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公报</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项目建设单位尚未成立及主体资格尚不具备法定效力。就已经被列入棚改计划的项目建设单位。</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长沙市人大</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棚改项目定向住宅房预定合同（福泽园）</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开福区政府未填写日期，该合同不具备合法效力。</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开福区人民政府</w:t>
            </w:r>
          </w:p>
        </w:tc>
        <w:tc>
          <w:tcPr>
            <w:tcW w:w="1061" w:type="dxa"/>
          </w:tcPr>
          <w:p>
            <w:pPr>
              <w:rPr>
                <w:vertAlign w:val="baseline"/>
              </w:rPr>
            </w:pPr>
          </w:p>
        </w:tc>
        <w:tc>
          <w:tcPr>
            <w:tcW w:w="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0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福泽园竣工日期</w:t>
            </w:r>
          </w:p>
        </w:tc>
        <w:tc>
          <w:tcPr>
            <w:tcW w:w="272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福泽园竣工日期在估价时点之后，另外未达到普通商品房质量标准和设计规范，不具备产权置换条件。</w:t>
            </w:r>
          </w:p>
        </w:tc>
        <w:tc>
          <w:tcPr>
            <w:tcW w:w="1489"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住建委</w:t>
            </w:r>
          </w:p>
        </w:tc>
        <w:tc>
          <w:tcPr>
            <w:tcW w:w="1061" w:type="dxa"/>
          </w:tcPr>
          <w:p>
            <w:pPr>
              <w:rPr>
                <w:vertAlign w:val="baseline"/>
              </w:rPr>
            </w:pPr>
          </w:p>
        </w:tc>
        <w:tc>
          <w:tcPr>
            <w:tcW w:w="997" w:type="dxa"/>
          </w:tcPr>
          <w:p>
            <w:pPr>
              <w:rPr>
                <w:vertAlign w:val="baseline"/>
              </w:rPr>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仿宋" w:hAnsi="仿宋" w:cs="仿宋"/>
        <w:sz w:val="28"/>
        <w:szCs w:val="28"/>
      </w:rPr>
    </w:pPr>
    <w:r>
      <w:rPr>
        <w:rFonts w:hint="eastAsia" w:ascii="仿宋" w:hAnsi="仿宋" w:eastAsia="仿宋" w:cs="仿宋"/>
        <w:sz w:val="28"/>
        <w:szCs w:val="28"/>
      </w:rPr>
      <w:t>提交人：</w:t>
    </w:r>
    <w:r>
      <w:rPr>
        <w:rFonts w:hint="eastAsia" w:ascii="仿宋" w:hAnsi="仿宋" w:eastAsia="仿宋" w:cs="仿宋"/>
        <w:sz w:val="28"/>
        <w:szCs w:val="28"/>
        <w:lang w:val="en-US" w:eastAsia="zh-CN"/>
      </w:rPr>
      <w:t>王细罗</w:t>
    </w:r>
    <w:r>
      <w:rPr>
        <w:rFonts w:hint="eastAsia" w:ascii="仿宋" w:hAnsi="仿宋" w:eastAsia="仿宋" w:cs="仿宋"/>
        <w:sz w:val="28"/>
        <w:szCs w:val="28"/>
      </w:rPr>
      <w:t xml:space="preserve">               日期：</w:t>
    </w:r>
    <w:r>
      <w:rPr>
        <w:rFonts w:hint="eastAsia" w:ascii="仿宋" w:hAnsi="仿宋" w:eastAsia="仿宋" w:cs="仿宋"/>
        <w:sz w:val="28"/>
        <w:szCs w:val="28"/>
        <w:lang w:val="en-US" w:eastAsia="zh-CN"/>
      </w:rPr>
      <w:t>20180515</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ascii="仿宋_GB2312" w:hAnsi="仿宋_GB2312" w:eastAsia="仿宋_GB2312" w:cs="仿宋_GB2312"/>
        <w:b/>
        <w:bCs/>
        <w:sz w:val="36"/>
        <w:szCs w:val="36"/>
      </w:rPr>
    </w:pPr>
    <w:r>
      <w:rPr>
        <w:rFonts w:hint="eastAsia" w:ascii="仿宋" w:hAnsi="仿宋" w:eastAsia="仿宋" w:cs="仿宋"/>
        <w:b/>
        <w:bCs/>
        <w:sz w:val="28"/>
        <w:szCs w:val="28"/>
      </w:rPr>
      <w:t>证据提交清单（证据目录）</w:t>
    </w:r>
    <w:r>
      <w:rPr>
        <w:rFonts w:hint="eastAsia" w:ascii="仿宋" w:hAnsi="仿宋" w:eastAsia="仿宋" w:cs="仿宋"/>
        <w:sz w:val="28"/>
        <w:szCs w:val="28"/>
      </w:rPr>
      <w:t xml:space="preserve"> 案号：</w:t>
    </w:r>
    <w:r>
      <w:rPr>
        <w:rFonts w:hint="eastAsia" w:ascii="宋体" w:hAnsi="宋体" w:cs="仿宋"/>
        <w:sz w:val="28"/>
        <w:szCs w:val="28"/>
      </w:rPr>
      <w:t>〔</w:t>
    </w:r>
    <w:r>
      <w:rPr>
        <w:rFonts w:hint="eastAsia" w:ascii="仿宋" w:hAnsi="仿宋" w:cs="仿宋"/>
        <w:sz w:val="28"/>
        <w:szCs w:val="28"/>
      </w:rPr>
      <w:t>201</w:t>
    </w:r>
    <w:r>
      <w:rPr>
        <w:rFonts w:hint="eastAsia" w:ascii="仿宋" w:hAnsi="仿宋" w:cs="仿宋"/>
        <w:sz w:val="28"/>
        <w:szCs w:val="28"/>
        <w:lang w:val="en-US" w:eastAsia="zh-CN"/>
      </w:rPr>
      <w:t>8</w:t>
    </w:r>
    <w:r>
      <w:rPr>
        <w:rFonts w:hint="eastAsia" w:ascii="仿宋" w:hAnsi="仿宋" w:cs="仿宋"/>
        <w:sz w:val="28"/>
        <w:szCs w:val="28"/>
      </w:rPr>
      <w:t xml:space="preserve"> </w:t>
    </w:r>
    <w:r>
      <w:rPr>
        <w:rFonts w:hint="eastAsia" w:ascii="宋体" w:hAnsi="宋体" w:cs="仿宋"/>
        <w:sz w:val="28"/>
        <w:szCs w:val="28"/>
      </w:rPr>
      <w:t>〕</w:t>
    </w:r>
    <w:r>
      <w:rPr>
        <w:rFonts w:hint="eastAsia" w:ascii="仿宋" w:hAnsi="仿宋" w:cs="仿宋"/>
        <w:sz w:val="28"/>
        <w:szCs w:val="28"/>
      </w:rPr>
      <w:t xml:space="preserve">  号</w:t>
    </w:r>
  </w:p>
  <w:p>
    <w:pPr>
      <w:rPr>
        <w:rFonts w:hint="eastAsia" w:ascii="仿宋" w:hAnsi="仿宋" w:cs="仿宋"/>
        <w:sz w:val="28"/>
        <w:szCs w:val="28"/>
      </w:rPr>
    </w:pPr>
    <w:r>
      <w:rPr>
        <w:rFonts w:hint="eastAsia" w:ascii="仿宋" w:hAnsi="仿宋" w:eastAsia="仿宋" w:cs="仿宋"/>
        <w:sz w:val="28"/>
        <w:szCs w:val="28"/>
      </w:rPr>
      <w:t xml:space="preserve">             </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1EBEF"/>
    <w:multiLevelType w:val="singleLevel"/>
    <w:tmpl w:val="5AD1EBE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F0C22"/>
    <w:rsid w:val="0E7444A5"/>
    <w:rsid w:val="11452B11"/>
    <w:rsid w:val="132C59C0"/>
    <w:rsid w:val="1C3F0C22"/>
    <w:rsid w:val="1F853783"/>
    <w:rsid w:val="26885193"/>
    <w:rsid w:val="44E62BDA"/>
    <w:rsid w:val="4848303D"/>
    <w:rsid w:val="4CC17042"/>
    <w:rsid w:val="695138F2"/>
    <w:rsid w:val="69F66EB4"/>
    <w:rsid w:val="6B64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2018-04-14T11:20:00Z</dcterms:created>
  <dc:creator>Stallone</dc:creator>
  <cp:lastModifiedBy>Stallone</cp:lastModifiedBy>
  <dcterms:modified xsi:type="dcterms:W3CDTF">2018-05-04T12:25:11Z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