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871" w:type="dxa"/>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
        <w:gridCol w:w="2525"/>
        <w:gridCol w:w="3118"/>
        <w:gridCol w:w="1475"/>
        <w:gridCol w:w="400"/>
        <w:gridCol w:w="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shd w:val="clear" w:color="auto" w:fill="F1F1F1" w:themeFill="background1" w:themeFillShade="F2"/>
          </w:tcPr>
          <w:p>
            <w:pPr>
              <w:rPr>
                <w:rFonts w:hint="eastAsia" w:eastAsiaTheme="minorEastAsia"/>
                <w:b/>
                <w:bCs/>
                <w:vertAlign w:val="baseline"/>
                <w:lang w:eastAsia="zh-CN"/>
              </w:rPr>
            </w:pPr>
            <w:r>
              <w:rPr>
                <w:rFonts w:hint="eastAsia"/>
                <w:b/>
                <w:bCs/>
                <w:vertAlign w:val="baseline"/>
                <w:lang w:val="en-US" w:eastAsia="zh-CN"/>
              </w:rPr>
              <w:t>ID</w:t>
            </w:r>
          </w:p>
        </w:tc>
        <w:tc>
          <w:tcPr>
            <w:tcW w:w="2525" w:type="dxa"/>
            <w:shd w:val="clear" w:color="auto" w:fill="F1F1F1" w:themeFill="background1" w:themeFillShade="F2"/>
          </w:tcPr>
          <w:p>
            <w:pPr>
              <w:rPr>
                <w:b/>
                <w:bCs/>
                <w:vertAlign w:val="baseline"/>
              </w:rPr>
            </w:pPr>
            <w:r>
              <w:rPr>
                <w:rFonts w:hint="eastAsia"/>
                <w:b/>
                <w:bCs/>
                <w:vertAlign w:val="baseline"/>
              </w:rPr>
              <w:t>证据名称</w:t>
            </w:r>
          </w:p>
        </w:tc>
        <w:tc>
          <w:tcPr>
            <w:tcW w:w="3118" w:type="dxa"/>
            <w:shd w:val="clear" w:color="auto" w:fill="F1F1F1" w:themeFill="background1" w:themeFillShade="F2"/>
          </w:tcPr>
          <w:p>
            <w:pPr>
              <w:rPr>
                <w:b/>
                <w:bCs/>
                <w:vertAlign w:val="baseline"/>
              </w:rPr>
            </w:pPr>
            <w:r>
              <w:rPr>
                <w:rFonts w:hint="eastAsia"/>
                <w:b/>
                <w:bCs/>
              </w:rPr>
              <w:t>证明内容（目的）</w:t>
            </w:r>
          </w:p>
        </w:tc>
        <w:tc>
          <w:tcPr>
            <w:tcW w:w="1475" w:type="dxa"/>
            <w:shd w:val="clear" w:color="auto" w:fill="F1F1F1" w:themeFill="background1" w:themeFillShade="F2"/>
            <w:vAlign w:val="top"/>
          </w:tcPr>
          <w:p>
            <w:r>
              <w:rPr>
                <w:rFonts w:hint="eastAsia"/>
                <w:b/>
                <w:bCs/>
                <w:vertAlign w:val="baseline"/>
              </w:rPr>
              <w:t>证据来源</w:t>
            </w:r>
          </w:p>
        </w:tc>
        <w:tc>
          <w:tcPr>
            <w:tcW w:w="400" w:type="dxa"/>
            <w:shd w:val="clear" w:color="auto" w:fill="F1F1F1" w:themeFill="background1" w:themeFillShade="F2"/>
          </w:tcPr>
          <w:p>
            <w:pPr>
              <w:rPr>
                <w:rFonts w:hint="eastAsia"/>
                <w:b/>
                <w:bCs/>
                <w:vertAlign w:val="baseline"/>
              </w:rPr>
            </w:pPr>
            <w:r>
              <w:rPr>
                <w:rFonts w:hint="eastAsia"/>
                <w:b/>
                <w:bCs/>
                <w:vertAlign w:val="baseline"/>
              </w:rPr>
              <w:t>页码</w:t>
            </w:r>
          </w:p>
        </w:tc>
        <w:tc>
          <w:tcPr>
            <w:tcW w:w="837" w:type="dxa"/>
            <w:shd w:val="clear" w:color="auto" w:fill="F1F1F1" w:themeFill="background1" w:themeFillShade="F2"/>
          </w:tcPr>
          <w:p>
            <w:pPr>
              <w:rPr>
                <w:b/>
                <w:bCs/>
                <w:vertAlign w:val="baseline"/>
              </w:rPr>
            </w:pPr>
            <w:r>
              <w:rPr>
                <w:rFonts w:hint="eastAsia"/>
                <w:b/>
                <w:bCs/>
                <w:vertAlign w:val="baseli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 xml:space="preserve">上诉人的户口与身份证复印件 </w:t>
            </w:r>
          </w:p>
        </w:tc>
        <w:tc>
          <w:tcPr>
            <w:tcW w:w="3118"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上诉人是适格的诉讼主体。</w:t>
            </w:r>
          </w:p>
        </w:tc>
        <w:tc>
          <w:tcPr>
            <w:tcW w:w="1475"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市公安局</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上诉人合法拥有的房产证复印件</w:t>
            </w:r>
          </w:p>
        </w:tc>
        <w:tc>
          <w:tcPr>
            <w:tcW w:w="31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上诉人在被征收范围内合法拥有被征收房屋。</w:t>
            </w:r>
          </w:p>
        </w:tc>
        <w:tc>
          <w:tcPr>
            <w:tcW w:w="1475"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市房产局</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委托书一份</w:t>
            </w:r>
          </w:p>
        </w:tc>
        <w:tc>
          <w:tcPr>
            <w:tcW w:w="31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委托人已委托受托人进行诉讼。</w:t>
            </w:r>
          </w:p>
        </w:tc>
        <w:tc>
          <w:tcPr>
            <w:tcW w:w="1475"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上诉人</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二O一五年公证员年度考核备案花名册</w:t>
            </w:r>
          </w:p>
        </w:tc>
        <w:tc>
          <w:tcPr>
            <w:tcW w:w="31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彭青未通过2015年公证员年度考核，在公证时点（2016年5月5日）当天已不具备公证员资格。</w:t>
            </w:r>
          </w:p>
        </w:tc>
        <w:tc>
          <w:tcPr>
            <w:tcW w:w="147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市司法局</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《湖南省房地产评估机构资质管理规定》(湘建房[2002]78号</w:t>
            </w:r>
          </w:p>
        </w:tc>
        <w:tc>
          <w:tcPr>
            <w:tcW w:w="31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评估机构在估价时点不具备评估资格。</w:t>
            </w:r>
          </w:p>
        </w:tc>
        <w:tc>
          <w:tcPr>
            <w:tcW w:w="147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湖南省人民政府</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房地产价格评估机构的委托合同</w:t>
            </w:r>
          </w:p>
        </w:tc>
        <w:tc>
          <w:tcPr>
            <w:tcW w:w="31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合同内容有涂改部分，原告对委托评估机构的委托合同合法性存疑。</w:t>
            </w:r>
          </w:p>
        </w:tc>
        <w:tc>
          <w:tcPr>
            <w:tcW w:w="147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区征收办</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i w:val="0"/>
                <w:color w:val="000000"/>
                <w:kern w:val="0"/>
                <w:sz w:val="22"/>
                <w:szCs w:val="22"/>
                <w:u w:val="none"/>
                <w:lang w:val="en-US" w:eastAsia="zh-CN" w:bidi="ar"/>
              </w:rPr>
              <w:t>国务院关于长沙市城市总体规划的批复（国函[2014]45号</w:t>
            </w:r>
          </w:p>
        </w:tc>
        <w:tc>
          <w:tcPr>
            <w:tcW w:w="3118"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原则同意长沙市城市总体规划（2003-2020）（2014年修订）</w:t>
            </w:r>
          </w:p>
        </w:tc>
        <w:tc>
          <w:tcPr>
            <w:tcW w:w="1475"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国务院</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val="0"/>
                <w:bCs/>
                <w:i w:val="0"/>
                <w:color w:val="000000"/>
                <w:kern w:val="0"/>
                <w:sz w:val="22"/>
                <w:szCs w:val="22"/>
                <w:u w:val="none"/>
                <w:lang w:val="en-US" w:eastAsia="zh-CN" w:bidi="ar"/>
              </w:rPr>
              <w:t>长沙市国民经济和社会发展第十二个五年规划纲要</w:t>
            </w:r>
          </w:p>
        </w:tc>
        <w:tc>
          <w:tcPr>
            <w:tcW w:w="3118"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加强太平街、潮宗街、西文庙坪街、镇等历史文化街区、文化名镇保护和建设。证明潮宗街属于历史文化街区！</w:t>
            </w:r>
          </w:p>
        </w:tc>
        <w:tc>
          <w:tcPr>
            <w:tcW w:w="1475"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住房保障局</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i w:val="0"/>
                <w:color w:val="000000"/>
                <w:kern w:val="0"/>
                <w:sz w:val="22"/>
                <w:szCs w:val="22"/>
                <w:u w:val="none"/>
                <w:lang w:val="en-US" w:eastAsia="zh-CN" w:bidi="ar"/>
              </w:rPr>
              <w:t>国务院关于加快棚户区改造工作的意见</w:t>
            </w:r>
            <w:r>
              <w:rPr>
                <w:rFonts w:hint="eastAsia" w:ascii="宋体" w:hAnsi="宋体" w:eastAsia="宋体" w:cs="宋体"/>
                <w:b/>
                <w:i w:val="0"/>
                <w:color w:val="000000"/>
                <w:kern w:val="0"/>
                <w:sz w:val="22"/>
                <w:szCs w:val="22"/>
                <w:u w:val="none"/>
                <w:lang w:val="en-US" w:eastAsia="zh-CN" w:bidi="ar"/>
              </w:rPr>
              <w:br w:type="textWrapping"/>
            </w:r>
            <w:r>
              <w:rPr>
                <w:rFonts w:hint="eastAsia" w:ascii="宋体" w:hAnsi="宋体" w:eastAsia="宋体" w:cs="宋体"/>
                <w:b/>
                <w:i w:val="0"/>
                <w:color w:val="000000"/>
                <w:kern w:val="0"/>
                <w:sz w:val="22"/>
                <w:szCs w:val="22"/>
                <w:u w:val="none"/>
                <w:lang w:val="en-US" w:eastAsia="zh-CN" w:bidi="ar"/>
              </w:rPr>
              <w:t>国发〔2013〕25号</w:t>
            </w:r>
          </w:p>
        </w:tc>
        <w:tc>
          <w:tcPr>
            <w:tcW w:w="3118" w:type="dxa"/>
            <w:vAlign w:val="top"/>
          </w:tcPr>
          <w:p>
            <w:pPr>
              <w:rPr>
                <w:vertAlign w:val="baseline"/>
              </w:rPr>
            </w:pPr>
            <w:r>
              <w:rPr>
                <w:rFonts w:hint="eastAsia"/>
                <w:vertAlign w:val="baseline"/>
              </w:rPr>
              <w:t>禁止将因城市道路拓展、历史街区保护、文物修缮等带来的房屋拆迁改造项目纳入城市棚户区改造范围</w:t>
            </w:r>
            <w:r>
              <w:rPr>
                <w:rFonts w:hint="eastAsia"/>
                <w:vertAlign w:val="baseline"/>
                <w:lang w:eastAsia="zh-CN"/>
              </w:rPr>
              <w:t>。</w:t>
            </w:r>
          </w:p>
        </w:tc>
        <w:tc>
          <w:tcPr>
            <w:tcW w:w="1475"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国务院</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numPr>
                <w:ilvl w:val="0"/>
                <w:numId w:val="2"/>
              </w:numPr>
              <w:suppressLineNumbers w:val="0"/>
              <w:jc w:val="left"/>
              <w:textAlignment w:val="center"/>
              <w:rPr>
                <w:rFonts w:hint="eastAsia"/>
                <w:vertAlign w:val="baseline"/>
              </w:rPr>
            </w:pPr>
            <w:r>
              <w:rPr>
                <w:rFonts w:hint="eastAsia"/>
                <w:vertAlign w:val="baseline"/>
              </w:rPr>
              <w:t>住房保障局对一期的回复函</w:t>
            </w:r>
          </w:p>
          <w:p>
            <w:pPr>
              <w:keepNext w:val="0"/>
              <w:keepLines w:val="0"/>
              <w:widowControl/>
              <w:numPr>
                <w:ilvl w:val="0"/>
                <w:numId w:val="2"/>
              </w:numPr>
              <w:suppressLineNumbers w:val="0"/>
              <w:jc w:val="left"/>
              <w:textAlignment w:val="center"/>
              <w:rPr>
                <w:vertAlign w:val="baseline"/>
              </w:rPr>
            </w:pPr>
            <w:r>
              <w:rPr>
                <w:rFonts w:hint="eastAsia"/>
                <w:vertAlign w:val="baseline"/>
              </w:rPr>
              <w:t>住房保障局对二期的回复函</w:t>
            </w:r>
          </w:p>
        </w:tc>
        <w:tc>
          <w:tcPr>
            <w:tcW w:w="3118" w:type="dxa"/>
            <w:vAlign w:val="center"/>
          </w:tcPr>
          <w:p>
            <w:pPr>
              <w:keepNext w:val="0"/>
              <w:keepLines w:val="0"/>
              <w:widowControl/>
              <w:suppressLineNumbers w:val="0"/>
              <w:jc w:val="left"/>
              <w:textAlignment w:val="center"/>
              <w:rPr>
                <w:vertAlign w:val="baseline"/>
              </w:rPr>
            </w:pPr>
            <w:r>
              <w:rPr>
                <w:rFonts w:hint="eastAsia"/>
                <w:vertAlign w:val="baseline"/>
              </w:rPr>
              <w:t>证明：潮宗街一期并不是政府购买棚改服务项目，开福棚改投也不是有效的政府购买棚户区改造服务的购买主体</w:t>
            </w:r>
          </w:p>
        </w:tc>
        <w:tc>
          <w:tcPr>
            <w:tcW w:w="1475" w:type="dxa"/>
            <w:vAlign w:val="center"/>
          </w:tcPr>
          <w:p>
            <w:pPr>
              <w:keepNext w:val="0"/>
              <w:keepLines w:val="0"/>
              <w:widowControl/>
              <w:suppressLineNumbers w:val="0"/>
              <w:jc w:val="left"/>
              <w:textAlignment w:val="center"/>
              <w:rPr>
                <w:rFonts w:hint="eastAsia" w:eastAsiaTheme="minorEastAsia"/>
                <w:lang w:val="en-US" w:eastAsia="zh-CN"/>
              </w:rPr>
            </w:pPr>
            <w:r>
              <w:rPr>
                <w:rFonts w:hint="eastAsia" w:ascii="宋体" w:hAnsi="宋体" w:eastAsia="宋体" w:cs="宋体"/>
                <w:i w:val="0"/>
                <w:color w:val="000000"/>
                <w:kern w:val="0"/>
                <w:sz w:val="22"/>
                <w:szCs w:val="22"/>
                <w:u w:val="none"/>
                <w:lang w:val="en-US" w:eastAsia="zh-CN" w:bidi="ar"/>
              </w:rPr>
              <w:t>住房保障局</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numPr>
                <w:ilvl w:val="0"/>
                <w:numId w:val="3"/>
              </w:numPr>
              <w:suppressLineNumbers w:val="0"/>
              <w:jc w:val="left"/>
              <w:textAlignment w:val="center"/>
              <w:rPr>
                <w:rFonts w:hint="eastAsia"/>
                <w:vertAlign w:val="baseline"/>
              </w:rPr>
            </w:pPr>
            <w:r>
              <w:rPr>
                <w:rFonts w:hint="eastAsia"/>
                <w:vertAlign w:val="baseline"/>
              </w:rPr>
              <w:t>区政府与区征收办无委托关系</w:t>
            </w:r>
          </w:p>
          <w:p>
            <w:pPr>
              <w:keepNext w:val="0"/>
              <w:keepLines w:val="0"/>
              <w:widowControl/>
              <w:numPr>
                <w:ilvl w:val="0"/>
                <w:numId w:val="3"/>
              </w:numPr>
              <w:suppressLineNumbers w:val="0"/>
              <w:jc w:val="left"/>
              <w:textAlignment w:val="center"/>
              <w:rPr>
                <w:vertAlign w:val="baseline"/>
              </w:rPr>
            </w:pPr>
            <w:r>
              <w:rPr>
                <w:rFonts w:hint="eastAsia"/>
                <w:vertAlign w:val="baseline"/>
              </w:rPr>
              <w:t>区征收办与指挥部有委托关系</w:t>
            </w:r>
          </w:p>
        </w:tc>
        <w:tc>
          <w:tcPr>
            <w:tcW w:w="3118" w:type="dxa"/>
            <w:vAlign w:val="center"/>
          </w:tcPr>
          <w:p>
            <w:pPr>
              <w:keepNext w:val="0"/>
              <w:keepLines w:val="0"/>
              <w:widowControl/>
              <w:suppressLineNumbers w:val="0"/>
              <w:jc w:val="left"/>
              <w:textAlignment w:val="center"/>
              <w:rPr>
                <w:rFonts w:hint="eastAsia" w:eastAsiaTheme="minorEastAsia"/>
                <w:vertAlign w:val="baseline"/>
                <w:lang w:eastAsia="zh-CN"/>
              </w:rPr>
            </w:pPr>
            <w:r>
              <w:rPr>
                <w:rFonts w:hint="eastAsia"/>
                <w:vertAlign w:val="baseline"/>
              </w:rPr>
              <w:t>证明：区征收办的委托行为属于无效的行政行为，指挥部的征收工作人员为非法征收人员</w:t>
            </w:r>
          </w:p>
        </w:tc>
        <w:tc>
          <w:tcPr>
            <w:tcW w:w="1475" w:type="dxa"/>
            <w:vAlign w:val="center"/>
          </w:tcPr>
          <w:p>
            <w:pPr>
              <w:keepNext w:val="0"/>
              <w:keepLines w:val="0"/>
              <w:widowControl/>
              <w:suppressLineNumbers w:val="0"/>
              <w:jc w:val="left"/>
              <w:textAlignment w:val="center"/>
            </w:pPr>
            <w:r>
              <w:rPr>
                <w:rFonts w:hint="eastAsia"/>
                <w:lang w:val="en-US" w:eastAsia="zh-CN"/>
              </w:rPr>
              <w:t>区政府/区征收办</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r>
              <w:rPr>
                <w:rFonts w:hint="eastAsia"/>
                <w:vertAlign w:val="baseline"/>
              </w:rPr>
              <w:t>关于潮宗街片区进行有机更新的通知</w:t>
            </w:r>
          </w:p>
        </w:tc>
        <w:tc>
          <w:tcPr>
            <w:tcW w:w="3118" w:type="dxa"/>
            <w:vAlign w:val="top"/>
          </w:tcPr>
          <w:p>
            <w:pPr>
              <w:rPr>
                <w:vertAlign w:val="baseline"/>
              </w:rPr>
            </w:pPr>
            <w:r>
              <w:rPr>
                <w:rFonts w:hint="eastAsia"/>
                <w:vertAlign w:val="baseline"/>
              </w:rPr>
              <w:t>证明：潮宗街的征收行为已经停止</w:t>
            </w:r>
          </w:p>
        </w:tc>
        <w:tc>
          <w:tcPr>
            <w:tcW w:w="1475" w:type="dxa"/>
            <w:vAlign w:val="center"/>
          </w:tcPr>
          <w:p>
            <w:pPr>
              <w:keepNext w:val="0"/>
              <w:keepLines w:val="0"/>
              <w:widowControl/>
              <w:suppressLineNumbers w:val="0"/>
              <w:jc w:val="left"/>
              <w:textAlignment w:val="center"/>
            </w:pPr>
            <w:r>
              <w:rPr>
                <w:rFonts w:hint="eastAsia"/>
                <w:lang w:val="en-US" w:eastAsia="zh-CN"/>
              </w:rPr>
              <w:t>连生街社区</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关于《潮宗街历史文化街区保护规划》的批复（长政函[2016]76号文</w:t>
            </w:r>
          </w:p>
        </w:tc>
        <w:tc>
          <w:tcPr>
            <w:tcW w:w="3118" w:type="dxa"/>
            <w:vAlign w:val="top"/>
          </w:tcPr>
          <w:p>
            <w:pPr>
              <w:rPr>
                <w:vertAlign w:val="baseline"/>
              </w:rPr>
            </w:pPr>
            <w:r>
              <w:rPr>
                <w:rFonts w:hint="eastAsia"/>
                <w:vertAlign w:val="baseline"/>
              </w:rPr>
              <w:t>征收项目符合《长沙市潮宗街历史文化街区保护规划》</w:t>
            </w:r>
            <w:r>
              <w:rPr>
                <w:rFonts w:hint="eastAsia"/>
                <w:vertAlign w:val="baseline"/>
                <w:lang w:eastAsia="zh-CN"/>
              </w:rPr>
              <w:t>。</w:t>
            </w:r>
          </w:p>
        </w:tc>
        <w:tc>
          <w:tcPr>
            <w:tcW w:w="1475"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市人民政府</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公报</w:t>
            </w:r>
          </w:p>
        </w:tc>
        <w:tc>
          <w:tcPr>
            <w:tcW w:w="3118"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项目建设单位尚未成立及主体资格尚不具备法定效力。就已经被列入棚改计划的项目建设单位。</w:t>
            </w:r>
          </w:p>
        </w:tc>
        <w:tc>
          <w:tcPr>
            <w:tcW w:w="1475"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长沙市人大</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关于福泽园竣工日期的信息公开回复</w:t>
            </w:r>
          </w:p>
        </w:tc>
        <w:tc>
          <w:tcPr>
            <w:tcW w:w="3118"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福泽园竣工日期在估价时点之后，另外未达到普通商品房质量标准和设计规范，不具备产权置换条件。</w:t>
            </w:r>
          </w:p>
        </w:tc>
        <w:tc>
          <w:tcPr>
            <w:tcW w:w="1475"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住建委</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潮宗街项目整体（基准价格）初步评估结果</w:t>
            </w:r>
          </w:p>
        </w:tc>
        <w:tc>
          <w:tcPr>
            <w:tcW w:w="3118"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复制件的印章与原件不一致。</w:t>
            </w:r>
          </w:p>
        </w:tc>
        <w:tc>
          <w:tcPr>
            <w:tcW w:w="1475"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区征收办</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关于同意开福区潮宗街街区地块棚改立项的批复(长棚组项[2015]15号</w:t>
            </w:r>
          </w:p>
        </w:tc>
        <w:tc>
          <w:tcPr>
            <w:tcW w:w="3118" w:type="dxa"/>
            <w:vAlign w:val="top"/>
          </w:tcPr>
          <w:p>
            <w:pPr>
              <w:rPr>
                <w:vertAlign w:val="baseline"/>
              </w:rPr>
            </w:pPr>
            <w:r>
              <w:rPr>
                <w:rFonts w:hint="eastAsia"/>
                <w:vertAlign w:val="baseline"/>
                <w:lang w:val="en-US" w:eastAsia="zh-CN"/>
              </w:rPr>
              <w:t>由临时机构作出的潮宗街棚改立项批复</w:t>
            </w:r>
            <w:r>
              <w:rPr>
                <w:rFonts w:hint="eastAsia"/>
                <w:vertAlign w:val="baseline"/>
                <w:lang w:eastAsia="zh-CN"/>
              </w:rPr>
              <w:t>。</w:t>
            </w:r>
          </w:p>
        </w:tc>
        <w:tc>
          <w:tcPr>
            <w:tcW w:w="1475"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安居工程和棚户区改造工作领导小组</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r>
              <w:rPr>
                <w:rFonts w:hint="eastAsia" w:ascii="宋体" w:hAnsi="宋体" w:eastAsia="宋体" w:cs="宋体"/>
                <w:i w:val="0"/>
                <w:color w:val="000000"/>
                <w:kern w:val="0"/>
                <w:sz w:val="22"/>
                <w:szCs w:val="22"/>
                <w:u w:val="none"/>
                <w:lang w:val="en-US" w:eastAsia="zh-CN" w:bidi="ar"/>
              </w:rPr>
              <w:t>开福区政府关于将潮宗街街区纳入棚户区改造的请示(开政[2015]53号</w:t>
            </w:r>
          </w:p>
        </w:tc>
        <w:tc>
          <w:tcPr>
            <w:tcW w:w="3118" w:type="dxa"/>
            <w:vAlign w:val="top"/>
          </w:tcPr>
          <w:p>
            <w:pPr>
              <w:rPr>
                <w:vertAlign w:val="baseline"/>
              </w:rPr>
            </w:pPr>
            <w:r>
              <w:rPr>
                <w:rFonts w:hint="eastAsia"/>
                <w:vertAlign w:val="baseline"/>
                <w:lang w:val="en-US" w:eastAsia="zh-CN"/>
              </w:rPr>
              <w:t>被告</w:t>
            </w:r>
            <w:r>
              <w:rPr>
                <w:rFonts w:hint="eastAsia"/>
                <w:vertAlign w:val="baseline"/>
              </w:rPr>
              <w:t>将征收项目纳入棚户区改造</w:t>
            </w:r>
            <w:r>
              <w:rPr>
                <w:rFonts w:hint="eastAsia"/>
                <w:vertAlign w:val="baseline"/>
                <w:lang w:eastAsia="zh-CN"/>
              </w:rPr>
              <w:t>。</w:t>
            </w:r>
          </w:p>
        </w:tc>
        <w:tc>
          <w:tcPr>
            <w:tcW w:w="1475" w:type="dxa"/>
            <w:vAlign w:val="center"/>
          </w:tcPr>
          <w:p>
            <w:pPr>
              <w:keepNext w:val="0"/>
              <w:keepLines w:val="0"/>
              <w:widowControl/>
              <w:suppressLineNumbers w:val="0"/>
              <w:jc w:val="left"/>
              <w:textAlignment w:val="center"/>
            </w:pPr>
            <w:r>
              <w:rPr>
                <w:rFonts w:hint="eastAsia" w:ascii="宋体" w:hAnsi="宋体" w:eastAsia="宋体" w:cs="宋体"/>
                <w:i w:val="0"/>
                <w:color w:val="000000"/>
                <w:kern w:val="0"/>
                <w:sz w:val="22"/>
                <w:szCs w:val="22"/>
                <w:u w:val="none"/>
                <w:lang w:val="en-US" w:eastAsia="zh-CN" w:bidi="ar"/>
              </w:rPr>
              <w:t>开福区人民政府</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bCs/>
                <w:i w:val="0"/>
                <w:color w:val="000000"/>
                <w:kern w:val="0"/>
                <w:sz w:val="22"/>
                <w:szCs w:val="22"/>
                <w:u w:val="none"/>
                <w:lang w:val="en-US" w:eastAsia="zh-CN" w:bidi="ar"/>
              </w:rPr>
              <w:t>《长沙市政府购买棚户区改造服务管理暂行办法》的通知长政办发〔2015〕64号</w:t>
            </w:r>
          </w:p>
        </w:tc>
        <w:tc>
          <w:tcPr>
            <w:tcW w:w="3118"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val="0"/>
                <w:i w:val="0"/>
                <w:caps w:val="0"/>
                <w:color w:val="000000"/>
                <w:spacing w:val="0"/>
                <w:sz w:val="24"/>
                <w:szCs w:val="24"/>
                <w:shd w:val="clear" w:fill="FFFFFF"/>
              </w:rPr>
              <w:t>市人民政府授权市住房保障局作为政府购买棚户区改造服务的购买主体，由其依法开展政府购买棚户区改造服务活动</w:t>
            </w:r>
            <w:r>
              <w:rPr>
                <w:rFonts w:hint="eastAsia" w:ascii="宋体" w:hAnsi="宋体" w:eastAsia="宋体" w:cs="宋体"/>
                <w:b w:val="0"/>
                <w:i w:val="0"/>
                <w:caps w:val="0"/>
                <w:color w:val="000000"/>
                <w:spacing w:val="0"/>
                <w:sz w:val="24"/>
                <w:szCs w:val="24"/>
                <w:shd w:val="clear" w:fill="FFFFFF"/>
                <w:lang w:eastAsia="zh-CN"/>
              </w:rPr>
              <w:t>。</w:t>
            </w:r>
          </w:p>
        </w:tc>
        <w:tc>
          <w:tcPr>
            <w:tcW w:w="1475" w:type="dxa"/>
            <w:vAlign w:val="center"/>
          </w:tcPr>
          <w:p>
            <w:pPr>
              <w:keepNext w:val="0"/>
              <w:keepLines w:val="0"/>
              <w:widowControl/>
              <w:suppressLineNumbers w:val="0"/>
              <w:jc w:val="left"/>
              <w:textAlignment w:val="center"/>
            </w:pPr>
            <w:r>
              <w:rPr>
                <w:rFonts w:hint="eastAsia"/>
                <w:lang w:val="en-US" w:eastAsia="zh-CN"/>
              </w:rPr>
              <w:t>长沙市人民政府</w:t>
            </w:r>
          </w:p>
        </w:tc>
        <w:tc>
          <w:tcPr>
            <w:tcW w:w="400" w:type="dxa"/>
          </w:tcPr>
          <w:p>
            <w:pPr>
              <w:rPr>
                <w:vertAlign w:val="baseline"/>
              </w:rPr>
            </w:pPr>
          </w:p>
        </w:tc>
        <w:tc>
          <w:tcPr>
            <w:tcW w:w="837" w:type="dxa"/>
          </w:tcPr>
          <w:p>
            <w:pPr>
              <w:rPr>
                <w:vertAlign w:val="baseline"/>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vertAlign w:val="baseline"/>
              </w:rPr>
            </w:pPr>
            <w:r>
              <w:rPr>
                <w:rFonts w:hint="eastAsia" w:ascii="宋体" w:hAnsi="宋体" w:eastAsia="宋体" w:cs="宋体"/>
                <w:b/>
                <w:bCs/>
                <w:i w:val="0"/>
                <w:color w:val="000000"/>
                <w:kern w:val="0"/>
                <w:sz w:val="22"/>
                <w:szCs w:val="22"/>
                <w:u w:val="none"/>
                <w:lang w:val="en-US" w:eastAsia="zh-CN" w:bidi="ar"/>
              </w:rPr>
              <w:t>来文办理反馈意见单</w:t>
            </w:r>
          </w:p>
        </w:tc>
        <w:tc>
          <w:tcPr>
            <w:tcW w:w="3118" w:type="dxa"/>
            <w:vAlign w:val="top"/>
          </w:tcPr>
          <w:p>
            <w:pPr>
              <w:rPr>
                <w:vertAlign w:val="baseline"/>
              </w:rPr>
            </w:pPr>
            <w:r>
              <w:rPr>
                <w:rFonts w:hint="eastAsia"/>
                <w:vertAlign w:val="baseline"/>
                <w:lang w:eastAsia="zh-CN"/>
              </w:rPr>
              <w:t>高院判决书认定事实不清，合法性存疑</w:t>
            </w:r>
          </w:p>
        </w:tc>
        <w:tc>
          <w:tcPr>
            <w:tcW w:w="1475" w:type="dxa"/>
            <w:vAlign w:val="center"/>
          </w:tcPr>
          <w:p>
            <w:pPr>
              <w:keepNext w:val="0"/>
              <w:keepLines w:val="0"/>
              <w:widowControl/>
              <w:suppressLineNumbers w:val="0"/>
              <w:jc w:val="left"/>
              <w:textAlignment w:val="center"/>
              <w:rPr>
                <w:rFonts w:hint="eastAsia" w:eastAsiaTheme="minorEastAsia"/>
                <w:lang w:val="en-US" w:eastAsia="zh-CN"/>
              </w:rPr>
            </w:pPr>
            <w:r>
              <w:rPr>
                <w:rFonts w:hint="eastAsia" w:ascii="宋体" w:hAnsi="宋体" w:eastAsia="宋体" w:cs="宋体"/>
                <w:i w:val="0"/>
                <w:color w:val="000000"/>
                <w:kern w:val="0"/>
                <w:sz w:val="22"/>
                <w:szCs w:val="22"/>
                <w:u w:val="none"/>
                <w:lang w:val="en-US" w:eastAsia="zh-CN" w:bidi="ar"/>
              </w:rPr>
              <w:t>规划局</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r>
              <w:rPr>
                <w:rFonts w:hint="eastAsia" w:ascii="宋体" w:hAnsi="宋体" w:eastAsia="宋体" w:cs="宋体"/>
                <w:b/>
                <w:bCs/>
                <w:i w:val="0"/>
                <w:color w:val="000000"/>
                <w:kern w:val="0"/>
                <w:sz w:val="22"/>
                <w:szCs w:val="22"/>
                <w:u w:val="none"/>
                <w:lang w:val="en-US" w:eastAsia="zh-CN" w:bidi="ar"/>
              </w:rPr>
              <w:t>长沙市城市总体规划（2003-2020）（2014年修订）</w:t>
            </w:r>
          </w:p>
        </w:tc>
        <w:tc>
          <w:tcPr>
            <w:tcW w:w="3118" w:type="dxa"/>
            <w:vAlign w:val="top"/>
          </w:tcPr>
          <w:p>
            <w:pPr>
              <w:rPr>
                <w:vertAlign w:val="baseline"/>
              </w:rPr>
            </w:pPr>
            <w:r>
              <w:rPr>
                <w:rFonts w:hint="eastAsia"/>
                <w:vertAlign w:val="baseline"/>
              </w:rPr>
              <w:t>征收项目符合《长沙市潮宗街历史文化街区保护规划》</w:t>
            </w:r>
            <w:r>
              <w:rPr>
                <w:rFonts w:hint="eastAsia"/>
                <w:vertAlign w:val="baseline"/>
                <w:lang w:eastAsia="zh-CN"/>
              </w:rPr>
              <w:t>。</w:t>
            </w:r>
          </w:p>
        </w:tc>
        <w:tc>
          <w:tcPr>
            <w:tcW w:w="1475" w:type="dxa"/>
            <w:vAlign w:val="center"/>
          </w:tcPr>
          <w:p>
            <w:pPr>
              <w:keepNext w:val="0"/>
              <w:keepLines w:val="0"/>
              <w:widowControl/>
              <w:suppressLineNumbers w:val="0"/>
              <w:jc w:val="left"/>
              <w:textAlignment w:val="center"/>
              <w:rPr>
                <w:rFonts w:hint="eastAsia" w:eastAsiaTheme="minorEastAsia"/>
                <w:lang w:val="en-US" w:eastAsia="zh-CN"/>
              </w:rPr>
            </w:pPr>
            <w:r>
              <w:rPr>
                <w:rFonts w:hint="eastAsia" w:ascii="宋体" w:hAnsi="宋体" w:eastAsia="宋体" w:cs="宋体"/>
                <w:i w:val="0"/>
                <w:color w:val="000000"/>
                <w:kern w:val="0"/>
                <w:sz w:val="22"/>
                <w:szCs w:val="22"/>
                <w:u w:val="none"/>
                <w:lang w:val="en-US" w:eastAsia="zh-CN" w:bidi="ar"/>
              </w:rPr>
              <w:t>规划局</w:t>
            </w: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p>
        </w:tc>
        <w:tc>
          <w:tcPr>
            <w:tcW w:w="3118" w:type="dxa"/>
            <w:vAlign w:val="center"/>
          </w:tcPr>
          <w:p>
            <w:pPr>
              <w:keepNext w:val="0"/>
              <w:keepLines w:val="0"/>
              <w:widowControl/>
              <w:suppressLineNumbers w:val="0"/>
              <w:jc w:val="left"/>
              <w:textAlignment w:val="center"/>
              <w:rPr>
                <w:vertAlign w:val="baseline"/>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p>
        </w:tc>
        <w:tc>
          <w:tcPr>
            <w:tcW w:w="3118" w:type="dxa"/>
            <w:vAlign w:val="top"/>
          </w:tcPr>
          <w:p>
            <w:pPr>
              <w:rPr>
                <w:vertAlign w:val="baseline"/>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p>
        </w:tc>
        <w:tc>
          <w:tcPr>
            <w:tcW w:w="3118" w:type="dxa"/>
            <w:vAlign w:val="top"/>
          </w:tcPr>
          <w:p>
            <w:pPr>
              <w:rPr>
                <w:vertAlign w:val="baseline"/>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p>
        </w:tc>
        <w:tc>
          <w:tcPr>
            <w:tcW w:w="3118" w:type="dxa"/>
          </w:tcPr>
          <w:p>
            <w:pPr>
              <w:rPr>
                <w:vertAlign w:val="baseline"/>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p>
        </w:tc>
        <w:tc>
          <w:tcPr>
            <w:tcW w:w="3118" w:type="dxa"/>
          </w:tcPr>
          <w:p>
            <w:pPr>
              <w:rPr>
                <w:vertAlign w:val="baseline"/>
              </w:rPr>
            </w:pPr>
          </w:p>
        </w:tc>
        <w:tc>
          <w:tcPr>
            <w:tcW w:w="1475" w:type="dxa"/>
            <w:vAlign w:val="top"/>
          </w:tc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ascii="宋体" w:hAnsi="宋体" w:eastAsia="宋体" w:cs="宋体"/>
                <w:b/>
                <w:bCs/>
                <w:i w:val="0"/>
                <w:color w:val="000000"/>
                <w:kern w:val="0"/>
                <w:sz w:val="22"/>
                <w:szCs w:val="22"/>
                <w:u w:val="none"/>
                <w:lang w:val="en-US" w:eastAsia="zh-CN" w:bidi="ar"/>
              </w:rPr>
            </w:pPr>
          </w:p>
        </w:tc>
        <w:tc>
          <w:tcPr>
            <w:tcW w:w="3118" w:type="dxa"/>
          </w:tcPr>
          <w:p>
            <w:pPr>
              <w:rPr>
                <w:rFonts w:hint="eastAsia"/>
                <w:vertAlign w:val="baseline"/>
              </w:rPr>
            </w:pPr>
          </w:p>
        </w:tc>
        <w:tc>
          <w:tcPr>
            <w:tcW w:w="1475" w:type="dxa"/>
            <w:vAlign w:val="top"/>
          </w:tc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ascii="宋体" w:hAnsi="宋体" w:eastAsia="宋体" w:cs="宋体"/>
                <w:b/>
                <w:bCs/>
                <w:i w:val="0"/>
                <w:color w:val="000000"/>
                <w:kern w:val="0"/>
                <w:sz w:val="22"/>
                <w:szCs w:val="22"/>
                <w:u w:val="none"/>
                <w:lang w:val="en-US" w:eastAsia="zh-CN" w:bidi="ar"/>
              </w:rPr>
            </w:pPr>
          </w:p>
        </w:tc>
        <w:tc>
          <w:tcPr>
            <w:tcW w:w="3118" w:type="dxa"/>
          </w:tcPr>
          <w:p>
            <w:pPr>
              <w:rPr>
                <w:rFonts w:hint="eastAsia"/>
                <w:vertAlign w:val="baseline"/>
              </w:rPr>
            </w:pPr>
          </w:p>
        </w:tc>
        <w:tc>
          <w:tcPr>
            <w:tcW w:w="1475" w:type="dxa"/>
            <w:vAlign w:val="top"/>
          </w:tc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p>
        </w:tc>
        <w:tc>
          <w:tcPr>
            <w:tcW w:w="3118" w:type="dxa"/>
          </w:tcPr>
          <w:p>
            <w:pPr>
              <w:rPr>
                <w:vertAlign w:val="baseline"/>
              </w:rPr>
            </w:pPr>
          </w:p>
        </w:tc>
        <w:tc>
          <w:tcPr>
            <w:tcW w:w="1475" w:type="dxa"/>
            <w:vAlign w:val="top"/>
          </w:tc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p>
        </w:tc>
        <w:tc>
          <w:tcPr>
            <w:tcW w:w="3118" w:type="dxa"/>
          </w:tcPr>
          <w:p>
            <w:pPr>
              <w:rPr>
                <w:vertAlign w:val="baseline"/>
              </w:rPr>
            </w:pPr>
          </w:p>
        </w:tc>
        <w:tc>
          <w:tcPr>
            <w:tcW w:w="1475" w:type="dxa"/>
            <w:vAlign w:val="top"/>
          </w:tc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p>
        </w:tc>
        <w:tc>
          <w:tcPr>
            <w:tcW w:w="3118" w:type="dxa"/>
          </w:tcPr>
          <w:p>
            <w:pPr>
              <w:rPr>
                <w:vertAlign w:val="baseline"/>
              </w:rPr>
            </w:pPr>
          </w:p>
        </w:tc>
        <w:tc>
          <w:tcPr>
            <w:tcW w:w="1475" w:type="dxa"/>
            <w:vAlign w:val="top"/>
          </w:tc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p>
        </w:tc>
        <w:tc>
          <w:tcPr>
            <w:tcW w:w="3118" w:type="dxa"/>
          </w:tcPr>
          <w:p>
            <w:pPr>
              <w:rPr>
                <w:vertAlign w:val="baseline"/>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31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p>
        </w:tc>
        <w:tc>
          <w:tcPr>
            <w:tcW w:w="3118" w:type="dxa"/>
            <w:vAlign w:val="center"/>
          </w:tcPr>
          <w:p>
            <w:pPr>
              <w:keepNext w:val="0"/>
              <w:keepLines w:val="0"/>
              <w:widowControl/>
              <w:suppressLineNumbers w:val="0"/>
              <w:jc w:val="left"/>
              <w:textAlignment w:val="center"/>
              <w:rPr>
                <w:vertAlign w:val="baseline"/>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p>
        </w:tc>
        <w:tc>
          <w:tcPr>
            <w:tcW w:w="3118" w:type="dxa"/>
            <w:vAlign w:val="center"/>
          </w:tcPr>
          <w:p>
            <w:pPr>
              <w:keepNext w:val="0"/>
              <w:keepLines w:val="0"/>
              <w:widowControl/>
              <w:suppressLineNumbers w:val="0"/>
              <w:jc w:val="left"/>
              <w:textAlignment w:val="center"/>
              <w:rPr>
                <w:vertAlign w:val="baseline"/>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p>
        </w:tc>
        <w:tc>
          <w:tcPr>
            <w:tcW w:w="3118" w:type="dxa"/>
            <w:vAlign w:val="center"/>
          </w:tcPr>
          <w:p>
            <w:pPr>
              <w:keepNext w:val="0"/>
              <w:keepLines w:val="0"/>
              <w:widowControl/>
              <w:suppressLineNumbers w:val="0"/>
              <w:jc w:val="left"/>
              <w:textAlignment w:val="center"/>
              <w:rPr>
                <w:vertAlign w:val="baseline"/>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vertAlign w:val="baseline"/>
              </w:rPr>
            </w:pPr>
          </w:p>
        </w:tc>
        <w:tc>
          <w:tcPr>
            <w:tcW w:w="3118" w:type="dxa"/>
            <w:vAlign w:val="center"/>
          </w:tcPr>
          <w:p>
            <w:pPr>
              <w:keepNext w:val="0"/>
              <w:keepLines w:val="0"/>
              <w:widowControl/>
              <w:suppressLineNumbers w:val="0"/>
              <w:jc w:val="left"/>
              <w:textAlignment w:val="center"/>
              <w:rPr>
                <w:vertAlign w:val="baseline"/>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31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31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31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31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31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6" w:type="dxa"/>
            <w:vAlign w:val="center"/>
          </w:tcPr>
          <w:p>
            <w:pPr>
              <w:keepNext w:val="0"/>
              <w:keepLines w:val="0"/>
              <w:widowControl/>
              <w:numPr>
                <w:ilvl w:val="0"/>
                <w:numId w:val="1"/>
              </w:numPr>
              <w:suppressLineNumbers w:val="0"/>
              <w:ind w:left="425" w:leftChars="0" w:hanging="425" w:firstLineChars="0"/>
              <w:jc w:val="left"/>
              <w:textAlignment w:val="center"/>
              <w:rPr>
                <w:rFonts w:hint="eastAsia" w:eastAsiaTheme="minorEastAsia"/>
                <w:vertAlign w:val="baseline"/>
                <w:lang w:val="en-US" w:eastAsia="zh-CN"/>
              </w:rPr>
            </w:pPr>
          </w:p>
        </w:tc>
        <w:tc>
          <w:tcPr>
            <w:tcW w:w="2525"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31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p>
        </w:tc>
        <w:tc>
          <w:tcPr>
            <w:tcW w:w="1475" w:type="dxa"/>
            <w:vAlign w:val="center"/>
          </w:tcPr>
          <w:p>
            <w:pPr>
              <w:keepNext w:val="0"/>
              <w:keepLines w:val="0"/>
              <w:widowControl/>
              <w:suppressLineNumbers w:val="0"/>
              <w:jc w:val="left"/>
              <w:textAlignment w:val="center"/>
            </w:pPr>
          </w:p>
        </w:tc>
        <w:tc>
          <w:tcPr>
            <w:tcW w:w="400" w:type="dxa"/>
          </w:tcPr>
          <w:p>
            <w:pPr>
              <w:rPr>
                <w:vertAlign w:val="baseline"/>
              </w:rPr>
            </w:pPr>
          </w:p>
        </w:tc>
        <w:tc>
          <w:tcPr>
            <w:tcW w:w="837" w:type="dxa"/>
          </w:tcPr>
          <w:p>
            <w:pPr>
              <w:rPr>
                <w:vertAlign w:val="baseline"/>
              </w:rPr>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ascii="仿宋" w:hAnsi="仿宋" w:cs="仿宋"/>
        <w:sz w:val="28"/>
        <w:szCs w:val="28"/>
      </w:rPr>
    </w:pPr>
    <w:r>
      <w:rPr>
        <w:rFonts w:hint="eastAsia" w:ascii="仿宋" w:hAnsi="仿宋" w:eastAsia="仿宋" w:cs="仿宋"/>
        <w:sz w:val="28"/>
        <w:szCs w:val="28"/>
      </w:rPr>
      <w:t>提交人：</w:t>
    </w:r>
    <w:r>
      <w:rPr>
        <w:rFonts w:hint="eastAsia" w:ascii="仿宋" w:hAnsi="仿宋" w:eastAsia="仿宋" w:cs="仿宋"/>
        <w:sz w:val="28"/>
        <w:szCs w:val="28"/>
        <w:lang w:val="en-US" w:eastAsia="zh-CN"/>
      </w:rPr>
      <w:t>王细罗</w:t>
    </w:r>
    <w:r>
      <w:rPr>
        <w:rFonts w:hint="eastAsia" w:ascii="仿宋" w:hAnsi="仿宋" w:eastAsia="仿宋" w:cs="仿宋"/>
        <w:sz w:val="28"/>
        <w:szCs w:val="28"/>
      </w:rPr>
      <w:t xml:space="preserve">               日期：</w:t>
    </w:r>
    <w:r>
      <w:rPr>
        <w:rFonts w:hint="eastAsia" w:ascii="仿宋" w:hAnsi="仿宋" w:eastAsia="仿宋" w:cs="仿宋"/>
        <w:sz w:val="28"/>
        <w:szCs w:val="28"/>
        <w:lang w:val="en-US" w:eastAsia="zh-CN"/>
      </w:rPr>
      <w:t>20180515</w: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ascii="仿宋_GB2312" w:hAnsi="仿宋_GB2312" w:eastAsia="仿宋_GB2312" w:cs="仿宋_GB2312"/>
        <w:b/>
        <w:bCs/>
        <w:sz w:val="36"/>
        <w:szCs w:val="36"/>
      </w:rPr>
    </w:pPr>
    <w:r>
      <w:rPr>
        <w:rFonts w:hint="eastAsia" w:ascii="仿宋" w:hAnsi="仿宋" w:eastAsia="仿宋" w:cs="仿宋"/>
        <w:b/>
        <w:bCs/>
        <w:sz w:val="28"/>
        <w:szCs w:val="28"/>
      </w:rPr>
      <w:t>证据提交清单（证据目录）</w:t>
    </w:r>
    <w:r>
      <w:rPr>
        <w:rFonts w:hint="eastAsia" w:ascii="仿宋" w:hAnsi="仿宋" w:eastAsia="仿宋" w:cs="仿宋"/>
        <w:sz w:val="28"/>
        <w:szCs w:val="28"/>
      </w:rPr>
      <w:t xml:space="preserve"> 案号：</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w:t>
    </w:r>
    <w:r>
      <w:rPr>
        <w:rFonts w:hint="eastAsia" w:ascii="仿宋" w:hAnsi="仿宋" w:eastAsia="仿宋" w:cs="仿宋"/>
        <w:sz w:val="32"/>
        <w:szCs w:val="32"/>
      </w:rPr>
      <w:t>行</w:t>
    </w:r>
    <w:r>
      <w:rPr>
        <w:rFonts w:hint="eastAsia" w:ascii="仿宋" w:hAnsi="仿宋" w:eastAsia="仿宋" w:cs="仿宋"/>
        <w:sz w:val="32"/>
        <w:szCs w:val="32"/>
        <w:lang w:val="en-US" w:eastAsia="zh-CN"/>
      </w:rPr>
      <w:t>初206</w:t>
    </w:r>
    <w:r>
      <w:rPr>
        <w:rFonts w:hint="eastAsia" w:ascii="仿宋" w:hAnsi="仿宋" w:eastAsia="仿宋" w:cs="仿宋"/>
        <w:sz w:val="32"/>
        <w:szCs w:val="32"/>
      </w:rPr>
      <w:t>号</w:t>
    </w:r>
    <w:r>
      <w:rPr>
        <w:rFonts w:hint="eastAsia" w:ascii="仿宋" w:hAnsi="仿宋" w:cs="仿宋"/>
        <w:sz w:val="28"/>
        <w:szCs w:val="28"/>
      </w:rPr>
      <w:t xml:space="preserve">  </w:t>
    </w:r>
  </w:p>
  <w:p>
    <w:pPr>
      <w:rPr>
        <w:rFonts w:hint="eastAsia" w:ascii="仿宋" w:hAnsi="仿宋" w:cs="仿宋"/>
        <w:sz w:val="28"/>
        <w:szCs w:val="28"/>
      </w:rPr>
    </w:pPr>
    <w:r>
      <w:rPr>
        <w:rFonts w:hint="eastAsia" w:ascii="仿宋" w:hAnsi="仿宋" w:eastAsia="仿宋" w:cs="仿宋"/>
        <w:sz w:val="28"/>
        <w:szCs w:val="28"/>
      </w:rPr>
      <w:t xml:space="preserve">             </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1EBEF"/>
    <w:multiLevelType w:val="singleLevel"/>
    <w:tmpl w:val="5AD1EBEF"/>
    <w:lvl w:ilvl="0" w:tentative="0">
      <w:start w:val="1"/>
      <w:numFmt w:val="decimal"/>
      <w:lvlText w:val="%1."/>
      <w:lvlJc w:val="left"/>
      <w:pPr>
        <w:ind w:left="425" w:hanging="425"/>
      </w:pPr>
      <w:rPr>
        <w:rFonts w:hint="default"/>
      </w:rPr>
    </w:lvl>
  </w:abstractNum>
  <w:abstractNum w:abstractNumId="1">
    <w:nsid w:val="5B687F0E"/>
    <w:multiLevelType w:val="singleLevel"/>
    <w:tmpl w:val="5B687F0E"/>
    <w:lvl w:ilvl="0" w:tentative="0">
      <w:start w:val="1"/>
      <w:numFmt w:val="decimal"/>
      <w:suff w:val="nothing"/>
      <w:lvlText w:val="%1."/>
      <w:lvlJc w:val="left"/>
    </w:lvl>
  </w:abstractNum>
  <w:abstractNum w:abstractNumId="2">
    <w:nsid w:val="5B687F4A"/>
    <w:multiLevelType w:val="singleLevel"/>
    <w:tmpl w:val="5B687F4A"/>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66410"/>
    <w:rsid w:val="0C6F704F"/>
    <w:rsid w:val="0E7444A5"/>
    <w:rsid w:val="11452B11"/>
    <w:rsid w:val="132C59C0"/>
    <w:rsid w:val="1C3F0C22"/>
    <w:rsid w:val="1F853783"/>
    <w:rsid w:val="26885193"/>
    <w:rsid w:val="44E62BDA"/>
    <w:rsid w:val="455C7222"/>
    <w:rsid w:val="4848303D"/>
    <w:rsid w:val="4CC17042"/>
    <w:rsid w:val="695138F2"/>
    <w:rsid w:val="69F66EB4"/>
    <w:rsid w:val="6B641761"/>
    <w:rsid w:val="6F5C5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2018-04-14T11:20:00Z</dcterms:created>
  <dc:creator>Stallone</dc:creator>
  <cp:lastModifiedBy>30886</cp:lastModifiedBy>
  <cp:lastPrinted>2018-08-07T11:44:15Z</cp:lastPrinted>
  <dcterms:modified xsi:type="dcterms:W3CDTF">2018-08-08T11:07:17Z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