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tLeast"/>
        <w:ind w:firstLine="420" w:firstLineChars="95"/>
        <w:jc w:val="center"/>
      </w:pPr>
      <w:r>
        <w:rPr>
          <w:rFonts w:hint="eastAsia"/>
        </w:rPr>
        <w:t>辩论意见</w:t>
      </w:r>
    </w:p>
    <w:p>
      <w:pPr>
        <w:spacing w:line="240" w:lineRule="atLeast"/>
        <w:ind w:left="5460"/>
      </w:pPr>
      <w:r>
        <w:rPr>
          <w:rFonts w:hint="eastAsia"/>
        </w:rPr>
        <w:t>案号（2018）湘01行初</w:t>
      </w:r>
      <w:r>
        <w:rPr>
          <w:rFonts w:hint="eastAsia"/>
          <w:lang w:val="en-US" w:eastAsia="zh-CN"/>
        </w:rPr>
        <w:t xml:space="preserve">244   </w:t>
      </w:r>
      <w:r>
        <w:rPr>
          <w:rFonts w:hint="eastAsia"/>
        </w:rPr>
        <w:t>号</w:t>
      </w:r>
    </w:p>
    <w:p>
      <w:pPr>
        <w:spacing w:line="240" w:lineRule="atLeast"/>
        <w:ind w:firstLine="199" w:firstLineChars="95"/>
      </w:pPr>
    </w:p>
    <w:p>
      <w:pPr>
        <w:spacing w:line="240" w:lineRule="atLeast"/>
        <w:ind w:left="-202" w:leftChars="-189" w:hanging="195" w:hangingChars="61"/>
        <w:rPr>
          <w:rFonts w:ascii="微软雅黑" w:hAnsi="微软雅黑" w:eastAsia="微软雅黑" w:cs="微软雅黑"/>
          <w:sz w:val="32"/>
          <w:szCs w:val="32"/>
        </w:rPr>
      </w:pPr>
      <w:r>
        <w:rPr>
          <w:rFonts w:hint="eastAsia" w:ascii="微软雅黑" w:hAnsi="微软雅黑" w:eastAsia="微软雅黑" w:cs="微软雅黑"/>
          <w:b/>
          <w:bCs/>
          <w:sz w:val="32"/>
          <w:szCs w:val="32"/>
        </w:rPr>
        <w:t>尊敬的审判员、书记员</w:t>
      </w:r>
      <w:r>
        <w:rPr>
          <w:rFonts w:hint="eastAsia" w:ascii="微软雅黑" w:hAnsi="微软雅黑" w:eastAsia="微软雅黑" w:cs="微软雅黑"/>
          <w:sz w:val="32"/>
          <w:szCs w:val="32"/>
        </w:rPr>
        <w:t>：</w:t>
      </w: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color w:val="A6A6A6" w:themeColor="background1" w:themeShade="A6"/>
          <w:sz w:val="32"/>
          <w:szCs w:val="32"/>
        </w:rPr>
        <w:t>第一轮辩论意见</w:t>
      </w:r>
      <w:r>
        <w:rPr>
          <w:rFonts w:hint="eastAsia" w:ascii="仿宋" w:hAnsi="仿宋" w:eastAsia="仿宋" w:cs="仿宋"/>
          <w:sz w:val="32"/>
          <w:szCs w:val="32"/>
        </w:rPr>
        <w:t>：</w:t>
      </w: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sz w:val="32"/>
          <w:szCs w:val="32"/>
        </w:rPr>
        <w:t>原告经过今天的庭审，并在查阅全案的证据材料和相关法律依据后，针对本案的事实部分发表如下辩论意见，供法庭参考：</w:t>
      </w:r>
    </w:p>
    <w:p>
      <w:pPr>
        <w:spacing w:line="240" w:lineRule="atLeast"/>
        <w:ind w:firstLine="304" w:firstLineChars="95"/>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原告认为本案的争议焦点如下：</w:t>
      </w:r>
    </w:p>
    <w:p>
      <w:pPr>
        <w:numPr>
          <w:ilvl w:val="0"/>
          <w:numId w:val="1"/>
        </w:numPr>
        <w:spacing w:line="240" w:lineRule="atLeast"/>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涉案的征收决定是否合法有效</w:t>
      </w:r>
    </w:p>
    <w:p>
      <w:pPr>
        <w:numPr>
          <w:ilvl w:val="0"/>
          <w:numId w:val="2"/>
        </w:numPr>
        <w:spacing w:line="240" w:lineRule="atLeast"/>
        <w:ind w:left="-15" w:leftChars="0" w:firstLine="435"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被告在征收补偿决定中声称原告的房屋处于房屋征收范围之内，原告认为没有事实依据！</w:t>
      </w:r>
    </w:p>
    <w:p>
      <w:pPr>
        <w:spacing w:line="240" w:lineRule="atLeast"/>
        <w:ind w:firstLine="304" w:firstLineChars="95"/>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房屋征收范围是一个法律问题，也是一个事实问题。房屋征收范围应当根据建设项目立项批复、建设规划许可、国有土地使用权证明和建设工程许可所确定的范围进行划定。这四个文件如果有一个违法，征收决定就不具有合法性，因此只有在这四个文件的合法性被确认之后，才存在对房屋征收补偿方案的合法性进行审查的问题。鉴于被告没有当庭提供作出征收决定的相关法律证据及证据原件，原告认为，征收决定的合法性存疑；生效的房屋征收决定是作出征收补偿决定的前提条件之一。作为前置要件的生效房屋征收决定本身亦不能有“明显、重大”的违法之处。</w:t>
      </w:r>
    </w:p>
    <w:p>
      <w:pPr>
        <w:spacing w:line="240" w:lineRule="atLeast"/>
        <w:ind w:firstLine="304" w:firstLineChars="95"/>
        <w:rPr>
          <w:rFonts w:hint="eastAsia" w:ascii="仿宋" w:hAnsi="仿宋" w:eastAsia="仿宋" w:cs="仿宋"/>
          <w:sz w:val="32"/>
          <w:szCs w:val="32"/>
          <w:lang w:val="en-US" w:eastAsia="zh-CN"/>
        </w:rPr>
      </w:pPr>
    </w:p>
    <w:p>
      <w:pPr>
        <w:spacing w:line="240" w:lineRule="atLeast"/>
        <w:ind w:firstLine="304" w:firstLineChars="95"/>
        <w:rPr>
          <w:rFonts w:hint="eastAsia" w:ascii="仿宋" w:hAnsi="仿宋" w:eastAsia="仿宋" w:cs="仿宋"/>
          <w:sz w:val="32"/>
          <w:szCs w:val="32"/>
          <w:lang w:val="en-US" w:eastAsia="zh-CN"/>
        </w:rPr>
      </w:pPr>
    </w:p>
    <w:p>
      <w:pPr>
        <w:numPr>
          <w:ilvl w:val="0"/>
          <w:numId w:val="2"/>
        </w:numPr>
        <w:spacing w:line="240" w:lineRule="atLeast"/>
        <w:ind w:left="425" w:leftChars="0" w:hanging="425"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关于被告提供的高院判决书：</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最高人民法院关于适用《中华人民共和国行政诉讼法》的司法解释第70条规定：人民法院在审理行政案件中,如果发现生效的裁判文书和裁决文书认定的事实存在重大问题,一般都采取中止该案的审理,通过审判监督程序纠正生效的判决、裁定的错误,再恢复该案的审理。</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u w:val="single"/>
          <w:lang w:val="en-US" w:eastAsia="zh-CN"/>
        </w:rPr>
      </w:pPr>
      <w:r>
        <w:rPr>
          <w:rFonts w:hint="eastAsia" w:ascii="仿宋" w:hAnsi="仿宋" w:eastAsia="仿宋" w:cs="仿宋"/>
          <w:sz w:val="30"/>
          <w:szCs w:val="30"/>
          <w:u w:val="single"/>
          <w:lang w:val="en-US" w:eastAsia="zh-CN"/>
        </w:rPr>
        <w:t>鉴于原告在举证阶段提供的证据，原告要求法院中止本案的审理！</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r>
        <w:rPr>
          <w:rFonts w:hint="eastAsia" w:ascii="仿宋" w:hAnsi="仿宋" w:eastAsia="仿宋" w:cs="仿宋"/>
          <w:sz w:val="30"/>
          <w:szCs w:val="30"/>
          <w:u w:val="single"/>
          <w:lang w:val="en-US" w:eastAsia="zh-CN"/>
        </w:rPr>
        <w:t>从法理上讲，作为证据的人民法院生效裁判文书相对于本诉案件来说应属传来证据的范畴</w:t>
      </w:r>
      <w:r>
        <w:rPr>
          <w:rFonts w:hint="eastAsia" w:ascii="仿宋" w:hAnsi="仿宋" w:eastAsia="仿宋" w:cs="仿宋"/>
          <w:sz w:val="30"/>
          <w:szCs w:val="30"/>
          <w:lang w:val="en-US" w:eastAsia="zh-CN"/>
        </w:rPr>
        <w:t>，之所以赋予人民法院生效裁判所确认的事实具有较强证明力，其理论基础来源于人民法院生效裁判的既判力理论，即生效的裁判不可随意撤销或者改变，当事人对裁判的内容不可再争议，法院也受其约束。此外，人民法院生效裁判所确认的事实之所以属免证事实，还因为该事实是已经在审判程序中得到过证明和审查确认的，承认人民法院生效裁判的预决效力，可以避免对已为生效裁判所认定的事实再次进行证明。简言之，法律赋予人民法院生效裁判所确认事实的免证效力，是出于稳定性和经济性考虑。</w:t>
      </w:r>
      <w:r>
        <w:rPr>
          <w:rFonts w:hint="eastAsia" w:ascii="仿宋" w:hAnsi="仿宋" w:eastAsia="仿宋" w:cs="仿宋"/>
          <w:sz w:val="30"/>
          <w:szCs w:val="30"/>
          <w:u w:val="single"/>
          <w:lang w:val="en-US" w:eastAsia="zh-CN"/>
        </w:rPr>
        <w:t>然而，由于人民法院生效裁判所确认的事实是来源于特定案件、特定证据环境，且案件当事人诉讼能力有强弱，决定了人民法院生效裁判所确认的事实是相对的客观真实，故不具有绝对的效力，否则会一错再错，对本诉讼案件的当事人是不公平的，因为本诉讼案件的当事人不一定参与了前诉的诉讼过程。</w:t>
      </w:r>
      <w:r>
        <w:rPr>
          <w:rFonts w:hint="eastAsia" w:ascii="仿宋" w:hAnsi="仿宋" w:eastAsia="仿宋" w:cs="仿宋"/>
          <w:sz w:val="30"/>
          <w:szCs w:val="30"/>
          <w:lang w:val="en-US" w:eastAsia="zh-CN"/>
        </w:rPr>
        <w:t>此外，赋予人民法院生效裁判的既判力的价值主要在于维护人民法院通过行使司法权所最终确认或确定的法律关系的稳定性，而非维护裁判所确认的事实本身，故原告认为，如果我们能够举出相反、充分的证据来证明判决所确认的事实缺乏根据，那么被告开福区政府就应提出其他有力的证据来支持其所主张的判决所确认的事实，否则就应该承担举证不能及败诉的后果。</w:t>
      </w:r>
    </w:p>
    <w:p>
      <w:pPr>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285" w:firstLineChars="95"/>
        <w:jc w:val="both"/>
        <w:textAlignment w:val="auto"/>
        <w:rPr>
          <w:rFonts w:hint="eastAsia" w:ascii="仿宋" w:hAnsi="仿宋" w:eastAsia="仿宋" w:cs="仿宋"/>
          <w:sz w:val="30"/>
          <w:szCs w:val="30"/>
          <w:lang w:val="en-US" w:eastAsia="zh-CN"/>
        </w:rPr>
      </w:pPr>
    </w:p>
    <w:p>
      <w:pPr>
        <w:spacing w:line="240" w:lineRule="atLeast"/>
        <w:ind w:firstLine="304" w:firstLineChars="95"/>
        <w:rPr>
          <w:rFonts w:hint="eastAsia" w:ascii="仿宋" w:hAnsi="仿宋" w:eastAsia="仿宋" w:cs="仿宋"/>
          <w:sz w:val="32"/>
          <w:szCs w:val="32"/>
          <w:lang w:val="en-US" w:eastAsia="zh-CN"/>
        </w:rPr>
      </w:pPr>
    </w:p>
    <w:p>
      <w:pPr>
        <w:numPr>
          <w:ilvl w:val="0"/>
          <w:numId w:val="1"/>
        </w:numPr>
        <w:spacing w:line="240" w:lineRule="atLeast"/>
        <w:ind w:left="0" w:leftChars="0"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确定原告被征收房屋的房地产价格的评估机构的选定结果的公证书是否真实、合法有效？</w:t>
      </w:r>
    </w:p>
    <w:p>
      <w:pPr>
        <w:numPr>
          <w:ilvl w:val="0"/>
          <w:numId w:val="3"/>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根据原告在举证阶段的证据显示，公证员彭青在公证时点已不具备公证员资质</w:t>
      </w:r>
    </w:p>
    <w:p>
      <w:pPr>
        <w:numPr>
          <w:numId w:val="0"/>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陈述其公证类型是现场监督，根据《公证程序规则》第五十二条之规定：公证机构办理招标投标、拍卖、开奖等现场监督类公证，应当由二人共同办理。经调查，公证员彭青未通过2015年与2016年的湖南省公证员年度考核；直接违反《湖南省公证员执业年度考核办法》与《长沙市公证执业管理办法》（长司发〔2015〕41号），同时直接违反中华人民共和国司法部制定的《公证员考核任职工作实施办法》。我们不禁要问：仅凭长沙星城公证处开具的”我处退休职工彭青于2015年4月20日至2016年5月31日在我处执业的“证明函，是否就可以认定彭青在执业期间可以出具涉案公证书？</w:t>
      </w:r>
    </w:p>
    <w:p>
      <w:pPr>
        <w:numPr>
          <w:numId w:val="0"/>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如果可以，《湖南省公证员执业年度考核办法》是否仅是一纸空文？公证员执业年度考核的意义何在？</w:t>
      </w:r>
    </w:p>
    <w:p>
      <w:pPr>
        <w:numPr>
          <w:numId w:val="0"/>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长沙星城公证处直接无视司法部制定的《公证员考核任职工作实施办法》，是谁给他们的胆量和勇气？</w:t>
      </w:r>
    </w:p>
    <w:p>
      <w:pPr>
        <w:numPr>
          <w:ilvl w:val="0"/>
          <w:numId w:val="3"/>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公证书出具的时点存疑</w:t>
      </w:r>
    </w:p>
    <w:p>
      <w:pPr>
        <w:numPr>
          <w:numId w:val="0"/>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根据（2016）湘长星证民字第2369号公证书陈述，本次投票涉及被征收户1664户，经开箱验票，总共回收票数1377票，其中有效票1280张，无效票97票。按照每张投票需30秒的验票时间计算，1377票总共需要41310秒，通过换算，总共需要11.475小时.即便公证员从2016年4月22日早上9点开始不吃不喝不休息的验票，那么直至整个验票结束时，已经到了晚上8点，怎么可能于当天就出具公证书？难道长沙星城公证处的公章是公证员随身携带？</w:t>
      </w:r>
    </w:p>
    <w:p>
      <w:pPr>
        <w:numPr>
          <w:ilvl w:val="0"/>
          <w:numId w:val="3"/>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公证书中内容存在严重瑕疵</w:t>
      </w:r>
    </w:p>
    <w:p>
      <w:pPr>
        <w:numPr>
          <w:numId w:val="0"/>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长沙星城公证处分别于2016年4月22日及2016年5月5日作出的（2016）湘长星证民字第2369号及2869号公证书并未对投票器具是否密封、申请人资格是否真实、有效等加以注明；存在严重瑕疵内容的公证书是否仍然有效？</w:t>
      </w:r>
    </w:p>
    <w:p>
      <w:pPr>
        <w:numPr>
          <w:numId w:val="0"/>
        </w:numPr>
        <w:spacing w:line="240" w:lineRule="atLeast"/>
        <w:ind w:left="0" w:leftChars="0" w:firstLine="420" w:firstLineChars="0"/>
        <w:rPr>
          <w:rFonts w:hint="eastAsia" w:ascii="仿宋" w:hAnsi="仿宋" w:eastAsia="仿宋" w:cs="仿宋"/>
          <w:sz w:val="32"/>
          <w:szCs w:val="32"/>
          <w:lang w:val="en-US" w:eastAsia="zh-CN"/>
        </w:rPr>
      </w:pPr>
    </w:p>
    <w:p>
      <w:pPr>
        <w:numPr>
          <w:numId w:val="0"/>
        </w:numPr>
        <w:spacing w:line="240" w:lineRule="atLeast"/>
        <w:ind w:left="0" w:leftChars="0" w:firstLine="420" w:firstLineChars="0"/>
        <w:rPr>
          <w:rFonts w:hint="eastAsia" w:ascii="仿宋" w:hAnsi="仿宋" w:eastAsia="仿宋" w:cs="仿宋"/>
          <w:sz w:val="32"/>
          <w:szCs w:val="32"/>
          <w:lang w:val="en-US" w:eastAsia="zh-CN"/>
        </w:rPr>
      </w:pPr>
    </w:p>
    <w:p>
      <w:pPr>
        <w:numPr>
          <w:ilvl w:val="0"/>
          <w:numId w:val="4"/>
        </w:numPr>
        <w:spacing w:line="240" w:lineRule="atLeast"/>
        <w:ind w:left="0" w:leftChars="0" w:firstLine="420"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涉案的征收补偿决定在下达之前，依法应该给予的各项目补偿之金额、保障住房、产权调换房屋以及周转用房是否已经确定并到位。</w:t>
      </w:r>
    </w:p>
    <w:p>
      <w:pPr>
        <w:numPr>
          <w:ilvl w:val="0"/>
          <w:numId w:val="5"/>
        </w:numPr>
        <w:spacing w:line="240" w:lineRule="atLeast"/>
        <w:ind w:left="5" w:leftChars="0" w:firstLine="415" w:firstLineChars="0"/>
        <w:rPr>
          <w:rFonts w:hint="eastAsia" w:ascii="仿宋" w:hAnsi="仿宋" w:eastAsia="仿宋" w:cs="仿宋"/>
          <w:sz w:val="32"/>
          <w:szCs w:val="32"/>
          <w:u w:val="single"/>
          <w:lang w:val="en-US" w:eastAsia="zh-CN"/>
        </w:rPr>
      </w:pPr>
      <w:r>
        <w:rPr>
          <w:rFonts w:hint="eastAsia" w:ascii="仿宋" w:hAnsi="仿宋" w:eastAsia="仿宋" w:cs="仿宋"/>
          <w:sz w:val="32"/>
          <w:szCs w:val="32"/>
          <w:u w:val="single"/>
          <w:lang w:val="en-US" w:eastAsia="zh-CN"/>
        </w:rPr>
        <w:t>原告已经在举证环节举证证明，原告的房屋从2007年开始一直属于经营性用房，被告对被征收房屋的建筑面积、结构、用途等事实调查错误，补偿决定不具备合法性！</w:t>
      </w:r>
    </w:p>
    <w:p>
      <w:pPr>
        <w:numPr>
          <w:numId w:val="0"/>
        </w:numPr>
        <w:spacing w:line="240" w:lineRule="atLeast"/>
        <w:ind w:left="0" w:leftChars="0" w:firstLine="419" w:firstLineChars="131"/>
        <w:rPr>
          <w:rFonts w:hint="eastAsia" w:ascii="仿宋" w:hAnsi="仿宋" w:eastAsia="仿宋" w:cs="仿宋"/>
          <w:sz w:val="32"/>
          <w:szCs w:val="32"/>
          <w:u w:val="none"/>
          <w:lang w:val="en-US" w:eastAsia="zh-CN"/>
        </w:rPr>
      </w:pPr>
      <w:r>
        <w:rPr>
          <w:rFonts w:hint="eastAsia" w:ascii="仿宋" w:hAnsi="仿宋" w:eastAsia="仿宋" w:cs="仿宋"/>
          <w:sz w:val="32"/>
          <w:szCs w:val="32"/>
          <w:u w:val="none"/>
          <w:lang w:val="en-US" w:eastAsia="zh-CN"/>
        </w:rPr>
        <w:t>《国务院办公厅关于认真做好城镇房屋拆迁工作维护社会稳定的紧急通知》四第二款规定：“对拆迁范围内产权性质为住宅，但已依法取得营业执照经营性用房的补偿，各地可根据其经营情况、经营年限及纳税等实际情况给予适当补偿……”因此，对于已经依法取得营业执照的“住改非”房屋，结合其经营情况、经营年限、纳税情况等给予适当补偿。</w:t>
      </w:r>
    </w:p>
    <w:p>
      <w:pPr>
        <w:numPr>
          <w:ilvl w:val="0"/>
          <w:numId w:val="5"/>
        </w:numPr>
        <w:spacing w:line="240" w:lineRule="atLeast"/>
        <w:ind w:left="5" w:leftChars="0" w:firstLine="415" w:firstLineChars="0"/>
        <w:rPr>
          <w:rFonts w:hint="eastAsia" w:ascii="仿宋" w:hAnsi="仿宋" w:eastAsia="仿宋" w:cs="仿宋"/>
          <w:sz w:val="32"/>
          <w:szCs w:val="32"/>
          <w:u w:val="single"/>
        </w:rPr>
      </w:pPr>
      <w:r>
        <w:rPr>
          <w:rFonts w:hint="eastAsia" w:ascii="仿宋" w:hAnsi="仿宋" w:eastAsia="仿宋" w:cs="仿宋"/>
          <w:sz w:val="32"/>
          <w:szCs w:val="32"/>
          <w:u w:val="single"/>
          <w:lang w:val="en-US" w:eastAsia="zh-CN"/>
        </w:rPr>
        <w:t>国务院590号令</w:t>
      </w:r>
      <w:r>
        <w:rPr>
          <w:rFonts w:hint="eastAsia" w:ascii="仿宋" w:hAnsi="仿宋" w:eastAsia="仿宋" w:cs="仿宋"/>
          <w:sz w:val="32"/>
          <w:szCs w:val="32"/>
          <w:u w:val="single"/>
        </w:rPr>
        <w:t>第二十一条</w:t>
      </w:r>
      <w:r>
        <w:rPr>
          <w:rFonts w:hint="eastAsia" w:ascii="仿宋" w:hAnsi="仿宋" w:eastAsia="仿宋" w:cs="仿宋"/>
          <w:sz w:val="32"/>
          <w:szCs w:val="32"/>
          <w:u w:val="single"/>
          <w:lang w:eastAsia="zh-CN"/>
        </w:rPr>
        <w:t>、长沙市国有土地上房屋征收与补偿实施办法</w:t>
      </w:r>
      <w:r>
        <w:rPr>
          <w:rFonts w:hint="eastAsia" w:ascii="仿宋" w:hAnsi="仿宋" w:eastAsia="仿宋" w:cs="仿宋"/>
          <w:sz w:val="32"/>
          <w:szCs w:val="32"/>
          <w:u w:val="single"/>
          <w:lang w:val="en-US" w:eastAsia="zh-CN"/>
        </w:rPr>
        <w:t>第三十一条明文规定：</w:t>
      </w:r>
      <w:r>
        <w:rPr>
          <w:rFonts w:hint="eastAsia" w:ascii="仿宋" w:hAnsi="仿宋" w:eastAsia="仿宋" w:cs="仿宋"/>
          <w:sz w:val="32"/>
          <w:szCs w:val="32"/>
          <w:u w:val="single"/>
        </w:rPr>
        <w:t>被征收人可以选择货币补偿，也可以选择房屋产权调换</w:t>
      </w:r>
      <w:r>
        <w:rPr>
          <w:rFonts w:hint="eastAsia" w:ascii="仿宋" w:hAnsi="仿宋" w:eastAsia="仿宋" w:cs="仿宋"/>
          <w:sz w:val="32"/>
          <w:szCs w:val="32"/>
          <w:u w:val="single"/>
          <w:lang w:eastAsia="zh-CN"/>
        </w:rPr>
        <w:t>！</w:t>
      </w:r>
    </w:p>
    <w:p>
      <w:pPr>
        <w:spacing w:line="240" w:lineRule="atLeast"/>
        <w:ind w:firstLine="304" w:firstLineChars="95"/>
        <w:rPr>
          <w:rFonts w:hint="eastAsia" w:ascii="仿宋" w:hAnsi="仿宋" w:eastAsia="仿宋" w:cs="仿宋"/>
          <w:sz w:val="32"/>
          <w:szCs w:val="32"/>
          <w:lang w:eastAsia="zh-CN"/>
        </w:rPr>
      </w:pPr>
      <w:r>
        <w:rPr>
          <w:rFonts w:hint="eastAsia" w:ascii="仿宋" w:hAnsi="仿宋" w:eastAsia="仿宋" w:cs="仿宋"/>
          <w:sz w:val="32"/>
          <w:szCs w:val="32"/>
        </w:rPr>
        <w:t>由此可见，法律法规已经赋予了被征收人一系列程序救济权利。但</w:t>
      </w:r>
      <w:r>
        <w:rPr>
          <w:rFonts w:hint="eastAsia" w:ascii="仿宋" w:hAnsi="仿宋" w:eastAsia="仿宋" w:cs="仿宋"/>
          <w:sz w:val="32"/>
          <w:szCs w:val="32"/>
          <w:lang w:val="en-US" w:eastAsia="zh-CN"/>
        </w:rPr>
        <w:t>在本案中，</w:t>
      </w:r>
      <w:r>
        <w:rPr>
          <w:rFonts w:hint="eastAsia" w:ascii="仿宋" w:hAnsi="仿宋" w:eastAsia="仿宋" w:cs="仿宋"/>
          <w:sz w:val="32"/>
          <w:szCs w:val="32"/>
        </w:rPr>
        <w:t>被告</w:t>
      </w:r>
      <w:r>
        <w:rPr>
          <w:rFonts w:hint="eastAsia" w:ascii="仿宋" w:hAnsi="仿宋" w:eastAsia="仿宋" w:cs="仿宋"/>
          <w:sz w:val="32"/>
          <w:szCs w:val="32"/>
          <w:lang w:val="en-US" w:eastAsia="zh-CN"/>
        </w:rPr>
        <w:t>却</w:t>
      </w:r>
      <w:r>
        <w:rPr>
          <w:rFonts w:hint="eastAsia" w:ascii="仿宋" w:hAnsi="仿宋" w:eastAsia="仿宋" w:cs="仿宋"/>
          <w:sz w:val="32"/>
          <w:szCs w:val="32"/>
        </w:rPr>
        <w:t>单方面提供货币补偿方式，违背了国务院590号令及长沙市116号令的相关规定。被告在制定“强制限期选择补偿方式，逾期单方推定”补偿方式的同时剥夺了原告不服产权调换方案时行使救济的权利</w:t>
      </w:r>
      <w:r>
        <w:rPr>
          <w:rFonts w:hint="eastAsia" w:ascii="仿宋" w:hAnsi="仿宋" w:eastAsia="仿宋" w:cs="仿宋"/>
          <w:sz w:val="32"/>
          <w:szCs w:val="32"/>
          <w:lang w:eastAsia="zh-CN"/>
        </w:rPr>
        <w:t>。</w:t>
      </w:r>
    </w:p>
    <w:p>
      <w:pPr>
        <w:spacing w:line="240" w:lineRule="atLeast"/>
        <w:ind w:firstLine="304" w:firstLineChars="95"/>
        <w:rPr>
          <w:rFonts w:hint="eastAsia" w:ascii="仿宋" w:hAnsi="仿宋" w:eastAsia="仿宋" w:cs="仿宋"/>
          <w:sz w:val="32"/>
          <w:szCs w:val="32"/>
          <w:lang w:eastAsia="zh-CN"/>
        </w:rPr>
      </w:pP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sz w:val="32"/>
          <w:szCs w:val="32"/>
        </w:rPr>
        <w:t>而如果被征收人不能</w:t>
      </w:r>
      <w:r>
        <w:rPr>
          <w:rFonts w:hint="eastAsia" w:ascii="仿宋" w:hAnsi="仿宋" w:eastAsia="仿宋" w:cs="仿宋"/>
          <w:sz w:val="32"/>
          <w:szCs w:val="32"/>
          <w:lang w:val="en-US" w:eastAsia="zh-CN"/>
        </w:rPr>
        <w:t>选择补偿方式</w:t>
      </w:r>
      <w:r>
        <w:rPr>
          <w:rFonts w:hint="eastAsia" w:ascii="仿宋" w:hAnsi="仿宋" w:eastAsia="仿宋" w:cs="仿宋"/>
          <w:sz w:val="32"/>
          <w:szCs w:val="32"/>
        </w:rPr>
        <w:t>，被征收人无疑等于被变相剥夺了的程序救济权，进而使得补偿决定本身失去合法性基础。</w:t>
      </w:r>
    </w:p>
    <w:p>
      <w:pPr>
        <w:numPr>
          <w:ilvl w:val="0"/>
          <w:numId w:val="5"/>
        </w:numPr>
        <w:spacing w:line="240" w:lineRule="atLeast"/>
        <w:ind w:left="0" w:leftChars="0" w:firstLine="304" w:firstLineChars="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被告未将被征收房屋产权面积以外的部分纳入征收补偿决定！</w:t>
      </w:r>
    </w:p>
    <w:p>
      <w:pPr>
        <w:numPr>
          <w:numId w:val="0"/>
        </w:numPr>
        <w:spacing w:line="240" w:lineRule="atLeast"/>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被告在征收补偿方案及征收补偿决定中认定：征收工作实施过程中，经调查核实，被征收房屋实际建筑面积132.8平米，产权登记建筑面积122.3平方米，上诉房屋除产权登记面积以外的建筑面积没有办理相关审判或许可，故不予补偿。</w:t>
      </w:r>
    </w:p>
    <w:p>
      <w:pPr>
        <w:numPr>
          <w:numId w:val="0"/>
        </w:numPr>
        <w:spacing w:line="240" w:lineRule="atLeast"/>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原告再次强调并提醒法庭注意：2007年10月28日，第十届全国人民代表大会常务委员会第三十次会通过《中华人民共和国城乡规划法》，共7章70条，自2008年1月1日起施行。而原告的房屋是1993年11月6日经过合法登记，办理的私有房屋权属证明。</w:t>
      </w:r>
    </w:p>
    <w:p>
      <w:pPr>
        <w:numPr>
          <w:numId w:val="0"/>
        </w:numPr>
        <w:spacing w:line="240" w:lineRule="atLeast"/>
        <w:ind w:left="0" w:leftChars="0" w:firstLine="419" w:firstLineChars="131"/>
        <w:rPr>
          <w:rFonts w:hint="eastAsia" w:ascii="仿宋" w:hAnsi="仿宋" w:eastAsia="仿宋" w:cs="仿宋"/>
          <w:color w:val="A6A6A6" w:themeColor="background1" w:themeShade="A6"/>
          <w:sz w:val="32"/>
          <w:szCs w:val="32"/>
          <w:lang w:val="en-US" w:eastAsia="zh-CN"/>
        </w:rPr>
      </w:pPr>
      <w:r>
        <w:rPr>
          <w:rFonts w:hint="eastAsia" w:ascii="仿宋" w:hAnsi="仿宋" w:eastAsia="仿宋" w:cs="仿宋"/>
          <w:sz w:val="32"/>
          <w:szCs w:val="32"/>
          <w:lang w:val="en-US" w:eastAsia="zh-CN"/>
        </w:rPr>
        <w:t>根据法不溯及既往的原则，长沙市城乡规划局开福区分局无权依据《中华人民共和国城乡规划法》第四十条第一款认定孙建芳建（构）筑物除了产权登记载明的产权面积以外的建构物为违章建筑。</w:t>
      </w:r>
      <w:r>
        <w:rPr>
          <w:rFonts w:hint="eastAsia" w:ascii="仿宋" w:hAnsi="仿宋" w:eastAsia="仿宋" w:cs="仿宋"/>
          <w:color w:val="A6A6A6" w:themeColor="background1" w:themeShade="A6"/>
          <w:sz w:val="32"/>
          <w:szCs w:val="32"/>
          <w:lang w:val="en-US" w:eastAsia="zh-CN"/>
        </w:rPr>
        <w:t>“法不溯及既往”是一项基本的法治原则。通俗地讲，就是不能用今天的法律和规定去约束昨天的行为。</w:t>
      </w:r>
    </w:p>
    <w:p>
      <w:pPr>
        <w:numPr>
          <w:numId w:val="0"/>
        </w:numPr>
        <w:spacing w:line="240" w:lineRule="atLeast"/>
        <w:ind w:left="0" w:leftChars="0" w:firstLine="419" w:firstLineChars="131"/>
        <w:rPr>
          <w:rFonts w:hint="eastAsia" w:ascii="仿宋" w:hAnsi="仿宋" w:eastAsia="仿宋" w:cs="仿宋"/>
          <w:color w:val="A6A6A6" w:themeColor="background1" w:themeShade="A6"/>
          <w:sz w:val="32"/>
          <w:szCs w:val="32"/>
          <w:lang w:val="en-US" w:eastAsia="zh-CN"/>
        </w:rPr>
      </w:pPr>
    </w:p>
    <w:p>
      <w:pPr>
        <w:numPr>
          <w:numId w:val="0"/>
        </w:numPr>
        <w:spacing w:line="240" w:lineRule="atLeast"/>
        <w:ind w:left="0" w:leftChars="0" w:firstLine="419" w:firstLineChars="131"/>
        <w:rPr>
          <w:rFonts w:hint="eastAsia" w:ascii="仿宋" w:hAnsi="仿宋" w:eastAsia="仿宋" w:cs="仿宋"/>
          <w:color w:val="A6A6A6" w:themeColor="background1" w:themeShade="A6"/>
          <w:sz w:val="32"/>
          <w:szCs w:val="32"/>
          <w:lang w:val="en-US" w:eastAsia="zh-CN"/>
        </w:rPr>
      </w:pP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sz w:val="32"/>
          <w:szCs w:val="32"/>
          <w:lang w:val="en-US" w:eastAsia="zh-CN"/>
        </w:rPr>
        <w:t>而被告未将被征收房屋产权面积以外的应当合法补偿面积部分纳入征收补偿决定，</w:t>
      </w:r>
      <w:r>
        <w:rPr>
          <w:rFonts w:hint="eastAsia" w:ascii="仿宋" w:hAnsi="仿宋" w:eastAsia="仿宋" w:cs="仿宋"/>
          <w:sz w:val="32"/>
          <w:szCs w:val="32"/>
        </w:rPr>
        <w:t>使得</w:t>
      </w:r>
      <w:r>
        <w:rPr>
          <w:rFonts w:hint="eastAsia" w:ascii="仿宋" w:hAnsi="仿宋" w:eastAsia="仿宋" w:cs="仿宋"/>
          <w:sz w:val="32"/>
          <w:szCs w:val="32"/>
          <w:lang w:val="en-US" w:eastAsia="zh-CN"/>
        </w:rPr>
        <w:t>征收</w:t>
      </w:r>
      <w:r>
        <w:rPr>
          <w:rFonts w:hint="eastAsia" w:ascii="仿宋" w:hAnsi="仿宋" w:eastAsia="仿宋" w:cs="仿宋"/>
          <w:sz w:val="32"/>
          <w:szCs w:val="32"/>
        </w:rPr>
        <w:t>补偿决定本身</w:t>
      </w:r>
      <w:r>
        <w:rPr>
          <w:rFonts w:hint="eastAsia" w:ascii="仿宋" w:hAnsi="仿宋" w:eastAsia="仿宋" w:cs="仿宋"/>
          <w:sz w:val="32"/>
          <w:szCs w:val="32"/>
          <w:lang w:val="en-US" w:eastAsia="zh-CN"/>
        </w:rPr>
        <w:t>的</w:t>
      </w:r>
      <w:r>
        <w:rPr>
          <w:rFonts w:hint="eastAsia" w:ascii="仿宋" w:hAnsi="仿宋" w:eastAsia="仿宋" w:cs="仿宋"/>
          <w:sz w:val="32"/>
          <w:szCs w:val="32"/>
        </w:rPr>
        <w:t>合法性</w:t>
      </w:r>
      <w:r>
        <w:rPr>
          <w:rFonts w:hint="eastAsia" w:ascii="仿宋" w:hAnsi="仿宋" w:eastAsia="仿宋" w:cs="仿宋"/>
          <w:sz w:val="32"/>
          <w:szCs w:val="32"/>
          <w:lang w:val="en-US" w:eastAsia="zh-CN"/>
        </w:rPr>
        <w:t>再次受到质疑</w:t>
      </w:r>
      <w:r>
        <w:rPr>
          <w:rFonts w:hint="eastAsia" w:ascii="仿宋" w:hAnsi="仿宋" w:eastAsia="仿宋" w:cs="仿宋"/>
          <w:sz w:val="32"/>
          <w:szCs w:val="32"/>
        </w:rPr>
        <w:t>。</w:t>
      </w: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sz w:val="32"/>
          <w:szCs w:val="32"/>
          <w:u w:val="single"/>
        </w:rPr>
        <w:t>需要特别指出的，国务院590号令第十七条规定的“被征收房屋价值的补偿”，不仅包括房屋主体的价值，还应包括房屋的装饰装修、附属设施以及未登记建筑价值。因此，政府在下达征收补偿决定书前，不仅要确定房屋主体的具体补偿数额，对房屋装饰装修、附属设施以及未登记建筑 也必须确定具体的补偿数额。另外，保障住房、用于产权调换房屋也必须是具体明确的。否则，政府不得作出征收补偿决定</w:t>
      </w:r>
      <w:r>
        <w:rPr>
          <w:rFonts w:hint="eastAsia" w:ascii="仿宋" w:hAnsi="仿宋" w:eastAsia="仿宋" w:cs="仿宋"/>
          <w:sz w:val="32"/>
          <w:szCs w:val="32"/>
        </w:rPr>
        <w:t>。</w:t>
      </w:r>
    </w:p>
    <w:p>
      <w:pPr>
        <w:spacing w:line="240" w:lineRule="atLeast"/>
        <w:ind w:firstLine="304" w:firstLineChars="95"/>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而被告提供的被征收房屋装饰装修价值补偿权利义务告知书及其送达回证的送达见证人签名及日期一栏为空白！显然无法证明被告已经将房屋装饰装修价值补偿权利义务告知书送达给本人，从而也就无法确定原告房屋装饰装修的具体的补偿数额。</w:t>
      </w: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sz w:val="32"/>
          <w:szCs w:val="32"/>
          <w:lang w:val="en-US" w:eastAsia="zh-CN"/>
        </w:rPr>
        <w:t>综上，</w:t>
      </w:r>
      <w:r>
        <w:rPr>
          <w:rFonts w:hint="eastAsia" w:ascii="仿宋" w:hAnsi="仿宋" w:eastAsia="仿宋" w:cs="仿宋"/>
          <w:sz w:val="32"/>
          <w:szCs w:val="32"/>
        </w:rPr>
        <w:t>原告认为</w:t>
      </w:r>
      <w:r>
        <w:rPr>
          <w:rFonts w:hint="eastAsia" w:ascii="仿宋" w:hAnsi="仿宋" w:eastAsia="仿宋" w:cs="仿宋"/>
          <w:sz w:val="32"/>
          <w:szCs w:val="32"/>
          <w:lang w:val="en-US" w:eastAsia="zh-CN"/>
        </w:rPr>
        <w:t>涉案的征收补偿决定在下达之前，</w:t>
      </w:r>
      <w:r>
        <w:rPr>
          <w:rFonts w:hint="eastAsia" w:ascii="仿宋" w:hAnsi="仿宋" w:eastAsia="仿宋" w:cs="仿宋"/>
          <w:sz w:val="32"/>
          <w:szCs w:val="32"/>
        </w:rPr>
        <w:t>被告开福区人民政府未按法定程序送达</w:t>
      </w:r>
      <w:r>
        <w:rPr>
          <w:rFonts w:hint="eastAsia" w:ascii="仿宋" w:hAnsi="仿宋" w:eastAsia="仿宋" w:cs="仿宋"/>
          <w:sz w:val="32"/>
          <w:szCs w:val="32"/>
          <w:lang w:val="en-US" w:eastAsia="zh-CN"/>
        </w:rPr>
        <w:t>征收补偿方案</w:t>
      </w:r>
      <w:r>
        <w:rPr>
          <w:rFonts w:hint="eastAsia" w:ascii="仿宋" w:hAnsi="仿宋" w:eastAsia="仿宋" w:cs="仿宋"/>
          <w:sz w:val="32"/>
          <w:szCs w:val="32"/>
        </w:rPr>
        <w:t>，亦未能</w:t>
      </w:r>
      <w:r>
        <w:rPr>
          <w:rFonts w:hint="eastAsia" w:ascii="仿宋" w:hAnsi="仿宋" w:eastAsia="仿宋" w:cs="仿宋"/>
          <w:sz w:val="32"/>
          <w:szCs w:val="32"/>
          <w:lang w:val="en-US" w:eastAsia="zh-CN"/>
        </w:rPr>
        <w:t>确定依法应该给予的各项目补偿之金额</w:t>
      </w:r>
      <w:r>
        <w:rPr>
          <w:rFonts w:hint="eastAsia" w:ascii="仿宋" w:hAnsi="仿宋" w:eastAsia="仿宋" w:cs="仿宋"/>
          <w:sz w:val="32"/>
          <w:szCs w:val="32"/>
        </w:rPr>
        <w:t>，事实清楚、证据确凿。属于程序违法；恳请法院依法撤销被告开福区人民政府作出的房屋征收补偿决定（开政征补字（201</w:t>
      </w:r>
      <w:r>
        <w:rPr>
          <w:rFonts w:hint="eastAsia" w:ascii="仿宋" w:hAnsi="仿宋" w:eastAsia="仿宋" w:cs="仿宋"/>
          <w:sz w:val="32"/>
          <w:szCs w:val="32"/>
          <w:lang w:val="en-US" w:eastAsia="zh-CN"/>
        </w:rPr>
        <w:t>7</w:t>
      </w:r>
      <w:r>
        <w:rPr>
          <w:rFonts w:hint="eastAsia" w:ascii="仿宋" w:hAnsi="仿宋" w:eastAsia="仿宋" w:cs="仿宋"/>
          <w:sz w:val="32"/>
          <w:szCs w:val="32"/>
        </w:rPr>
        <w:t>）</w:t>
      </w:r>
      <w:r>
        <w:rPr>
          <w:rFonts w:hint="eastAsia" w:ascii="仿宋" w:hAnsi="仿宋" w:eastAsia="仿宋" w:cs="仿宋"/>
          <w:sz w:val="32"/>
          <w:szCs w:val="32"/>
          <w:lang w:val="en-US" w:eastAsia="zh-CN"/>
        </w:rPr>
        <w:t>117</w:t>
      </w:r>
      <w:r>
        <w:rPr>
          <w:rFonts w:hint="eastAsia" w:ascii="仿宋" w:hAnsi="仿宋" w:eastAsia="仿宋" w:cs="仿宋"/>
          <w:sz w:val="32"/>
          <w:szCs w:val="32"/>
        </w:rPr>
        <w:t>号)并作出公正裁判。</w:t>
      </w:r>
    </w:p>
    <w:p>
      <w:pPr>
        <w:spacing w:line="240" w:lineRule="atLeast"/>
        <w:ind w:firstLine="304" w:firstLineChars="95"/>
        <w:rPr>
          <w:rFonts w:hint="eastAsia" w:ascii="仿宋" w:hAnsi="仿宋" w:eastAsia="仿宋" w:cs="仿宋"/>
          <w:sz w:val="32"/>
          <w:szCs w:val="32"/>
        </w:rPr>
      </w:pP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sz w:val="32"/>
          <w:szCs w:val="32"/>
        </w:rPr>
        <w:t>本次辩论意见以庭审录音录像为准！</w:t>
      </w:r>
    </w:p>
    <w:p>
      <w:pPr>
        <w:spacing w:line="240" w:lineRule="atLeast"/>
        <w:ind w:firstLine="304" w:firstLineChars="95"/>
        <w:rPr>
          <w:rFonts w:hint="eastAsia" w:ascii="仿宋" w:hAnsi="仿宋" w:eastAsia="仿宋" w:cs="仿宋"/>
          <w:sz w:val="32"/>
          <w:szCs w:val="32"/>
        </w:rPr>
      </w:pP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sz w:val="32"/>
          <w:szCs w:val="32"/>
        </w:rPr>
        <w:t>此致</w:t>
      </w:r>
    </w:p>
    <w:p>
      <w:pPr>
        <w:spacing w:line="240" w:lineRule="atLeast"/>
        <w:ind w:firstLine="304" w:firstLineChars="95"/>
        <w:rPr>
          <w:rFonts w:hint="eastAsia" w:ascii="仿宋" w:hAnsi="仿宋" w:eastAsia="仿宋" w:cs="仿宋"/>
          <w:sz w:val="32"/>
          <w:szCs w:val="32"/>
        </w:rPr>
      </w:pPr>
      <w:r>
        <w:rPr>
          <w:rFonts w:hint="eastAsia" w:ascii="仿宋" w:hAnsi="仿宋" w:eastAsia="仿宋" w:cs="仿宋"/>
          <w:sz w:val="32"/>
          <w:szCs w:val="32"/>
        </w:rPr>
        <w:t>长沙市中级人民法院</w:t>
      </w:r>
    </w:p>
    <w:p>
      <w:pPr>
        <w:numPr>
          <w:numId w:val="0"/>
        </w:numPr>
        <w:spacing w:line="240" w:lineRule="atLeast"/>
        <w:ind w:left="15" w:leftChars="7" w:firstLine="403" w:firstLineChars="126"/>
        <w:rPr>
          <w:rFonts w:hint="eastAsia" w:ascii="仿宋" w:hAnsi="仿宋" w:eastAsia="仿宋" w:cs="仿宋"/>
          <w:sz w:val="32"/>
          <w:szCs w:val="32"/>
          <w:lang w:val="en-US" w:eastAsia="zh-CN"/>
        </w:rPr>
      </w:pPr>
    </w:p>
    <w:p>
      <w:pPr>
        <w:numPr>
          <w:numId w:val="0"/>
        </w:numPr>
        <w:spacing w:line="240" w:lineRule="atLeast"/>
        <w:ind w:left="15" w:leftChars="7" w:firstLine="403" w:firstLineChars="126"/>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答辩人 孙建芳</w:t>
      </w:r>
    </w:p>
    <w:p>
      <w:pPr>
        <w:numPr>
          <w:numId w:val="0"/>
        </w:numPr>
        <w:spacing w:line="240" w:lineRule="atLeast"/>
        <w:ind w:left="15" w:leftChars="7" w:firstLine="403" w:firstLineChars="126"/>
        <w:rPr>
          <w:rFonts w:hint="eastAsia" w:ascii="仿宋" w:hAnsi="仿宋" w:eastAsia="仿宋" w:cs="仿宋"/>
          <w:sz w:val="32"/>
          <w:szCs w:val="32"/>
          <w:lang w:val="en-US" w:eastAsia="zh-CN"/>
        </w:rPr>
      </w:pPr>
    </w:p>
    <w:p>
      <w:pPr>
        <w:numPr>
          <w:numId w:val="0"/>
        </w:numPr>
        <w:spacing w:line="240" w:lineRule="atLeast"/>
        <w:ind w:left="15" w:leftChars="7" w:firstLine="403" w:firstLineChars="126"/>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2018年11月13日</w:t>
      </w: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val="en-US" w:eastAsia="zh-CN"/>
      </w:rPr>
    </w:pPr>
    <w:r>
      <w:rPr>
        <w:rFonts w:hint="eastAsia"/>
        <w:lang w:val="en-US" w:eastAsia="zh-CN"/>
      </w:rPr>
      <w:t>孙建芳</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7C602"/>
    <w:multiLevelType w:val="singleLevel"/>
    <w:tmpl w:val="5BE7C602"/>
    <w:lvl w:ilvl="0" w:tentative="0">
      <w:start w:val="1"/>
      <w:numFmt w:val="chineseCounting"/>
      <w:suff w:val="nothing"/>
      <w:lvlText w:val="%1、"/>
      <w:lvlJc w:val="left"/>
      <w:pPr>
        <w:ind w:left="0" w:leftChars="0" w:firstLine="420" w:firstLineChars="0"/>
      </w:pPr>
      <w:rPr>
        <w:rFonts w:hint="eastAsia"/>
      </w:rPr>
    </w:lvl>
  </w:abstractNum>
  <w:abstractNum w:abstractNumId="1">
    <w:nsid w:val="5BE7C9A5"/>
    <w:multiLevelType w:val="singleLevel"/>
    <w:tmpl w:val="5BE7C9A5"/>
    <w:lvl w:ilvl="0" w:tentative="0">
      <w:start w:val="1"/>
      <w:numFmt w:val="decimal"/>
      <w:lvlText w:val="%1."/>
      <w:lvlJc w:val="left"/>
      <w:pPr>
        <w:ind w:left="425" w:leftChars="0" w:hanging="425" w:firstLineChars="0"/>
      </w:pPr>
      <w:rPr>
        <w:rFonts w:hint="default"/>
      </w:rPr>
    </w:lvl>
  </w:abstractNum>
  <w:abstractNum w:abstractNumId="2">
    <w:nsid w:val="5BE7CD25"/>
    <w:multiLevelType w:val="singleLevel"/>
    <w:tmpl w:val="5BE7CD25"/>
    <w:lvl w:ilvl="0" w:tentative="0">
      <w:start w:val="1"/>
      <w:numFmt w:val="decimal"/>
      <w:lvlText w:val="%1."/>
      <w:lvlJc w:val="left"/>
      <w:pPr>
        <w:ind w:left="425" w:leftChars="0" w:hanging="425" w:firstLineChars="0"/>
      </w:pPr>
      <w:rPr>
        <w:rFonts w:hint="default"/>
      </w:rPr>
    </w:lvl>
  </w:abstractNum>
  <w:abstractNum w:abstractNumId="3">
    <w:nsid w:val="5BE7CEB8"/>
    <w:multiLevelType w:val="singleLevel"/>
    <w:tmpl w:val="5BE7CEB8"/>
    <w:lvl w:ilvl="0" w:tentative="0">
      <w:start w:val="3"/>
      <w:numFmt w:val="chineseCounting"/>
      <w:suff w:val="nothing"/>
      <w:lvlText w:val="%1、"/>
      <w:lvlJc w:val="left"/>
    </w:lvl>
  </w:abstractNum>
  <w:abstractNum w:abstractNumId="4">
    <w:nsid w:val="5BE7D149"/>
    <w:multiLevelType w:val="singleLevel"/>
    <w:tmpl w:val="5BE7D14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0343C"/>
    <w:rsid w:val="0CD0343C"/>
    <w:rsid w:val="36CD2CCE"/>
    <w:rsid w:val="47433A5D"/>
    <w:rsid w:val="557E750C"/>
    <w:rsid w:val="79A3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2018-11-11T02:25:00Z</dcterms:created>
  <dc:creator>30886</dc:creator>
  <cp:lastModifiedBy>30886</cp:lastModifiedBy>
  <cp:lastPrinted>2018-11-13T13:51:18Z</cp:lastPrinted>
  <dcterms:modified xsi:type="dcterms:W3CDTF">2018-11-13T15:00:04Z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