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471" w:type="dxa"/>
        <w:tblInd w:w="-4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2654"/>
        <w:gridCol w:w="2989"/>
        <w:gridCol w:w="1475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6" w:type="dxa"/>
            <w:shd w:val="clear" w:color="auto" w:fill="F1F1F1" w:themeFill="background1" w:themeFillShade="F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2654" w:type="dxa"/>
            <w:shd w:val="clear" w:color="auto" w:fill="F1F1F1" w:themeFill="background1" w:themeFillShade="F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证据名称</w:t>
            </w:r>
          </w:p>
        </w:tc>
        <w:tc>
          <w:tcPr>
            <w:tcW w:w="2989" w:type="dxa"/>
            <w:shd w:val="clear" w:color="auto" w:fill="F1F1F1" w:themeFill="background1" w:themeFillShade="F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</w:rPr>
              <w:t>证明内容（目的）</w:t>
            </w:r>
          </w:p>
        </w:tc>
        <w:tc>
          <w:tcPr>
            <w:tcW w:w="1475" w:type="dxa"/>
            <w:shd w:val="clear" w:color="auto" w:fill="F1F1F1" w:themeFill="background1" w:themeFillShade="F2"/>
            <w:vAlign w:val="top"/>
          </w:tcPr>
          <w:p>
            <w:r>
              <w:rPr>
                <w:rFonts w:hint="eastAsia"/>
                <w:b/>
                <w:bCs/>
                <w:vertAlign w:val="baseline"/>
              </w:rPr>
              <w:t>证据来源</w:t>
            </w:r>
          </w:p>
        </w:tc>
        <w:tc>
          <w:tcPr>
            <w:tcW w:w="837" w:type="dxa"/>
            <w:shd w:val="clear" w:color="auto" w:fill="F1F1F1" w:themeFill="background1" w:themeFillShade="F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个体工商户登记基本信息</w:t>
            </w:r>
          </w:p>
        </w:tc>
        <w:tc>
          <w:tcPr>
            <w:tcW w:w="2989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原告的房屋属于经营性房屋，被告对被征收房屋的建筑面积、结构、用途等事实调查错误，补偿决定不具备合法性！</w:t>
            </w:r>
          </w:p>
        </w:tc>
        <w:tc>
          <w:tcPr>
            <w:tcW w:w="147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长沙市工商局开福区分局</w:t>
            </w:r>
          </w:p>
        </w:tc>
        <w:tc>
          <w:tcPr>
            <w:tcW w:w="8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关于长沙市开福区潮宗街街区有机更新项目信息公开申请的回复函（及相关照片）</w:t>
            </w:r>
          </w:p>
        </w:tc>
        <w:tc>
          <w:tcPr>
            <w:tcW w:w="2989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被告对被征收范围内同一建筑物既实施征收，又同时实施有机更新（提质改造），恰好证明作为前置要件的生效房屋征收决定本身有“明显、重大”的违法之处！</w:t>
            </w:r>
          </w:p>
        </w:tc>
        <w:tc>
          <w:tcPr>
            <w:tcW w:w="147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区工务局</w:t>
            </w:r>
          </w:p>
        </w:tc>
        <w:tc>
          <w:tcPr>
            <w:tcW w:w="837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信息公开回复</w:t>
            </w:r>
          </w:p>
        </w:tc>
        <w:tc>
          <w:tcPr>
            <w:tcW w:w="29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指挥部不能作为签订合同的主体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无权</w:t>
            </w:r>
            <w:r>
              <w:rPr>
                <w:rFonts w:hint="eastAsia"/>
                <w:vertAlign w:val="baseline"/>
                <w:lang w:eastAsia="zh-CN"/>
              </w:rPr>
              <w:t>聘请律所</w:t>
            </w:r>
          </w:p>
        </w:tc>
        <w:tc>
          <w:tcPr>
            <w:tcW w:w="147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区征收办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9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9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9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75" w:type="dxa"/>
            <w:vAlign w:val="top"/>
          </w:tcPr>
          <w:p/>
        </w:tc>
        <w:tc>
          <w:tcPr>
            <w:tcW w:w="837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8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</w:p>
        </w:tc>
        <w:tc>
          <w:tcPr>
            <w:tcW w:w="298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</w:p>
        </w:tc>
        <w:tc>
          <w:tcPr>
            <w:tcW w:w="298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</w:p>
        </w:tc>
        <w:tc>
          <w:tcPr>
            <w:tcW w:w="1475" w:type="dxa"/>
            <w:vAlign w:val="top"/>
          </w:tcPr>
          <w:p/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</w:p>
        </w:tc>
        <w:tc>
          <w:tcPr>
            <w:tcW w:w="29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ascii="仿宋" w:hAnsi="仿宋" w:cs="仿宋"/>
        <w:sz w:val="28"/>
        <w:szCs w:val="28"/>
      </w:rPr>
    </w:pPr>
    <w:r>
      <w:rPr>
        <w:rFonts w:hint="eastAsia" w:ascii="仿宋" w:hAnsi="仿宋" w:eastAsia="仿宋" w:cs="仿宋"/>
        <w:sz w:val="28"/>
        <w:szCs w:val="28"/>
      </w:rPr>
      <w:t>提交人：</w:t>
    </w:r>
    <w:r>
      <w:rPr>
        <w:rFonts w:hint="eastAsia" w:ascii="仿宋" w:hAnsi="仿宋" w:eastAsia="仿宋" w:cs="仿宋"/>
        <w:sz w:val="28"/>
        <w:szCs w:val="28"/>
        <w:lang w:val="en-US" w:eastAsia="zh-CN"/>
      </w:rPr>
      <w:t>孙建芳</w:t>
    </w:r>
    <w:r>
      <w:rPr>
        <w:rFonts w:hint="eastAsia" w:ascii="仿宋" w:hAnsi="仿宋" w:eastAsia="仿宋" w:cs="仿宋"/>
        <w:sz w:val="28"/>
        <w:szCs w:val="28"/>
      </w:rPr>
      <w:t xml:space="preserve">               日期：</w:t>
    </w:r>
    <w:r>
      <w:rPr>
        <w:rFonts w:hint="eastAsia" w:ascii="仿宋" w:hAnsi="仿宋" w:eastAsia="仿宋" w:cs="仿宋"/>
        <w:sz w:val="28"/>
        <w:szCs w:val="28"/>
        <w:lang w:val="en-US" w:eastAsia="zh-CN"/>
      </w:rPr>
      <w:t>20181112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  <w:rPr>
        <w:rFonts w:ascii="仿宋_GB2312" w:hAnsi="仿宋_GB2312" w:eastAsia="仿宋_GB2312" w:cs="仿宋_GB2312"/>
        <w:b/>
        <w:bCs/>
        <w:sz w:val="36"/>
        <w:szCs w:val="36"/>
      </w:rPr>
    </w:pPr>
    <w:r>
      <w:rPr>
        <w:rFonts w:hint="eastAsia" w:ascii="仿宋" w:hAnsi="仿宋" w:eastAsia="仿宋" w:cs="仿宋"/>
        <w:b/>
        <w:bCs/>
        <w:sz w:val="28"/>
        <w:szCs w:val="28"/>
      </w:rPr>
      <w:t>证据提交清单（证据目录）</w:t>
    </w:r>
    <w:r>
      <w:rPr>
        <w:rFonts w:hint="eastAsia" w:ascii="仿宋" w:hAnsi="仿宋" w:eastAsia="仿宋" w:cs="仿宋"/>
        <w:sz w:val="28"/>
        <w:szCs w:val="28"/>
      </w:rPr>
      <w:t xml:space="preserve"> 案号：</w:t>
    </w:r>
    <w:r>
      <w:rPr>
        <w:rFonts w:hint="eastAsia" w:ascii="仿宋" w:hAnsi="仿宋" w:eastAsia="仿宋" w:cs="仿宋"/>
        <w:sz w:val="32"/>
        <w:szCs w:val="32"/>
      </w:rPr>
      <w:t>（201</w:t>
    </w:r>
    <w:r>
      <w:rPr>
        <w:rFonts w:hint="eastAsia" w:ascii="仿宋" w:hAnsi="仿宋" w:eastAsia="仿宋" w:cs="仿宋"/>
        <w:sz w:val="32"/>
        <w:szCs w:val="32"/>
        <w:lang w:val="en-US" w:eastAsia="zh-CN"/>
      </w:rPr>
      <w:t>8</w:t>
    </w:r>
    <w:r>
      <w:rPr>
        <w:rFonts w:hint="eastAsia" w:ascii="仿宋" w:hAnsi="仿宋" w:eastAsia="仿宋" w:cs="仿宋"/>
        <w:sz w:val="32"/>
        <w:szCs w:val="32"/>
      </w:rPr>
      <w:t>）湘</w:t>
    </w:r>
    <w:r>
      <w:rPr>
        <w:rFonts w:hint="eastAsia" w:ascii="仿宋" w:hAnsi="仿宋" w:eastAsia="仿宋" w:cs="仿宋"/>
        <w:sz w:val="32"/>
        <w:szCs w:val="32"/>
        <w:lang w:val="en-US" w:eastAsia="zh-CN"/>
      </w:rPr>
      <w:t>01</w:t>
    </w:r>
    <w:r>
      <w:rPr>
        <w:rFonts w:hint="eastAsia" w:ascii="仿宋" w:hAnsi="仿宋" w:eastAsia="仿宋" w:cs="仿宋"/>
        <w:sz w:val="32"/>
        <w:szCs w:val="32"/>
      </w:rPr>
      <w:t>行</w:t>
    </w:r>
    <w:r>
      <w:rPr>
        <w:rFonts w:hint="eastAsia" w:ascii="仿宋" w:hAnsi="仿宋" w:eastAsia="仿宋" w:cs="仿宋"/>
        <w:sz w:val="32"/>
        <w:szCs w:val="32"/>
        <w:lang w:val="en-US" w:eastAsia="zh-CN"/>
      </w:rPr>
      <w:t>初244</w:t>
    </w:r>
    <w:r>
      <w:rPr>
        <w:rFonts w:hint="eastAsia" w:ascii="仿宋" w:hAnsi="仿宋" w:eastAsia="仿宋" w:cs="仿宋"/>
        <w:sz w:val="32"/>
        <w:szCs w:val="32"/>
      </w:rPr>
      <w:t>号</w:t>
    </w:r>
    <w:r>
      <w:rPr>
        <w:rFonts w:hint="eastAsia" w:ascii="仿宋" w:hAnsi="仿宋" w:cs="仿宋"/>
        <w:sz w:val="28"/>
        <w:szCs w:val="28"/>
      </w:rPr>
      <w:t xml:space="preserve">  </w:t>
    </w:r>
  </w:p>
  <w:p>
    <w:pPr>
      <w:rPr>
        <w:rFonts w:hint="eastAsia" w:ascii="仿宋" w:hAnsi="仿宋" w:cs="仿宋"/>
        <w:sz w:val="28"/>
        <w:szCs w:val="28"/>
      </w:rPr>
    </w:pPr>
    <w:r>
      <w:rPr>
        <w:rFonts w:hint="eastAsia" w:ascii="仿宋" w:hAnsi="仿宋" w:eastAsia="仿宋" w:cs="仿宋"/>
        <w:sz w:val="28"/>
        <w:szCs w:val="28"/>
      </w:rPr>
      <w:t xml:space="preserve">             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EBEF"/>
    <w:multiLevelType w:val="singleLevel"/>
    <w:tmpl w:val="5AD1EB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66410"/>
    <w:rsid w:val="054136B2"/>
    <w:rsid w:val="08AF1E3F"/>
    <w:rsid w:val="0C6F704F"/>
    <w:rsid w:val="0E7444A5"/>
    <w:rsid w:val="11452B11"/>
    <w:rsid w:val="132C59C0"/>
    <w:rsid w:val="1C3F0C22"/>
    <w:rsid w:val="1F853783"/>
    <w:rsid w:val="20283C5E"/>
    <w:rsid w:val="26885193"/>
    <w:rsid w:val="2A5174F8"/>
    <w:rsid w:val="2FB91045"/>
    <w:rsid w:val="44E62BDA"/>
    <w:rsid w:val="455C7222"/>
    <w:rsid w:val="45CA71F1"/>
    <w:rsid w:val="4848303D"/>
    <w:rsid w:val="4CC17042"/>
    <w:rsid w:val="51394BF0"/>
    <w:rsid w:val="66982FBA"/>
    <w:rsid w:val="695138F2"/>
    <w:rsid w:val="69F66EB4"/>
    <w:rsid w:val="6B641761"/>
    <w:rsid w:val="6F5C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2018-04-14T11:20:00Z</dcterms:created>
  <dc:creator>Stallone</dc:creator>
  <cp:lastModifiedBy>30886</cp:lastModifiedBy>
  <cp:lastPrinted>2018-11-12T12:57:00Z</cp:lastPrinted>
  <dcterms:modified xsi:type="dcterms:W3CDTF">2018-11-15T15:23:48Z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