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</w:rPr>
      </w:pPr>
      <w:bookmarkStart w:id="0" w:name="_GoBack"/>
      <w:r>
        <w:rPr>
          <w:rFonts w:hint="eastAsia" w:ascii="黑体" w:hAnsi="黑体" w:eastAsia="黑体" w:cs="黑体"/>
          <w:sz w:val="32"/>
          <w:szCs w:val="32"/>
        </w:rPr>
        <w:t>对长沙市芙蓉区法院法官朱阿军涉嫌犯罪的举报</w:t>
      </w:r>
    </w:p>
    <w:bookmarkEnd w:id="0"/>
    <w:p>
      <w:pPr>
        <w:jc w:val="center"/>
        <w:rPr>
          <w:rFonts w:hint="eastAsia" w:ascii="黑体" w:hAnsi="黑体" w:eastAsia="黑体" w:cs="黑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本人（一审被告）与胡碧群（一审原告）民事案，经芙蓉区法院一审判决（2000）芙民初字第1282号，长沙市中级法院二审判决（2002）长中民一终字第1178号，湖南省高级法院于2004年4月8日作出（2004）湘法民监字第48号民事裁定书，裁定再审，中止原判决执行。2005年3月10日长沙市中级法院作出（2004）长终民再终字132号民事判决书，维持原判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本案从2002年至今，从始至终本人未见到相关针对本人的法院强制执行裁定，经复制案卷发现一纸署名为胡碧群的《恢复执行申请》，曰“：经长沙市中级人民法院再审，作出了（2004）长终民再终字132号民事判决......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蹊跷之处是该判决的时间是2005年3月10日，而上述《申请》的时间却是2004年4月2日。即提前6天《申请》就预知省高院一定会在2004年4月8日裁定再审，几乎提前一年就预判长沙市中级法院再审的判决结果和案号。更匪夷所思的是该《申请》居然光明正大地在芙蓉区法院卷宗，堂而皇之成为芙蓉区法院的执行材料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本人寻求对于上述未卜先知的超自然预见能力的解释，芙蓉区法院执行法官朱阿军三缄其口，并此后违法禁止本人依法查阅本案案卷。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毫无疑问《申请》肯定在落款时间上造假，其目的应该是衔接执行的法定时效，掩盖本案时效的瑕疵。如果执行法官朱阿军配合或授意他人为之，则某涉嫌渎职、帮助伪造证据等犯罪。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恳请依法查处。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长沙市芙蓉区监察委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举报人：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150"/>
        <w:jc w:val="both"/>
        <w:textAlignment w:val="auto"/>
        <w:outlineLvl w:val="9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                        2019年1月22日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2482A"/>
    <w:rsid w:val="79A2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2019-01-26T15:33:00Z</dcterms:created>
  <dc:creator>30886</dc:creator>
  <cp:lastModifiedBy>30886</cp:lastModifiedBy>
  <dcterms:modified xsi:type="dcterms:W3CDTF">2019-01-26T15:34:59Z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