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 Documento Técnico de la Encuesta Nacional de Experiencia del Usuario en Salud (ENUS 2026), operación estadística del Ministerio de Salud y Protección Social (MSPS) orientada a la medición de la experiencia de los usuarios frente a los servicios de salud.</w:t>
      </w:r>
    </w:p>
    <w:p>
      <w:pPr>
        <w:pStyle w:val="BodyText"/>
      </w:pPr>
      <w:r>
        <w:t xml:space="preserve">El documento ha sido elaborado por la Oficina de Calidad del Ministerio de Salud y Protección Social y tiene como propósito establecer y documentar los aspectos técnicos y metodológicos que sustentan el diseño, ejecución, procesamiento, análisis y generación de resultados de la operación estadística.</w:t>
      </w:r>
    </w:p>
    <w:p>
      <w:pPr>
        <w:pStyle w:val="BodyText"/>
      </w:pPr>
      <w:r>
        <w:t xml:space="preserve">En este sentido, constituye el marco de referencia para la revisión técnica, validación institucional, implementación y documentación de la ENUS 2026, procurando que las diferentes etapas de la operación se desarrollen bajo criterios de coherencia metodológica, trazabilidad y reproducibilidad.</w:t>
      </w:r>
    </w:p>
    <w:p>
      <w:pPr>
        <w:pStyle w:val="BodyText"/>
      </w:pPr>
      <w:r>
        <w:t xml:space="preserve">El documento presenta de manera integrada los elementos que sustentan la operación estadística, incluyendo sus objetivos, alcance, diseño estadístico, diseño de la recolección, procesamiento de la información, estrategias de estimación y validación, así como los mecanismos previstos para el control de calidad y la generación de los productos estadísticos.</w:t>
      </w:r>
    </w:p>
    <w:p>
      <w:pPr>
        <w:pStyle w:val="BodyText"/>
      </w:pPr>
      <w:r>
        <w:t xml:space="preserve">La documentación se estructura de manera que permita identificar la relación entre los objetivos de la operación, las necesidades de información, los instrumentos de recolección, las variables e indicadores derivados y los procedimientos estadísticos utilizados para la producción de resultados.</w:t>
      </w:r>
    </w:p>
    <w:bookmarkEnd w:id="19"/>
    <w:bookmarkStart w:id="20" w:name="introducción"/>
    <w:p>
      <w:pPr>
        <w:pStyle w:val="Heading1"/>
      </w:pP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18">
        <w:r>
          <w:rPr>
            <w:rStyle w:val="Hyperlink"/>
          </w:rPr>
          <w:t xml:space="preserve">Matajira Gaitán et al. 2018</w:t>
        </w:r>
      </w:hyperlink>
      <w:r>
        <w:t xml:space="preserve">)</w:t>
      </w:r>
      <w:r>
        <w:t xml:space="preserve">. La</w:t>
      </w:r>
      <w:r>
        <w:t xml:space="preserve"> </w:t>
      </w:r>
      <w:r>
        <w:rPr>
          <w:i/>
          <w:i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i/>
          <w:i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i/>
          <w:iCs/>
        </w:rPr>
        <w:t xml:space="preserve">muestreo por cuotas</w:t>
      </w:r>
      <w:r>
        <w:t xml:space="preserve"> </w:t>
      </w:r>
      <w:r>
        <w:t xml:space="preserve">(</w:t>
      </w:r>
      <w:hyperlink w:anchor="ref-Kish1965">
        <w:r>
          <w:rPr>
            <w:rStyle w:val="Hyperlink"/>
          </w:rPr>
          <w:t xml:space="preserve">Kish 1965</w:t>
        </w:r>
      </w:hyperlink>
      <w:r>
        <w:t xml:space="preserve">;</w:t>
      </w:r>
      <w:r>
        <w:t xml:space="preserve"> </w:t>
      </w:r>
      <w:hyperlink w:anchor="ref-ElliottValliant2017">
        <w:r>
          <w:rPr>
            <w:rStyle w:val="Hyperlink"/>
          </w:rPr>
          <w:t xml:space="preserve">Elliott y Valliant 2017</w:t>
        </w:r>
      </w:hyperlink>
      <w:r>
        <w:t xml:space="preserve">)</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i/>
          <w:iCs/>
        </w:rPr>
        <w:t xml:space="preserve">calibración por entropía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w:t>
      </w:r>
      <w:r>
        <w:t xml:space="preserve"> </w:t>
      </w:r>
      <w:r>
        <w:t xml:space="preserve">(</w:t>
      </w:r>
      <w:hyperlink w:anchor="ref-RaoWu1988">
        <w:r>
          <w:rPr>
            <w:rStyle w:val="Hyperlink"/>
          </w:rPr>
          <w:t xml:space="preserve">Rao y Wu 1988</w:t>
        </w:r>
      </w:hyperlink>
      <w:r>
        <w:t xml:space="preserve">;</w:t>
      </w:r>
      <w:r>
        <w:t xml:space="preserve"> </w:t>
      </w:r>
      <w:hyperlink w:anchor="ref-EfronTibshirani1993">
        <w:r>
          <w:rPr>
            <w:rStyle w:val="Hyperlink"/>
          </w:rPr>
          <w:t xml:space="preserve">Efron y Tibshirani 1993</w:t>
        </w:r>
      </w:hyperlink>
      <w:r>
        <w:t xml:space="preserve">)</w:t>
      </w:r>
      <w:r>
        <w:t xml:space="preserve"> </w:t>
      </w:r>
      <w:r>
        <w:t xml:space="preserve">y calidad estadística.</w:t>
      </w:r>
    </w:p>
    <w:p>
      <w:pPr>
        <w:pStyle w:val="BodyText"/>
      </w:pPr>
      <w:r>
        <w:t xml:space="preserve">El presente</w:t>
      </w:r>
      <w:r>
        <w:t xml:space="preserve"> </w:t>
      </w:r>
      <w:r>
        <w:rPr>
          <w:i/>
          <w:iCs/>
        </w:rPr>
        <w:t xml:space="preserve">Documento Metodológico</w:t>
      </w:r>
      <w:r>
        <w:t xml:space="preserve"> </w:t>
      </w:r>
      <w:r>
        <w:t xml:space="preserve">describe de manera integrada los elementos que sustentan la ENUS 2026: la población objetivo y las unidades de observación, el mecanismo de captación y clasificación de los participantes, y el diseño y control de las cuotas. Documenta, además, la estructura y aplicación del cuestionario y el árbol de decisión que determina sus rutas; el procesamiento y validación de la información recolectada; la construcción y calibración de los pesos; y la estimación de los indicadores junto con los procedimientos para evaluar su incertidumbre y calidad.</w:t>
      </w:r>
    </w:p>
    <w:p>
      <w:pPr>
        <w:pStyle w:val="BodyText"/>
      </w:pPr>
      <w:r>
        <w:t xml:space="preserve">La organización del documento sigue la secuencia metodológica de la operación. Los primeros capítulos presentan la identidad y caracterización de la ENUS 2026, establecen su marco general y describen la población objetivo, el diseño de la encuesta, el mecanismo de captación, el instrumento de recolección y la estructura lógica del cuestionario. Los capítulos centrales desarrollan los procedimientos de procesamiento, ponderación, calibración y estimación, así como la metodología para evaluar la incertidumbre y la calidad estadística de los resultados. El documento cierra con las principales limitaciones de la operación y los anexos técnicos que detallan el cuestionario, el árbol de decisión, las cuotas, los indicadores y las matrices de trazabilidad.</w:t>
      </w:r>
    </w:p>
    <w:p>
      <w:pPr>
        <w:pStyle w:val="BodyText"/>
      </w:pPr>
      <w:r>
        <w:t xml:space="preserve">En conjunto, el documento constituye el referente metodológico para comprender cómo se estructura la ENUS 2026, cómo se recolecta y procesa la información, y cómo esta se transforma en los resultados estadísticos de la operación.</w:t>
      </w:r>
    </w:p>
    <w:bookmarkEnd w:id="20"/>
    <w:bookmarkStart w:id="46" w:name="sec-antecedentes"/>
    <w:p>
      <w:pPr>
        <w:pStyle w:val="Heading1"/>
      </w:pPr>
      <w:r>
        <w:rPr>
          <w:rStyle w:val="SectionNumber"/>
        </w:rPr>
        <w:t xml:space="preserve">1</w:t>
      </w:r>
      <w:r>
        <w:tab/>
      </w:r>
      <w:r>
        <w:t xml:space="preserve">Antecedentes</w:t>
      </w:r>
    </w:p>
    <w:p>
      <w:pPr>
        <w:pStyle w:val="FirstParagraph"/>
      </w:pPr>
      <w:r>
        <w:t xml:space="preserve">Este capítulo tiene tres propósitos: presentar la evolución de las mediciones sobre la percepción de calidad, la satisfacción y la experiencia de los usuarios del sistema de salud colombiano entre 2005 y 2025; identificar los principales antecedentes nacionales e internacionales que sirven de referencia para la ENUS 2026; y recoger los principales aprendizajes derivados de estas experiencias.</w:t>
      </w:r>
    </w:p>
    <w:p>
      <w:pPr>
        <w:pStyle w:val="BodyText"/>
      </w:pPr>
      <w:r>
        <w:t xml:space="preserve">Estos antecedentes sirven como contexto para el diseño de la ENUS 2026, pero no definen por sí mismos las decisiones metodológicas de la encuesta. Los aspectos relacionados con el diseño muestral, el instrumento, el procesamiento, la ponderación y la estimación se presentan en los capítulos correspondientes.</w:t>
      </w:r>
    </w:p>
    <w:p>
      <w:pPr>
        <w:pStyle w:val="BodyText"/>
      </w:pPr>
      <w:r>
        <w:t xml:space="preserve">Para la elaboración de este capítulo se revisaron los documentos originales de las principales mediciones realizadas por el Ministerio de Salud y Protección Social, así como las fuentes utilizadas para los antecedentes nacionales e internacionales. Cuando alguna información no pudo ser comprobada directamente en las fuentes disponibles, se señala para su posterior verificación.</w:t>
      </w:r>
    </w:p>
    <w:bookmarkStart w:id="21" w:name="sec-marco-normativo"/>
    <w:p>
      <w:pPr>
        <w:pStyle w:val="Heading2"/>
      </w:pPr>
      <w:r>
        <w:rPr>
          <w:rStyle w:val="SectionNumber"/>
        </w:rPr>
        <w:t xml:space="preserve">1.1</w:t>
      </w:r>
      <w:r>
        <w:tab/>
      </w:r>
      <w:r>
        <w:t xml:space="preserve">Marco normativo: el Sistema Obligatorio de Garantía de Calidad en Salud</w:t>
      </w:r>
    </w:p>
    <w:p>
      <w:pPr>
        <w:pStyle w:val="FirstParagraph"/>
      </w:pPr>
      <w:r>
        <w:t xml:space="preserve">La medición de la experiencia y la satisfacción de los usuarios del Sistema General de Seguridad Social en Salud (SGSSS) no es una iniciativa aislada: se inscribe en el Sistema Obligatorio de Garantía de Calidad de la Atención de Salud (SOGCS), que constituye el marco reglamentario bajo el cual el sector salud genera, mantiene y mejora la calidad de los servicios. El SOGCS fue establecido originalmente mediante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sus disposiciones fueron posteriormente compiladas —sin modificación sustantiva de su contenido— en el Decreto 780 de 2016, Decreto Único Reglamentario del Sector Salud y Protección Social, que hoy constituye la norma reglamentaria vigente en la materia</w:t>
      </w:r>
      <w:r>
        <w:t xml:space="preserve"> </w:t>
      </w:r>
      <w:r>
        <w:t xml:space="preserve">(</w:t>
      </w:r>
      <w:hyperlink w:anchor="ref-Decreto780_2016">
        <w:r>
          <w:rPr>
            <w:rStyle w:val="Hyperlink"/>
          </w:rPr>
          <w:t xml:space="preserve">Ministerio de Salud y Protección Social 2016a</w:t>
        </w:r>
      </w:hyperlink>
      <w:r>
        <w:t xml:space="preserve">)</w:t>
      </w:r>
      <w:r>
        <w:t xml:space="preserve">. Por esta razón, las referencias normativas de este documento se hacen al Decreto 780 de 2016, señalando cuando corresponda su origen en el Decreto 1011 de 2006.</w:t>
      </w:r>
    </w:p>
    <w:p>
      <w:pPr>
        <w:pStyle w:val="BodyText"/>
      </w:pPr>
      <w:r>
        <w:t xml:space="preserve">De acuerdo con el Decreto 780 de 2016, las acciones del SOGCS se orientan al mejoramiento de los resultados de la atención en salud centrados en el usuario, superando la verificación aislada de la existencia de estructuras o de la documentación de procesos, los cuales constituyen únicamente prerrequisitos para alcanzar dichos resultados. Para efectos de evaluar y mejorar la calidad de la atención, la norma define cinco características esenciales: accesibilidad, oportunidad, seguridad, pertinencia y continuidad. Dos de ellas resultan directamente constitutivas del objeto de medición de ENUS 2026. La accesibilidad se define como la posibilidad que tiene el usuario de utilizar los servicios de salud que le garantiza el SGSSS; la oportunidad, como la posibilidad de obtener los servicios requeridos sin que se presenten retrasos que pongan en riesgo su vida o su salud. Ambas dimensiones son retomadas explícitamente por el marco conceptual de este documento para definir la experiencia del usuario (véase la Sección</w:t>
      </w:r>
      <w:r>
        <w:t xml:space="preserve"> </w:t>
      </w:r>
      <w:r>
        <w:t xml:space="preserve">3.1</w:t>
      </w:r>
      <w:r>
        <w:t xml:space="preserve">).</w:t>
      </w:r>
    </w:p>
    <w:p>
      <w:pPr>
        <w:pStyle w:val="BodyText"/>
      </w:pPr>
      <w:r>
        <w:t xml:space="preserve">Estructuralmente, el SOGCS se articula en cuatro componentes: el Sistema Único de Habilitación, la Auditoría para el Mejoramiento de la Calidad de la Atención de Salud, el Sistema Único de Acreditación y el Sistema de Información para la Calidad (SIC). Este último es el componente de anclaje directo de ENUS 2026, en tanto define los mecanismos mediante los cuales el sistema produce, reporta y difunde información sobre la calidad de los servicios desde la perspectiva del usuario. La Resolución 256 de 2016 desarrolló este componente al establecer las disposiciones del SIC y definir el conjunto de indicadores de monitoreo de la calidad, bajo un enfoque orientado al mejoramiento continuo y al impacto sobre los usuarios</w:t>
      </w:r>
      <w:r>
        <w:t xml:space="preserve"> </w:t>
      </w:r>
      <w:r>
        <w:t xml:space="preserve">(</w:t>
      </w:r>
      <w:hyperlink w:anchor="ref-Resolucion256_2016">
        <w:r>
          <w:rPr>
            <w:rStyle w:val="Hyperlink"/>
          </w:rPr>
          <w:t xml:space="preserve">Ministerio de Salud y Protección Social 2016c</w:t>
        </w:r>
      </w:hyperlink>
      <w:r>
        <w:t xml:space="preserve">)</w:t>
      </w:r>
      <w:r>
        <w:t xml:space="preserve">. Es en este mismo componente donde se enmarcan las mediciones institucionales previas del Ministerio —incluidas las encuestas de evaluación de los servicios de las EPS, según lo declaran expresamente sus respectivos informes metodológicos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lo que permite leer ENUS 2026 como continuidad y no como ruptura respecto de la serie de mediciones anteriores descritas en este capítulo.</w:t>
      </w:r>
    </w:p>
    <w:p>
      <w:pPr>
        <w:pStyle w:val="BodyText"/>
      </w:pPr>
      <w:r>
        <w:t xml:space="preserve">Sobre esa base normativa acumulada, la medición de la satisfacción y de las dimensiones asociadas a la interacción de las personas con el sistema de salud ha operado durante casi dos décadas como mecanismo regular de seguimiento de la calidad. Estas mediciones constituyen el antecedente institucional de una ampliación conceptual de mayor alcance: la incorporación, junto a la medición de satisfacción —construida sobre juicios evaluativos globales del usuario—, de una medición de experiencia del usuario, que documenta ocurrencias concretas y verificables en dimensiones como el acceso, la oportunidad, la continuidad, el trato recibido y la resolución efectiva de la necesidad en salud.</w:t>
      </w:r>
    </w:p>
    <w:p>
      <w:pPr>
        <w:pStyle w:val="BodyText"/>
      </w:pPr>
      <w:r>
        <w:t xml:space="preserve">Esta evolución se consolida formalmente con la Resolución 1642 de 2026, que establece lineamientos para la Carta de Derechos y Deberes de las personas afiliadas al SGSSS y adopta la Encuesta Nacional de Experiencia del Usuario en Salud (ENUS) como instrumento oficial para la medición de la experiencia del usuario</w:t>
      </w:r>
      <w:r>
        <w:t xml:space="preserve"> </w:t>
      </w:r>
      <w:r>
        <w:t xml:space="preserve">(</w:t>
      </w:r>
      <w:hyperlink w:anchor="ref-Resolucion1642_2026">
        <w:r>
          <w:rPr>
            <w:rStyle w:val="Hyperlink"/>
          </w:rPr>
          <w:t xml:space="preserve">Ministerio de Salud y Protección Social 2026</w:t>
        </w:r>
      </w:hyperlink>
      <w:r>
        <w:t xml:space="preserve">)</w:t>
      </w:r>
      <w:r>
        <w:t xml:space="preserve">. Dicha resolución constituye el acto administrativo que confiere a ENUS 2026 su carácter de operación estadística institucional y define su alcance dentro del SIC.</w:t>
      </w:r>
    </w:p>
    <w:p>
      <w:pPr>
        <w:pStyle w:val="BodyText"/>
      </w:pPr>
      <w:r>
        <w:t xml:space="preserve">En síntesis, el marco normativo de ENUS 2026 opera en tres niveles jerárquicos y complementarios: el SOGCS (Decreto 780 de 2016, que compila el Decreto 1011 de 2006) aporta el marco general de calidad y el mandato de orientación al usuario, junto con las definiciones de accesibilidad y oportunidad que la encuesta operacionaliza; el Sistema de Información para la Calidad (Resolución 256 de 2016) establece los mecanismos de monitoreo, los indicadores y las obligaciones de reporte; y la Resolución 1642 de 2026 adopta la ENUS como el instrumento específico mediante el cual se materializa la medición de la experiencia del usuario en salud. Este encadenamiento normativo es el fundamento institucional que sostiene la existencia, la periodicidad y la exigibilidad de las mediciones de experiencia del usuario en el sistema de salud colombiano.</w:t>
      </w:r>
    </w:p>
    <w:bookmarkEnd w:id="21"/>
    <w:bookmarkStart w:id="22" w:name="X4cde3dc6927fd8b52a2f09e0baf95c35cbf3ed5"/>
    <w:p>
      <w:pPr>
        <w:pStyle w:val="Heading2"/>
      </w:pPr>
      <w:r>
        <w:rPr>
          <w:rStyle w:val="SectionNumber"/>
        </w:rPr>
        <w:t xml:space="preserve">1.2</w:t>
      </w:r>
      <w:r>
        <w:tab/>
      </w:r>
      <w:r>
        <w:t xml:space="preserve">Evolución conceptual: de la percepción de calidad a la medición de la experiencia</w:t>
      </w:r>
    </w:p>
    <w:p>
      <w:pPr>
        <w:pStyle w:val="FirstParagraph"/>
      </w:pPr>
      <w:r>
        <w:t xml:space="preserve">Las mediciones realizadas en Colombia a lo largo del período revisado no han abordado necesariamente el mismo objeto de medición que la ENUS 2026. Se observa una evolución progresiva desde mediciones centradas en la percepción de la calidad y la satisfacción hacia un enfoque que busca caracterizar de manera más amplia la experiencia de las personas durante su interacción con los servicios de salud.</w:t>
      </w:r>
    </w:p>
    <w:p>
      <w:pPr>
        <w:pStyle w:val="BodyText"/>
      </w:pPr>
      <w:r>
        <w:t xml:space="preserve">Esta evolución puede entenderse a partir de tres enfoques relacionados, pero conceptualmente diferenciables:</w:t>
      </w:r>
    </w:p>
    <w:p>
      <w:pPr>
        <w:numPr>
          <w:ilvl w:val="0"/>
          <w:numId w:val="1001"/>
        </w:numPr>
      </w:pPr>
      <w:r>
        <w:rPr>
          <w:b/>
          <w:bCs/>
        </w:rPr>
        <w:t xml:space="preserve">Percepción de calidad.</w:t>
      </w:r>
      <w:r>
        <w:t xml:space="preserve"> </w:t>
      </w:r>
      <w:r>
        <w:t xml:space="preserve">Las mediciones asociadas con PECASUSS se orientaron a conocer la valoración que los usuarios realizaban sobre la calidad de los servicios recibidos</w:t>
      </w:r>
      <w:r>
        <w:t xml:space="preserve"> </w:t>
      </w:r>
      <w:r>
        <w:t xml:space="preserve">(</w:t>
      </w:r>
      <w:hyperlink w:anchor="ref-PECASUSS2008">
        <w:r>
          <w:rPr>
            <w:rStyle w:val="Hyperlink"/>
          </w:rPr>
          <w:t xml:space="preserve">Ministerio de la Protección Social 2008</w:t>
        </w:r>
      </w:hyperlink>
      <w:r>
        <w:t xml:space="preserve">)</w:t>
      </w:r>
      <w:r>
        <w:t xml:space="preserve">. Este enfoque constituye uno de los antecedentes de la medición de la calidad desde la perspectiva de los usuarios en Colombia.</w:t>
      </w:r>
    </w:p>
    <w:p>
      <w:pPr>
        <w:numPr>
          <w:ilvl w:val="0"/>
          <w:numId w:val="1001"/>
        </w:numPr>
      </w:pPr>
      <w:r>
        <w:rPr>
          <w:b/>
          <w:bCs/>
        </w:rPr>
        <w:t xml:space="preserve">Satisfacción.</w:t>
      </w:r>
      <w:r>
        <w:t xml:space="preserve"> </w:t>
      </w:r>
      <w:r>
        <w:t xml:space="preserve">Las mediciones desarrolladas posteriormente por la Defensoría del Pueblo y, de manera sistemática, por el Ministerio de Salud y Protección Social, incorporaron la satisfacción como una medida de valoración de los usuarios respecto de los servicios y de las entidades responsables de su atención</w:t>
      </w:r>
      <w:r>
        <w:t xml:space="preserve"> </w:t>
      </w:r>
      <w:r>
        <w:t xml:space="preserve">(</w:t>
      </w:r>
      <w:hyperlink w:anchor="ref-DefensoriaPueblo2009">
        <w:r>
          <w:rPr>
            <w:rStyle w:val="Hyperlink"/>
          </w:rPr>
          <w:t xml:space="preserve">Defensoría del Pueblo de Colombia 2009</w:t>
        </w:r>
      </w:hyperlink>
      <w:r>
        <w:t xml:space="preserve">;</w:t>
      </w:r>
      <w:r>
        <w:t xml:space="preserve"> </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24">
        <w:r>
          <w:rPr>
            <w:rStyle w:val="Hyperlink"/>
          </w:rPr>
          <w:t xml:space="preserve">2024</w:t>
        </w:r>
      </w:hyperlink>
      <w:r>
        <w:t xml:space="preserve">,</w:t>
      </w:r>
      <w:r>
        <w:t xml:space="preserve"> </w:t>
      </w:r>
      <w:hyperlink w:anchor="ref-MSPS2025">
        <w:r>
          <w:rPr>
            <w:rStyle w:val="Hyperlink"/>
          </w:rPr>
          <w:t xml:space="preserve">2025</w:t>
        </w:r>
      </w:hyperlink>
      <w:r>
        <w:t xml:space="preserve">;</w:t>
      </w:r>
      <w:r>
        <w:t xml:space="preserve"> </w:t>
      </w:r>
      <w:hyperlink w:anchor="ref-MSPS2018">
        <w:r>
          <w:rPr>
            <w:rStyle w:val="Hyperlink"/>
          </w:rPr>
          <w:t xml:space="preserve">Matajira Gaitán et al. 2018</w:t>
        </w:r>
      </w:hyperlink>
      <w:r>
        <w:t xml:space="preserve">)</w:t>
      </w:r>
      <w:r>
        <w:t xml:space="preserve">. Estas mediciones permitieron realizar seguimiento a la percepción de los usuarios y generar información para el monitoreo de la calidad de los servicios.</w:t>
      </w:r>
    </w:p>
    <w:p>
      <w:pPr>
        <w:numPr>
          <w:ilvl w:val="0"/>
          <w:numId w:val="1001"/>
        </w:numPr>
      </w:pPr>
      <w:r>
        <w:rPr>
          <w:b/>
          <w:bCs/>
        </w:rPr>
        <w:t xml:space="preserve">Satisfacción y experiencia del usuario.</w:t>
      </w:r>
      <w:r>
        <w:t xml:space="preserve"> </w:t>
      </w:r>
      <w:r>
        <w:t xml:space="preserve">La ENUS 2026 mide ambos fenómenos de manera complementaria: una valoración global de satisfacción, en continuidad con la serie histórica, y un conjunto de dimensiones específicas de experiencia —hechos concretos de la interacción de las personas con el sistema y los servicios de salud, distintos de esa valoración global—. La definición de cada concepto y las dimensiones específicas de experiencia se desarrollan en el marco conceptual de este documento (</w:t>
      </w:r>
      <w:r>
        <w:t xml:space="preserve">3.1</w:t>
      </w:r>
      <w:r>
        <w:t xml:space="preserve">).</w:t>
      </w:r>
    </w:p>
    <w:p>
      <w:pPr>
        <w:pStyle w:val="FirstParagraph"/>
      </w:pPr>
      <w:r>
        <w:t xml:space="preserve">Los referentes internacionales contribuyen a esta evolución conceptual. Instrumentos como CAHPS, el enfoque de</w:t>
      </w:r>
      <w:r>
        <w:t xml:space="preserve"> </w:t>
      </w:r>
      <w:r>
        <w:rPr>
          <w:i/>
          <w:iCs/>
        </w:rPr>
        <w:t xml:space="preserve">responsiveness</w:t>
      </w:r>
      <w:r>
        <w:t xml:space="preserve"> </w:t>
      </w:r>
      <w:r>
        <w:t xml:space="preserve">desarrollado por la Organización Mundial de la Salud y el programa PaRIS de la OECD muestran diferentes formas de medir aspectos de la atención desde la perspectiva de las personas que utilizan los servicios. Estos referentes incorporan dimensiones específicas de la interacción con los servicios y permiten avanzar desde una valoración general hacia mediciones más desagregadas de la experiencia.</w:t>
      </w:r>
    </w:p>
    <w:p>
      <w:pPr>
        <w:pStyle w:val="BodyText"/>
      </w:pPr>
      <w:r>
        <w:t xml:space="preserve">En este documento se conserva la terminología utilizada en las fuentes originales. Por esta razón, las mediciones anteriores se presentan como mediciones de percepción de calidad o satisfacción cuando ese es el concepto utilizado por sus respectivos instrumentos, y no se homologan retrospectivamente como mediciones de experiencia del usuario.</w:t>
      </w:r>
    </w:p>
    <w:p>
      <w:pPr>
        <w:pStyle w:val="BodyText"/>
      </w:pPr>
      <w:r>
        <w:t xml:space="preserve">Esta precisión es importante porque algunos instrumentos anteriores incorporaron el término “experiencia” en determinadas preguntas o indicadores. Por ejemplo, documentos del ciclo de mediciones del Ministerio de Salud y Protección Social utilizan expresiones relacionadas con la experiencia global de los usuarios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3">
        <w:r>
          <w:rPr>
            <w:rStyle w:val="Hyperlink"/>
          </w:rPr>
          <w:t xml:space="preserve">2023</w:t>
        </w:r>
      </w:hyperlink>
      <w:r>
        <w:t xml:space="preserve">)</w:t>
      </w:r>
      <w:r>
        <w:t xml:space="preserve">. Sin embargo, el uso del término en una pregunta particular no implica necesariamente que toda la operación haya tenido como objeto una medición multidimensional de la experiencia del usuario.</w:t>
      </w:r>
    </w:p>
    <w:p>
      <w:pPr>
        <w:pStyle w:val="BodyText"/>
      </w:pPr>
      <w:r>
        <w:t xml:space="preserve">En este sentido, los antecedentes presentados en este capítulo no deben interpretarse como una serie de mediciones homogéneas del mismo indicador. Constituyen, más bien, el proceso mediante el cual el sistema de salud colombiano ha desarrollado diferentes mecanismos para conocer la percepción, satisfacción y experiencia de los usuarios. La ENUS 2026 se desarrolla sobre este recorrido y establece la satisfacción y la experiencia del usuario como objetos explícitos y complementarios de medición, de acuerdo con el marco conceptual y normativo que se presenta en los capítulos siguientes.</w:t>
      </w:r>
    </w:p>
    <w:bookmarkEnd w:id="22"/>
    <w:bookmarkStart w:id="23" w:name="primeros-antecedentes-2003-2011"/>
    <w:p>
      <w:pPr>
        <w:pStyle w:val="Heading2"/>
      </w:pPr>
      <w:r>
        <w:rPr>
          <w:rStyle w:val="SectionNumber"/>
        </w:rPr>
        <w:t xml:space="preserve">1.3</w:t>
      </w:r>
      <w:r>
        <w:tab/>
      </w:r>
      <w:r>
        <w:t xml:space="preserve">Primeros antecedentes: 2003-2011</w:t>
      </w:r>
    </w:p>
    <w:p>
      <w:pPr>
        <w:pStyle w:val="FirstParagraph"/>
      </w:pPr>
      <w:r>
        <w:t xml:space="preserve">Entre los primeros antecedentes identificados se encuentran las evaluaciones realizadas por la</w:t>
      </w:r>
      <w:r>
        <w:t xml:space="preserve"> </w:t>
      </w:r>
      <w:r>
        <w:rPr>
          <w:i/>
          <w:iCs/>
        </w:rPr>
        <w:t xml:space="preserve">Defensoría del Pueblo</w:t>
      </w:r>
      <w:r>
        <w:t xml:space="preserve"> </w:t>
      </w:r>
      <w:r>
        <w:t xml:space="preserve">y el desarrollo del instrumento</w:t>
      </w:r>
      <w:r>
        <w:t xml:space="preserve"> </w:t>
      </w:r>
      <w:r>
        <w:rPr>
          <w:i/>
          <w:iCs/>
        </w:rPr>
        <w:t xml:space="preserve">PECASUSS (Percepción de Calidad según Usuarios de Servicios de Salud)</w:t>
      </w:r>
      <w:r>
        <w:t xml:space="preserve">. Estas experiencias constituyen antecedentes importantes para la posterior incorporación de mediciones sistemáticas de la percepción de los usuarios sobre la calidad de los servicios de salud.</w:t>
      </w:r>
    </w:p>
    <w:p>
      <w:pPr>
        <w:pStyle w:val="BodyText"/>
      </w:pPr>
      <w:r>
        <w:rPr>
          <w:i/>
          <w:iCs/>
        </w:rPr>
        <w:t xml:space="preserve">Defensoría del Pueblo.</w:t>
      </w:r>
      <w:r>
        <w:t xml:space="preserve"> </w:t>
      </w:r>
      <w:r>
        <w:t xml:space="preserve">En los documentos del Ministerio de Salud y Protección Social revisados para este capítulo se menciona una evaluación de los servicios de las EPS desde la perspectiva de los usuarios, atribuida a la Defensoría del Pueblo y correspondiente al año</w:t>
      </w:r>
      <w:r>
        <w:t xml:space="preserve"> </w:t>
      </w:r>
      <w:r>
        <w:rPr>
          <w:i/>
          <w:iCs/>
        </w:rPr>
        <w:t xml:space="preserve">2005</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Sin embargo, no fue posible localizar ni validar la fuente primaria de esta evaluación; por tanto, se presenta únicamente como un antecedente mencionado en la documentación institucional, sin atribuirle un alcance o contenido específico.</w:t>
      </w:r>
    </w:p>
    <w:p>
      <w:pPr>
        <w:pStyle w:val="BodyText"/>
      </w:pPr>
      <w:r>
        <w:t xml:space="preserve">El entonces Ministerio de la Protección Social desarrolló el instrumento</w:t>
      </w:r>
      <w:r>
        <w:t xml:space="preserve"> </w:t>
      </w:r>
      <w:r>
        <w:rPr>
          <w:i/>
          <w:iCs/>
        </w:rPr>
        <w:t xml:space="preserve">PECASUSS</w:t>
      </w:r>
      <w:r>
        <w:t xml:space="preserve"> </w:t>
      </w:r>
      <w:r>
        <w:t xml:space="preserve">para evaluar la percepción de los usuarios sobre la calidad de los servicios en el marco del Programa de Reestructuración de Redes de Servicios de Salud</w:t>
      </w:r>
      <w:r>
        <w:t xml:space="preserve"> </w:t>
      </w:r>
      <w:r>
        <w:t xml:space="preserve">(</w:t>
      </w:r>
      <w:hyperlink w:anchor="ref-PECASUSS2008">
        <w:r>
          <w:rPr>
            <w:rStyle w:val="Hyperlink"/>
          </w:rPr>
          <w:t xml:space="preserve">Ministerio de la Protección Social 2008</w:t>
        </w:r>
      </w:hyperlink>
      <w:r>
        <w:t xml:space="preserve">)</w:t>
      </w:r>
      <w:r>
        <w:t xml:space="preserve">. De acuerdo con los antecedentes documentados por el Ministerio, el instrumento fue aplicado en una medición de línea de base y una medición de seguimiento, correspondientes a</w:t>
      </w:r>
      <w:r>
        <w:t xml:space="preserve"> </w:t>
      </w:r>
      <w:r>
        <w:rPr>
          <w:i/>
          <w:iCs/>
        </w:rPr>
        <w:t xml:space="preserve">2006</w:t>
      </w:r>
      <w:r>
        <w:t xml:space="preserve"> </w:t>
      </w:r>
      <w:r>
        <w:t xml:space="preserve">y</w:t>
      </w:r>
      <w:r>
        <w:t xml:space="preserve"> </w:t>
      </w:r>
      <w:r>
        <w:rPr>
          <w:i/>
          <w:iCs/>
        </w:rPr>
        <w:t xml:space="preserve">2008</w:t>
      </w:r>
      <w:r>
        <w:t xml:space="preserve">, respectivamente</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A diferencia de las evaluaciones de satisfacción que se desarrollarían posteriormente, PECASUSS se centró en la</w:t>
      </w:r>
      <w:r>
        <w:t xml:space="preserve"> </w:t>
      </w:r>
      <w:r>
        <w:rPr>
          <w:b/>
          <w:bCs/>
        </w:rPr>
        <w:t xml:space="preserve">percepción de la calidad de los servicios</w:t>
      </w:r>
      <w:r>
        <w:t xml:space="preserve"> </w:t>
      </w:r>
      <w:r>
        <w:t xml:space="preserve">y estuvo dirigido a las instituciones intervenidas por el programa. Por tanto, constituye un antecedente relevante de la medición de la calidad desde la perspectiva de los usuarios, aunque su alcance y objeto de medición fueron diferentes a los de las encuestas posteriores del Ministerio.</w:t>
      </w:r>
    </w:p>
    <w:bookmarkEnd w:id="23"/>
    <w:bookmarkStart w:id="27" w:name="sec-mediciones-msps"/>
    <w:p>
      <w:pPr>
        <w:pStyle w:val="Heading2"/>
      </w:pPr>
      <w:r>
        <w:rPr>
          <w:rStyle w:val="SectionNumber"/>
        </w:rPr>
        <w:t xml:space="preserve">1.4</w:t>
      </w:r>
      <w:r>
        <w:tab/>
      </w:r>
      <w:r>
        <w:t xml:space="preserve">Consolidación de las mediciones del MSPS: 2012-2019</w:t>
      </w:r>
    </w:p>
    <w:p>
      <w:pPr>
        <w:pStyle w:val="FirstParagraph"/>
      </w:pPr>
      <w:r>
        <w:t xml:space="preserve">A partir de 2012 el MSPS institucionalizó una medición anual de la satisfacción de</w:t>
      </w:r>
      <w:r>
        <w:t xml:space="preserve"> </w:t>
      </w:r>
      <w:r>
        <w:t xml:space="preserve">los usuarios, inscrita en el</w:t>
      </w:r>
      <w:r>
        <w:t xml:space="preserve"> </w:t>
      </w:r>
      <w:r>
        <w:rPr>
          <w:b/>
          <w:bCs/>
        </w:rPr>
        <w:t xml:space="preserve">Sistema de Información para la Calidad (SIC)</w:t>
      </w:r>
      <w:r>
        <w:t xml:space="preserve">, a</w:t>
      </w:r>
      <w:r>
        <w:t xml:space="preserve"> </w:t>
      </w:r>
      <w:r>
        <w:t xml:space="preserve">diferencia de los ejercicios previos de la Defensoría del Pueblo (2005) y de</w:t>
      </w:r>
      <w:r>
        <w:t xml:space="preserve"> </w:t>
      </w:r>
      <w:r>
        <w:t xml:space="preserve">PECASUSS (2006 y 2008), desarrollados antes de la creación del SIC. La serie</w:t>
      </w:r>
      <w:r>
        <w:t xml:space="preserve"> </w:t>
      </w:r>
      <w:r>
        <w:t xml:space="preserve">comprende las mediciones realizadas entre 2012 y 2019</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La continuidad institucional de esta serie no implica que sus características</w:t>
      </w:r>
      <w:r>
        <w:t xml:space="preserve"> </w:t>
      </w:r>
      <w:r>
        <w:t xml:space="preserve">metodológicas hayan permanecido constantes. Durante el período se presentan</w:t>
      </w:r>
      <w:r>
        <w:t xml:space="preserve"> </w:t>
      </w:r>
      <w:r>
        <w:t xml:space="preserve">cambios en la población objetivo, los criterios de inclusión y exclusión, los</w:t>
      </w:r>
      <w:r>
        <w:t xml:space="preserve"> </w:t>
      </w:r>
      <w:r>
        <w:t xml:space="preserve">marcos muestrales, las unidades de estratificación y los criterios utilizados para</w:t>
      </w:r>
      <w:r>
        <w:t xml:space="preserve"> </w:t>
      </w:r>
      <w:r>
        <w:t xml:space="preserve">determinar el tamaño y la precisión de las muestras. Estas diferencias son</w:t>
      </w:r>
      <w:r>
        <w:t xml:space="preserve"> </w:t>
      </w:r>
      <w:r>
        <w:t xml:space="preserve">relevantes para interpretar la evolución de los resultados y para establecer</w:t>
      </w:r>
      <w:r>
        <w:t xml:space="preserve"> </w:t>
      </w:r>
      <w:r>
        <w:t xml:space="preserve">comparaciones con ENUS 2026.</w:t>
      </w:r>
    </w:p>
    <w:bookmarkStart w:id="24" w:name="sec-poblacion-objetivo-serie"/>
    <w:p>
      <w:pPr>
        <w:pStyle w:val="Heading3"/>
      </w:pPr>
      <w:r>
        <w:rPr>
          <w:rStyle w:val="SectionNumber"/>
        </w:rPr>
        <w:t xml:space="preserve">1.4.1</w:t>
      </w:r>
      <w:r>
        <w:tab/>
      </w:r>
      <w:r>
        <w:t xml:space="preserve">Evolución de la población objetivo</w:t>
      </w:r>
    </w:p>
    <w:tbl>
      <w:tblPr>
        <w:tblStyle w:val="Table"/>
        <w:tblW w:type="pct" w:w="5000"/>
        <w:tblLayout w:type="fixed"/>
        <w:tblLook w:firstRow="1" w:lastRow="0" w:firstColumn="0" w:lastColumn="0" w:noHBand="0" w:noVBand="0" w:val="0020"/>
      </w:tblPr>
      <w:tblGrid>
        <w:gridCol w:w="412"/>
        <w:gridCol w:w="2475"/>
        <w:gridCol w:w="1815"/>
        <w:gridCol w:w="1072"/>
        <w:gridCol w:w="1485"/>
        <w:gridCol w:w="660"/>
      </w:tblGrid>
      <w:tr>
        <w:trPr>
          <w:tblHeader w:val="on"/>
        </w:trPr>
        <w:tc>
          <w:tcPr/>
          <w:p>
            <w:pPr>
              <w:pStyle w:val="Compact"/>
            </w:pPr>
            <w:r>
              <w:t xml:space="preserve">Año</w:t>
            </w:r>
          </w:p>
        </w:tc>
        <w:tc>
          <w:tcPr/>
          <w:p>
            <w:pPr>
              <w:pStyle w:val="Compact"/>
            </w:pPr>
            <w:r>
              <w:t xml:space="preserve">Población objetivo declarada</w:t>
            </w:r>
          </w:p>
        </w:tc>
        <w:tc>
          <w:tcPr/>
          <w:p>
            <w:pPr>
              <w:pStyle w:val="Compact"/>
            </w:pPr>
            <w:r>
              <w:t xml:space="preserve">Periodo de referencia</w:t>
            </w:r>
          </w:p>
        </w:tc>
        <w:tc>
          <w:tcPr/>
          <w:p>
            <w:pPr>
              <w:pStyle w:val="Compact"/>
            </w:pPr>
            <w:r>
              <w:t xml:space="preserve">Exclusiones</w:t>
            </w:r>
          </w:p>
        </w:tc>
        <w:tc>
          <w:tcPr/>
          <w:p>
            <w:pPr>
              <w:pStyle w:val="Compact"/>
            </w:pPr>
            <w:r>
              <w:t xml:space="preserve">Muestra efectiva</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Ciudadanos usuarios de servicios de las EPS,</w:t>
            </w:r>
            <w:r>
              <w:t xml:space="preserve"> </w:t>
            </w:r>
            <w:r>
              <w:rPr>
                <w:b/>
                <w:bCs/>
              </w:rPr>
              <w:t xml:space="preserve">solo población mayor de 18 años</w:t>
            </w:r>
          </w:p>
        </w:tc>
        <w:tc>
          <w:tcPr/>
          <w:p>
            <w:pPr>
              <w:pStyle w:val="Compact"/>
            </w:pPr>
            <w:r>
              <w:t xml:space="preserve">Últimos 6 meses</w:t>
            </w:r>
          </w:p>
        </w:tc>
        <w:tc>
          <w:tcPr/>
          <w:p>
            <w:pPr>
              <w:pStyle w:val="Compact"/>
            </w:pPr>
            <w:r>
              <w:t xml:space="preserve">Regímenes especiales y exentos</w:t>
            </w:r>
          </w:p>
        </w:tc>
        <w:tc>
          <w:tcPr/>
          <w:p>
            <w:pPr>
              <w:pStyle w:val="Compact"/>
            </w:pPr>
            <w:r>
              <w:t xml:space="preserve">20.361 encuestas efectivas, en 85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2015</w:t>
            </w:r>
          </w:p>
        </w:tc>
        <w:tc>
          <w:tcPr/>
          <w:p>
            <w:pPr>
              <w:pStyle w:val="Compact"/>
            </w:pPr>
            <w:r>
              <w:t xml:space="preserve">Ciudadanos usuarios de servicios de las EPS,</w:t>
            </w:r>
            <w:r>
              <w:t xml:space="preserve"> </w:t>
            </w:r>
            <w:r>
              <w:rPr>
                <w:b/>
                <w:bCs/>
              </w:rPr>
              <w:t xml:space="preserve">incluidos menores de edad</w:t>
            </w:r>
          </w:p>
        </w:tc>
        <w:tc>
          <w:tcPr/>
          <w:p>
            <w:pPr>
              <w:pStyle w:val="Compact"/>
            </w:pPr>
            <w:r>
              <w:t xml:space="preserve">Últimos 6 meses</w:t>
            </w:r>
          </w:p>
        </w:tc>
        <w:tc>
          <w:tcPr/>
          <w:p>
            <w:pPr>
              <w:pStyle w:val="Compact"/>
            </w:pPr>
            <w:r>
              <w:t xml:space="preserve">Regímenes especiales (FFMM, Policía, Ecopetrol) y exentos (universidades públicas)</w:t>
            </w:r>
          </w:p>
        </w:tc>
        <w:tc>
          <w:tcPr/>
          <w:p>
            <w:pPr>
              <w:pStyle w:val="Compact"/>
            </w:pPr>
            <w:r>
              <w:t xml:space="preserve">29.761 encuestas efectivas (54.852 contactos), en 73 municipios de 32 departamentos y el Distrito Capital</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Afiliados al SGSSS con uso de servicio en 6 meses previos; excluye regímenes especiales, medicina prepagada y planes complementarios</w:t>
            </w:r>
          </w:p>
        </w:tc>
        <w:tc>
          <w:tcPr/>
          <w:p>
            <w:pPr>
              <w:pStyle w:val="Compact"/>
            </w:pPr>
            <w:r>
              <w:t xml:space="preserve">Últimos 6 meses</w:t>
            </w:r>
          </w:p>
        </w:tc>
        <w:tc>
          <w:tcPr/>
          <w:p>
            <w:pPr>
              <w:pStyle w:val="Compact"/>
            </w:pPr>
            <w:r>
              <w:t xml:space="preserve">Regímenes especiales; medicina prepagada, plan complementario</w:t>
            </w:r>
          </w:p>
        </w:tc>
        <w:tc>
          <w:tcPr/>
          <w:p>
            <w:pPr>
              <w:pStyle w:val="Compact"/>
            </w:pPr>
            <w:r>
              <w:t xml:space="preserve">26.502 encuestas efectivas (81.049 contactos), en 95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Afiliados al SGSSS que usaron servicios de su EPS,</w:t>
            </w:r>
            <w:r>
              <w:t xml:space="preserve"> </w:t>
            </w:r>
            <w:r>
              <w:rPr>
                <w:b/>
                <w:bCs/>
              </w:rPr>
              <w:t xml:space="preserve">todas las edades</w:t>
            </w:r>
            <w:r>
              <w:t xml:space="preserve">, urbano y rural (centros poblados)</w:t>
            </w:r>
          </w:p>
        </w:tc>
        <w:tc>
          <w:tcPr/>
          <w:p>
            <w:pPr>
              <w:pStyle w:val="Compact"/>
            </w:pPr>
            <w:r>
              <w:t xml:space="preserve">Últimos 6 meses</w:t>
            </w:r>
          </w:p>
        </w:tc>
        <w:tc>
          <w:tcPr/>
          <w:p>
            <w:pPr>
              <w:pStyle w:val="Compact"/>
            </w:pPr>
            <w:r>
              <w:t xml:space="preserve">Regímenes especiales y exentos; medicina prepagada, plan complementario y seguro privado</w:t>
            </w:r>
          </w:p>
        </w:tc>
        <w:tc>
          <w:tcPr/>
          <w:p>
            <w:pPr>
              <w:pStyle w:val="Compact"/>
            </w:pPr>
            <w:r>
              <w:t xml:space="preserve">24.586 encuestas efectivas, en 95 municipios de 32 departamentos y el Distrito Capital</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población incluida en las mediciones no fue exactamente la misma durante todo</w:t>
      </w:r>
      <w:r>
        <w:t xml:space="preserve"> </w:t>
      </w:r>
      <w:r>
        <w:t xml:space="preserve">el periodo. Se identifican dos cambios importantes, ambos documentados en la</w:t>
      </w:r>
      <w:r>
        <w:t xml:space="preserve"> </w:t>
      </w:r>
      <w:r>
        <w:t xml:space="preserve">sección de antecedentes de la encuesta técnica de 2016, que compara explícitamente</w:t>
      </w:r>
      <w:r>
        <w:t xml:space="preserve"> </w:t>
      </w:r>
      <w:r>
        <w:t xml:space="preserve">las tres ediciones</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La incorporación de menores de edad en 2015.</w:t>
      </w:r>
      <w:r>
        <w:t xml:space="preserve"> </w:t>
      </w:r>
      <w:r>
        <w:t xml:space="preserve">Hasta 2014, las encuestas</w:t>
      </w:r>
      <w:r>
        <w:t xml:space="preserve"> </w:t>
      </w:r>
      <w:r>
        <w:t xml:space="preserve">consideraban únicamente a las personas mayores de 18 años. A partir de 2015 se</w:t>
      </w:r>
      <w:r>
        <w:t xml:space="preserve"> </w:t>
      </w:r>
      <w:r>
        <w:t xml:space="preserve">incluyeron también los menores de edad; en 2016 la encuesta también cubrió a toda</w:t>
      </w:r>
      <w:r>
        <w:t xml:space="preserve"> </w:t>
      </w:r>
      <w:r>
        <w:t xml:space="preserve">la población, sin restricción de edad</w:t>
      </w:r>
      <w:r>
        <w:t xml:space="preserve"> </w:t>
      </w:r>
      <w:r>
        <w:t xml:space="preserve">(</w:t>
      </w:r>
      <w:hyperlink w:anchor="ref-MSPS2016">
        <w:r>
          <w:rPr>
            <w:rStyle w:val="Hyperlink"/>
          </w:rPr>
          <w:t xml:space="preserve">Ministerio de Salud y Protección Social 2016b</w:t>
        </w:r>
      </w:hyperlink>
      <w:r>
        <w:t xml:space="preserve">)</w:t>
      </w:r>
      <w:r>
        <w:t xml:space="preserve">. Este cambio amplió de manera</w:t>
      </w:r>
      <w:r>
        <w:t xml:space="preserve"> </w:t>
      </w:r>
      <w:r>
        <w:t xml:space="preserve">importante el número de personas que podían participar en la encuesta: el</w:t>
      </w:r>
      <w:r>
        <w:t xml:space="preserve"> </w:t>
      </w:r>
      <w:r>
        <w:t xml:space="preserve">universo de estudio pasó de 11.425.380 personas en 2014 a 16.555.627 en 2015</w:t>
      </w:r>
      <w:r>
        <w:t xml:space="preserve"> </w:t>
      </w:r>
      <w:r>
        <w:t xml:space="preserve">(</w:t>
      </w:r>
      <w:hyperlink w:anchor="ref-MSPS2014_2015">
        <w:r>
          <w:rPr>
            <w:rStyle w:val="Hyperlink"/>
          </w:rPr>
          <w:t xml:space="preserve">Consultores en Información Infométrika S.A.S. 2015</w:t>
        </w:r>
      </w:hyperlink>
      <w:r>
        <w:t xml:space="preserve">)</w:t>
      </w:r>
      <w:r>
        <w:t xml:space="preserve">. Por esta razón, las diferencias observadas entre estos dos años</w:t>
      </w:r>
      <w:r>
        <w:t xml:space="preserve"> </w:t>
      </w:r>
      <w:r>
        <w:t xml:space="preserve">no pueden interpretarse únicamente como cambios en la satisfacción de los</w:t>
      </w:r>
      <w:r>
        <w:t xml:space="preserve"> </w:t>
      </w:r>
      <w:r>
        <w:t xml:space="preserve">usuarios, ya que también cambió el grupo de personas al que se referían los</w:t>
      </w:r>
      <w:r>
        <w:t xml:space="preserve"> </w:t>
      </w:r>
      <w:r>
        <w:t xml:space="preserve">resultados —advertencia que hacen explícitamente tanto el informe de 2014-2015</w:t>
      </w:r>
      <w:r>
        <w:t xml:space="preserve"> </w:t>
      </w:r>
      <w:r>
        <w:t xml:space="preserve">como el propio informe de 2016</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Los cambios en las personas excluidas de la encuesta.</w:t>
      </w:r>
      <w:r>
        <w:t xml:space="preserve"> </w:t>
      </w:r>
      <w:r>
        <w:t xml:space="preserve">En las ediciones de</w:t>
      </w:r>
      <w:r>
        <w:t xml:space="preserve"> </w:t>
      </w:r>
      <w:r>
        <w:t xml:space="preserve">2014 y 2016 se excluyeron los afiliados a regímenes especiales y exentos, y a</w:t>
      </w:r>
      <w:r>
        <w:t xml:space="preserve"> </w:t>
      </w:r>
      <w:r>
        <w:t xml:space="preserve">partir de 2017 se agregaron exclusiones relacionadas con quienes contaban con</w:t>
      </w:r>
      <w:r>
        <w:t xml:space="preserve"> </w:t>
      </w:r>
      <w:r>
        <w:t xml:space="preserve">medicina prepagada, planes complementarios o seguros privados de salud</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 Estos cambios hicieron que el grupo de personas al que se</w:t>
      </w:r>
      <w:r>
        <w:t xml:space="preserve"> </w:t>
      </w:r>
      <w:r>
        <w:t xml:space="preserve">referían los resultados no fuera exactamente el mismo en todos los años.</w:t>
      </w:r>
    </w:p>
    <w:p>
      <w:pPr>
        <w:pStyle w:val="FirstParagraph"/>
      </w:pPr>
      <w:r>
        <w:t xml:space="preserve">Por estas razones, los resultados de las encuestas realizadas entre 2012 y 2019</w:t>
      </w:r>
      <w:r>
        <w:t xml:space="preserve"> </w:t>
      </w:r>
      <w:r>
        <w:t xml:space="preserve">no deben interpretarse como una serie completamente homogénea. Al compararlos</w:t>
      </w:r>
      <w:r>
        <w:t xml:space="preserve"> </w:t>
      </w:r>
      <w:r>
        <w:t xml:space="preserve">con la ENUS 2026 será necesario tener en cuenta quiénes fueron incluidos en cada</w:t>
      </w:r>
      <w:r>
        <w:t xml:space="preserve"> </w:t>
      </w:r>
      <w:r>
        <w:t xml:space="preserve">medición y bajo qué condiciones se realizaron las encuestas.</w:t>
      </w:r>
    </w:p>
    <w:bookmarkEnd w:id="24"/>
    <w:bookmarkStart w:id="25" w:name="sec-diseno-serie"/>
    <w:p>
      <w:pPr>
        <w:pStyle w:val="Heading3"/>
      </w:pPr>
      <w:r>
        <w:rPr>
          <w:rStyle w:val="SectionNumber"/>
        </w:rPr>
        <w:t xml:space="preserve">1.4.2</w:t>
      </w:r>
      <w:r>
        <w:tab/>
      </w:r>
      <w:r>
        <w:t xml:space="preserve">Evolución del diseño muestral</w:t>
      </w:r>
    </w:p>
    <w:p>
      <w:pPr>
        <w:pStyle w:val="FirstParagraph"/>
      </w:pPr>
      <w:r>
        <w:t xml:space="preserve">Los cambios en la población objetivo estuvieron acompañados por modificaciones</w:t>
      </w:r>
      <w:r>
        <w:t xml:space="preserve"> </w:t>
      </w:r>
      <w:r>
        <w:t xml:space="preserve">en el diseño muestral. Aunque las</w:t>
      </w:r>
      <w:r>
        <w:t xml:space="preserve"> </w:t>
      </w:r>
      <w:r>
        <w:rPr>
          <w:b/>
          <w:bCs/>
        </w:rPr>
        <w:t xml:space="preserve">EPS permanecieron como unidad de análisis</w:t>
      </w:r>
      <w:r>
        <w:t xml:space="preserve">, la</w:t>
      </w:r>
      <w:r>
        <w:t xml:space="preserve"> </w:t>
      </w:r>
      <w:r>
        <w:t xml:space="preserve">unidad de estratificación y la organización de las etapas de selección cambiaron</w:t>
      </w:r>
      <w:r>
        <w:t xml:space="preserve"> </w:t>
      </w:r>
      <w:r>
        <w:t xml:space="preserve">entre las diferentes ediciones.</w:t>
      </w:r>
    </w:p>
    <w:tbl>
      <w:tblPr>
        <w:tblStyle w:val="Table"/>
        <w:tblW w:type="pct" w:w="5000"/>
        <w:tblLayout w:type="fixed"/>
        <w:tblLook w:firstRow="1" w:lastRow="0" w:firstColumn="0" w:lastColumn="0" w:noHBand="0" w:noVBand="0" w:val="0020"/>
      </w:tblPr>
      <w:tblGrid>
        <w:gridCol w:w="291"/>
        <w:gridCol w:w="1048"/>
        <w:gridCol w:w="1572"/>
        <w:gridCol w:w="1805"/>
        <w:gridCol w:w="931"/>
        <w:gridCol w:w="1805"/>
        <w:gridCol w:w="465"/>
      </w:tblGrid>
      <w:tr>
        <w:trPr>
          <w:tblHeader w:val="on"/>
        </w:trPr>
        <w:tc>
          <w:tcPr/>
          <w:p>
            <w:pPr>
              <w:pStyle w:val="Compact"/>
            </w:pPr>
            <w:r>
              <w:t xml:space="preserve">Año</w:t>
            </w:r>
          </w:p>
        </w:tc>
        <w:tc>
          <w:tcPr/>
          <w:p>
            <w:pPr>
              <w:pStyle w:val="Compact"/>
            </w:pPr>
            <w:r>
              <w:t xml:space="preserve">Diseño declarado</w:t>
            </w:r>
          </w:p>
        </w:tc>
        <w:tc>
          <w:tcPr/>
          <w:p>
            <w:pPr>
              <w:pStyle w:val="Compact"/>
            </w:pPr>
            <w:r>
              <w:t xml:space="preserve">Unidad de estratificación</w:t>
            </w:r>
          </w:p>
        </w:tc>
        <w:tc>
          <w:tcPr/>
          <w:p>
            <w:pPr>
              <w:pStyle w:val="Compact"/>
            </w:pPr>
            <w:r>
              <w:t xml:space="preserve">Etapas y unidades de muestreo</w:t>
            </w:r>
          </w:p>
        </w:tc>
        <w:tc>
          <w:tcPr/>
          <w:p>
            <w:pPr>
              <w:pStyle w:val="Compact"/>
            </w:pPr>
            <w:r>
              <w:t xml:space="preserve">Marco muestral</w:t>
            </w:r>
          </w:p>
        </w:tc>
        <w:tc>
          <w:tcPr/>
          <w:p>
            <w:pPr>
              <w:pStyle w:val="Compact"/>
            </w:pPr>
            <w:r>
              <w:t xml:space="preserve">Criterio de tamaño y precisión</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2014-2015</w:t>
            </w:r>
          </w:p>
        </w:tc>
        <w:tc>
          <w:tcPr/>
          <w:p>
            <w:pPr>
              <w:pStyle w:val="Compact"/>
            </w:pPr>
            <w:r>
              <w:t xml:space="preserve">Probabilístico de conglomerados</w:t>
            </w:r>
          </w:p>
        </w:tc>
        <w:tc>
          <w:tcPr/>
          <w:p>
            <w:pPr>
              <w:pStyle w:val="Compact"/>
            </w:pPr>
            <w:r>
              <w:t xml:space="preserve">No declarada</w:t>
            </w:r>
          </w:p>
        </w:tc>
        <w:tc>
          <w:tcPr/>
          <w:p>
            <w:pPr>
              <w:pStyle w:val="Compact"/>
            </w:pPr>
            <w:r>
              <w:t xml:space="preserve">Unidades de selección: secciones cartográficas DANE. Unidades de análisis: cada EPS</w:t>
            </w:r>
          </w:p>
        </w:tc>
        <w:tc>
          <w:tcPr/>
          <w:p>
            <w:pPr>
              <w:pStyle w:val="Compact"/>
            </w:pPr>
            <w:r>
              <w:t xml:space="preserve">Tres marcos complementarios: dos de áreas (DANE 2005, actualización 2012, y catastro) y uno de lista, provisto por el MSPS, para EPS de muy baja participación</w:t>
            </w:r>
          </w:p>
        </w:tc>
        <w:tc>
          <w:tcPr/>
          <w:p>
            <w:pPr>
              <w:pStyle w:val="Compact"/>
            </w:pPr>
            <w:r>
              <w:t xml:space="preserve">Variable trazadora tipo proporción con</w:t>
            </w:r>
            <w:r>
              <w:t xml:space="preserve"> </w:t>
            </w:r>
            <w:r>
              <w:rPr>
                <w:i/>
                <w:iCs/>
              </w:rPr>
              <w:t xml:space="preserve">P</w:t>
            </w:r>
            <w:r>
              <w:t xml:space="preserve"> </w:t>
            </w:r>
            <w:r>
              <w:t xml:space="preserve">= 50 %; error máximo esperado inferior al 5 % para proporciones de mínimo 50 %</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Probabilístico, multietápico, estratificado y de conglomerados (mismo diseño que 2017)</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(32 capitales de inclusión forzosa, 23 de categoría 1-5 DNP y 40 de categoría 6, estos dos últimos con probabilidad proporcional al tamaño); 2.ª manzanas; 3.ª personas</w:t>
            </w:r>
          </w:p>
        </w:tc>
        <w:tc>
          <w:tcPr/>
          <w:p>
            <w:pPr>
              <w:pStyle w:val="Compact"/>
            </w:pPr>
            <w:r>
              <w:t xml:space="preserve">Lista de municipios con caracterización; áreas de manzanas sobre cartografía censal DANE; lista de miembros del hogar levantada en campo</w:t>
            </w:r>
          </w:p>
        </w:tc>
        <w:tc>
          <w:tcPr/>
          <w:p>
            <w:pPr>
              <w:pStyle w:val="Compact"/>
            </w:pPr>
            <w:r>
              <w:t xml:space="preserve">26.502 encuestas efectivas (81.049 contactos), 18 % sobre la meta fijada por el Ministerio</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Probabilístico, multietápico, estratificado y de conglomerados</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2.ª manzanas (proporcional a hogares); 3.ª personas. Unidad de análisis: EPS</w:t>
            </w:r>
          </w:p>
        </w:tc>
        <w:tc>
          <w:tcPr/>
          <w:p>
            <w:pPr>
              <w:pStyle w:val="Compact"/>
            </w:pPr>
            <w:r>
              <w:t xml:space="preserve">Lista de municipios con caracterización; áreas de manzanas sobre cartografía censal DANE (Censo 2005, actualización 2012); lista de miembros del hogar levantada en campo</w:t>
            </w:r>
          </w:p>
        </w:tc>
        <w:tc>
          <w:tcPr/>
          <w:p>
            <w:pPr>
              <w:pStyle w:val="Compact"/>
            </w:pPr>
            <w:r>
              <w:t xml:space="preserve">Error relativo inferior al 5 % para proporciones superiores al 20 %, nacional y por nivel de desagregación</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comparación de las ediciones documentadas muestra tres cambios importantes en</w:t>
      </w:r>
      <w:r>
        <w:t xml:space="preserve"> </w:t>
      </w:r>
      <w:r>
        <w:t xml:space="preserve">la forma en que se organizaron las encuestas.</w:t>
      </w:r>
    </w:p>
    <w:p>
      <w:pPr>
        <w:numPr>
          <w:ilvl w:val="0"/>
          <w:numId w:val="1003"/>
        </w:numPr>
      </w:pPr>
      <w:r>
        <w:rPr>
          <w:i/>
          <w:iCs/>
        </w:rPr>
        <w:t xml:space="preserve">El diseño de 2016 fue heredado, no reinventado, por la edición 2017.</w:t>
      </w:r>
      <w:r>
        <w:t xml:space="preserve"> </w:t>
      </w:r>
      <w:r>
        <w:t xml:space="preserve">Las</w:t>
      </w:r>
      <w:r>
        <w:t xml:space="preserve"> </w:t>
      </w:r>
      <w:r>
        <w:t xml:space="preserve">ediciones 2016 y 2017 comparten exactamente los mismos tres estratos DNP y los</w:t>
      </w:r>
      <w:r>
        <w:t xml:space="preserve"> </w:t>
      </w:r>
      <w:r>
        <w:t xml:space="preserve">mismos 95 municipios como unidades primarias de muestreo</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w:t>
      </w:r>
      <w:r>
        <w:t xml:space="preserve"> </w:t>
      </w:r>
      <w:r>
        <w:t xml:space="preserve">lo que indica que la arquitectura de estratificación territorial se fijó en 2016</w:t>
      </w:r>
      <w:r>
        <w:t xml:space="preserve"> </w:t>
      </w:r>
      <w:r>
        <w:t xml:space="preserve">y se mantuvo sin cambios en la edición siguiente. En ambas, la selección comenzó</w:t>
      </w:r>
      <w:r>
        <w:t xml:space="preserve"> </w:t>
      </w:r>
      <w:r>
        <w:t xml:space="preserve">por los municipios, agrupados según su categoría DNP, y posteriormente se</w:t>
      </w:r>
      <w:r>
        <w:t xml:space="preserve"> </w:t>
      </w:r>
      <w:r>
        <w:t xml:space="preserve">seleccionaron manzanas y personas dentro de esos territorios.</w:t>
      </w:r>
    </w:p>
    <w:p>
      <w:pPr>
        <w:numPr>
          <w:ilvl w:val="0"/>
          <w:numId w:val="1003"/>
        </w:numPr>
      </w:pPr>
      <w:r>
        <w:rPr>
          <w:i/>
          <w:iCs/>
        </w:rPr>
        <w:t xml:space="preserve">También cambió el criterio para determinar el tamaño y la precisión de las</w:t>
      </w:r>
      <w:r>
        <w:rPr>
          <w:i/>
          <w:iCs/>
        </w:rPr>
        <w:t xml:space="preserve"> </w:t>
      </w:r>
      <w:r>
        <w:rPr>
          <w:i/>
          <w:iCs/>
        </w:rPr>
        <w:t xml:space="preserve">muestras.</w:t>
      </w:r>
      <w:r>
        <w:t xml:space="preserve"> </w:t>
      </w:r>
      <w:r>
        <w:t xml:space="preserve">En las mediciones de 2014-2015 se utilizó un criterio basado en una</w:t>
      </w:r>
      <w:r>
        <w:t xml:space="preserve"> </w:t>
      </w:r>
      <w:r>
        <w:t xml:space="preserve">proporción esperada del 50 % y un error máximo inferior al 5 %</w:t>
      </w:r>
      <w:r>
        <w:t xml:space="preserve"> </w:t>
      </w:r>
      <w:r>
        <w:t xml:space="preserve">(</w:t>
      </w:r>
      <w:hyperlink w:anchor="ref-MSPS2014_2015">
        <w:r>
          <w:rPr>
            <w:rStyle w:val="Hyperlink"/>
          </w:rPr>
          <w:t xml:space="preserve">Consultores en Información Infométrika S.A.S. 2015</w:t>
        </w:r>
      </w:hyperlink>
      <w:r>
        <w:t xml:space="preserve">)</w:t>
      </w:r>
      <w:r>
        <w:t xml:space="preserve">.</w:t>
      </w:r>
      <w:r>
        <w:t xml:space="preserve"> </w:t>
      </w:r>
      <w:r>
        <w:t xml:space="preserve">En 2017 se estableció un error relativo inferior al 5 % para proporciones</w:t>
      </w:r>
      <w:r>
        <w:t xml:space="preserve"> </w:t>
      </w:r>
      <w:r>
        <w:t xml:space="preserve">superiores al 20 %</w:t>
      </w:r>
      <w:r>
        <w:t xml:space="preserve"> </w:t>
      </w:r>
      <w:r>
        <w:t xml:space="preserve">(</w:t>
      </w:r>
      <w:hyperlink w:anchor="ref-MSPS2017">
        <w:r>
          <w:rPr>
            <w:rStyle w:val="Hyperlink"/>
          </w:rPr>
          <w:t xml:space="preserve">Ministerio de Salud y Protección Social 2017</w:t>
        </w:r>
      </w:hyperlink>
      <w:r>
        <w:t xml:space="preserve">)</w:t>
      </w:r>
      <w:r>
        <w:t xml:space="preserve">. Estos criterios no son directamente comparables,</w:t>
      </w:r>
      <w:r>
        <w:t xml:space="preserve"> </w:t>
      </w:r>
      <w:r>
        <w:t xml:space="preserve">por lo que las diferencias en la precisión de los resultados entre años deben</w:t>
      </w:r>
      <w:r>
        <w:t xml:space="preserve"> </w:t>
      </w:r>
      <w:r>
        <w:t xml:space="preserve">interpretarse con cautela. La fuente de 2016 no documenta un criterio de</w:t>
      </w:r>
      <w:r>
        <w:t xml:space="preserve"> </w:t>
      </w:r>
      <w:r>
        <w:t xml:space="preserve">precisión comparable a los anteriores, más allá de reportar el porcentaje de</w:t>
      </w:r>
      <w:r>
        <w:t xml:space="preserve"> </w:t>
      </w:r>
      <w:r>
        <w:t xml:space="preserve">encuestas logradas sobre la meta fijada</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3"/>
        </w:numPr>
      </w:pPr>
      <w:r>
        <w:rPr>
          <w:i/>
          <w:iCs/>
        </w:rPr>
        <w:t xml:space="preserve">El marco de área se mantuvo basado en información censal de 2005.</w:t>
      </w:r>
      <w:r>
        <w:t xml:space="preserve"> </w:t>
      </w:r>
      <w:r>
        <w:t xml:space="preserve">Tanto las</w:t>
      </w:r>
      <w:r>
        <w:t xml:space="preserve"> </w:t>
      </w:r>
      <w:r>
        <w:t xml:space="preserve">mediciones de 2014-2015 como la de 2017 utilizaron cartografía del DANE</w:t>
      </w:r>
      <w:r>
        <w:t xml:space="preserve"> </w:t>
      </w:r>
      <w:r>
        <w:t xml:space="preserve">correspondiente al Censo General 2005, actualizada a la vigencia 2012</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7">
        <w:r>
          <w:rPr>
            <w:rStyle w:val="Hyperlink"/>
          </w:rPr>
          <w:t xml:space="preserve">Ministerio de Salud y Protección Social 2017</w:t>
        </w:r>
      </w:hyperlink>
      <w:r>
        <w:t xml:space="preserve">)</w:t>
      </w:r>
      <w:r>
        <w:t xml:space="preserve">. Esto significa que, aunque las encuestas se</w:t>
      </w:r>
      <w:r>
        <w:t xml:space="preserve"> </w:t>
      </w:r>
      <w:r>
        <w:t xml:space="preserve">realizaron varios años después del censo, la selección de los hogares partía de</w:t>
      </w:r>
      <w:r>
        <w:t xml:space="preserve"> </w:t>
      </w:r>
      <w:r>
        <w:t xml:space="preserve">esa estructura territorial. Esta característica es importante al analizar la</w:t>
      </w:r>
      <w:r>
        <w:t xml:space="preserve"> </w:t>
      </w:r>
      <w:r>
        <w:t xml:space="preserve">cobertura de las encuestas y la forma en que representaban a la población en</w:t>
      </w:r>
      <w:r>
        <w:t xml:space="preserve"> </w:t>
      </w:r>
      <w:r>
        <w:t xml:space="preserve">cada momento.</w:t>
      </w:r>
    </w:p>
    <w:bookmarkEnd w:id="25"/>
    <w:bookmarkStart w:id="26" w:name="sec-medicion-2017"/>
    <w:p>
      <w:pPr>
        <w:pStyle w:val="Heading3"/>
      </w:pPr>
      <w:r>
        <w:rPr>
          <w:rStyle w:val="SectionNumber"/>
        </w:rPr>
        <w:t xml:space="preserve">1.4.3</w:t>
      </w:r>
      <w:r>
        <w:tab/>
      </w:r>
      <w:r>
        <w:t xml:space="preserve">La medición de 2017</w:t>
      </w:r>
    </w:p>
    <w:p>
      <w:pPr>
        <w:pStyle w:val="FirstParagraph"/>
      </w:pPr>
      <w:r>
        <w:t xml:space="preserve">La</w:t>
      </w:r>
      <w:r>
        <w:t xml:space="preserve"> </w:t>
      </w:r>
      <w:r>
        <w:rPr>
          <w:b/>
          <w:bCs/>
        </w:rPr>
        <w:t xml:space="preserve">Encuesta Nacional de Evaluación de los Servicios de las EPS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constituye un punto importante dentro de esta evolución. Se enmarca</w:t>
      </w:r>
      <w:r>
        <w:t xml:space="preserve"> </w:t>
      </w:r>
      <w:r>
        <w:t xml:space="preserve">explícitamente en el SOGCS y dentro del SIC, en línea con el marco normativo de la</w:t>
      </w:r>
      <w:r>
        <w:t xml:space="preserve"> </w:t>
      </w:r>
      <w:r>
        <w:t xml:space="preserve">Sección</w:t>
      </w:r>
      <w:r>
        <w:t xml:space="preserve"> </w:t>
      </w:r>
      <w:r>
        <w:t xml:space="preserve">1.1</w:t>
      </w:r>
      <w:r>
        <w:t xml:space="preserve">, y adoptó un diseño</w:t>
      </w:r>
      <w:r>
        <w:t xml:space="preserve"> </w:t>
      </w:r>
      <w:r>
        <w:rPr>
          <w:b/>
          <w:bCs/>
        </w:rPr>
        <w:t xml:space="preserve">probabilístico,</w:t>
      </w:r>
      <w:r>
        <w:rPr>
          <w:b/>
          <w:bCs/>
        </w:rPr>
        <w:t xml:space="preserve"> </w:t>
      </w:r>
      <w:r>
        <w:rPr>
          <w:b/>
          <w:bCs/>
        </w:rPr>
        <w:t xml:space="preserve">multietápico, estratificado y de conglomerados</w:t>
      </w:r>
      <w:r>
        <w:t xml:space="preserve">, con tres etapas anidadas:</w:t>
      </w:r>
    </w:p>
    <w:p>
      <w:pPr>
        <w:numPr>
          <w:ilvl w:val="0"/>
          <w:numId w:val="1004"/>
        </w:numPr>
      </w:pPr>
      <w:r>
        <w:rPr>
          <w:i/>
          <w:iCs/>
        </w:rPr>
        <w:t xml:space="preserve">Primera etapa — municipios.</w:t>
      </w:r>
      <w:r>
        <w:t xml:space="preserve"> </w:t>
      </w:r>
      <w:r>
        <w:t xml:space="preserve">El marco estuvo constituido por una lista de los</w:t>
      </w:r>
      <w:r>
        <w:t xml:space="preserve"> </w:t>
      </w:r>
      <w:r>
        <w:t xml:space="preserve">municipios del país con información de caracterización, entre ella cantidad de</w:t>
      </w:r>
      <w:r>
        <w:t xml:space="preserve"> </w:t>
      </w:r>
      <w:r>
        <w:t xml:space="preserve">afiliados, clasificación DNP y número de EPS con afiliados en el municipio. El</w:t>
      </w:r>
      <w:r>
        <w:t xml:space="preserve"> </w:t>
      </w:r>
      <w:r>
        <w:t xml:space="preserve">territorio se estratificó en tres grupos según la categoría municipal DNP:</w:t>
      </w:r>
      <w:r>
        <w:t xml:space="preserve"> </w:t>
      </w:r>
      <w:r>
        <w:t xml:space="preserve">32 municipios capitales de departamento, incluida Bogotá D.C.; 23 municipios de</w:t>
      </w:r>
      <w:r>
        <w:t xml:space="preserve"> </w:t>
      </w:r>
      <w:r>
        <w:t xml:space="preserve">categoría 1 a 5; y 40 municipios de categoría 6. En total, 95 municipios</w:t>
      </w:r>
      <w:r>
        <w:t xml:space="preserve"> </w:t>
      </w:r>
      <w:r>
        <w:t xml:space="preserve">constituyeron las unidades primarias de muestreo.</w:t>
      </w:r>
    </w:p>
    <w:p>
      <w:pPr>
        <w:numPr>
          <w:ilvl w:val="0"/>
          <w:numId w:val="1004"/>
        </w:numPr>
      </w:pPr>
      <w:r>
        <w:rPr>
          <w:i/>
          <w:iCs/>
        </w:rPr>
        <w:t xml:space="preserve">Segunda etapa — manzanas.</w:t>
      </w:r>
      <w:r>
        <w:t xml:space="preserve"> </w:t>
      </w:r>
      <w:r>
        <w:t xml:space="preserve">Dentro de cada municipio seleccionado se realizó la</w:t>
      </w:r>
      <w:r>
        <w:t xml:space="preserve"> </w:t>
      </w:r>
      <w:r>
        <w:t xml:space="preserve">selección de manzanas con probabilidad proporcional a la cantidad de hogares.</w:t>
      </w:r>
      <w:r>
        <w:t xml:space="preserve"> </w:t>
      </w:r>
      <w:r>
        <w:t xml:space="preserve">El marco de áreas se construyó sobre la cartografía censal del DANE, con los</w:t>
      </w:r>
      <w:r>
        <w:t xml:space="preserve"> </w:t>
      </w:r>
      <w:r>
        <w:t xml:space="preserve">polígonos de sector, sección y manzana y la información de viviendas, hogares y</w:t>
      </w:r>
      <w:r>
        <w:t xml:space="preserve"> </w:t>
      </w:r>
      <w:r>
        <w:t xml:space="preserve">personas del Censo General 2005, actualizada a la vigencia 2012. En las áreas</w:t>
      </w:r>
      <w:r>
        <w:t xml:space="preserve"> </w:t>
      </w:r>
      <w:r>
        <w:t xml:space="preserve">rurales el marco correspondió a las manzanas urbanas de los centros poblados de</w:t>
      </w:r>
      <w:r>
        <w:t xml:space="preserve"> </w:t>
      </w:r>
      <w:r>
        <w:t xml:space="preserve">los municipios seleccionados.</w:t>
      </w:r>
    </w:p>
    <w:p>
      <w:pPr>
        <w:numPr>
          <w:ilvl w:val="0"/>
          <w:numId w:val="1004"/>
        </w:numPr>
      </w:pPr>
      <w:r>
        <w:rPr>
          <w:i/>
          <w:iCs/>
        </w:rPr>
        <w:t xml:space="preserve">Tercera etapa — personas.</w:t>
      </w:r>
      <w:r>
        <w:t xml:space="preserve"> </w:t>
      </w:r>
      <w:r>
        <w:t xml:space="preserve">El marco estuvo constituido por una lista de los</w:t>
      </w:r>
      <w:r>
        <w:t xml:space="preserve"> </w:t>
      </w:r>
      <w:r>
        <w:t xml:space="preserve">miembros del hogar construida durante la recolección. Sobre este listado se</w:t>
      </w:r>
      <w:r>
        <w:t xml:space="preserve"> </w:t>
      </w:r>
      <w:r>
        <w:t xml:space="preserve">seleccionó</w:t>
      </w:r>
      <w:r>
        <w:t xml:space="preserve"> </w:t>
      </w:r>
      <w:r>
        <w:rPr>
          <w:b/>
          <w:bCs/>
        </w:rPr>
        <w:t xml:space="preserve">una persona</w:t>
      </w:r>
      <w:r>
        <w:t xml:space="preserve"> </w:t>
      </w:r>
      <w:r>
        <w:t xml:space="preserve">que hubiera utilizado los servicios de salud en los</w:t>
      </w:r>
      <w:r>
        <w:t xml:space="preserve"> </w:t>
      </w:r>
      <w:r>
        <w:t xml:space="preserve">seis meses previos. Para los menores de edad se solicitó como informante al</w:t>
      </w:r>
      <w:r>
        <w:t xml:space="preserve"> </w:t>
      </w:r>
      <w:r>
        <w:t xml:space="preserve">adulto que acompañaba al menor al servicio de salud.</w:t>
      </w:r>
    </w:p>
    <w:p>
      <w:pPr>
        <w:pStyle w:val="FirstParagraph"/>
      </w:pPr>
      <w:r>
        <w:t xml:space="preserve">Las unidades de análisis fueron las EPS y los niveles de desagregación previstos</w:t>
      </w:r>
      <w:r>
        <w:t xml:space="preserve"> </w:t>
      </w:r>
      <w:r>
        <w:t xml:space="preserve">correspondieron al régimen, la EPS y el departamento. El operativo se realizó entre</w:t>
      </w:r>
      <w:r>
        <w:t xml:space="preserve"> </w:t>
      </w:r>
      <w:r>
        <w:t xml:space="preserve">julio y agosto de 2017, mediante entrevista personal cara a cara con un cuestionario</w:t>
      </w:r>
      <w:r>
        <w:t xml:space="preserve"> </w:t>
      </w:r>
      <w:r>
        <w:t xml:space="preserve">estructurado de 60 preguntas organizadas en 18 capítulos. Se obtuvo una muestra</w:t>
      </w:r>
      <w:r>
        <w:t xml:space="preserve"> </w:t>
      </w:r>
      <w:r>
        <w:t xml:space="preserve">efectiva de 24.586 encuestas en 95 municipios de los 32 departamentos y el Distrito</w:t>
      </w:r>
      <w:r>
        <w:t xml:space="preserve"> </w:t>
      </w:r>
      <w:r>
        <w:t xml:space="preserve">Capital, a partir de la cual los resultados se infirieron a una población estimada</w:t>
      </w:r>
      <w:r>
        <w:t xml:space="preserve"> </w:t>
      </w:r>
      <w:r>
        <w:t xml:space="preserve">de 16.815.482 usuarios. La precisión declarada correspondió a un error relativo</w:t>
      </w:r>
      <w:r>
        <w:t xml:space="preserve"> </w:t>
      </w:r>
      <w:r>
        <w:t xml:space="preserve">inferior al 5 % para proporciones superiores al 20 %.</w:t>
      </w:r>
    </w:p>
    <w:p>
      <w:pPr>
        <w:pStyle w:val="BodyText"/>
      </w:pPr>
      <w:r>
        <w:t xml:space="preserve">El cuestionario articuló siete ejes temáticos:</w:t>
      </w:r>
      <w:r>
        <w:t xml:space="preserve"> </w:t>
      </w:r>
      <w:r>
        <w:rPr>
          <w:b/>
          <w:bCs/>
        </w:rPr>
        <w:t xml:space="preserve">satisfacción, oportunidad,</w:t>
      </w:r>
      <w:r>
        <w:rPr>
          <w:b/>
          <w:bCs/>
        </w:rPr>
        <w:t xml:space="preserve"> </w:t>
      </w:r>
      <w:r>
        <w:rPr>
          <w:b/>
          <w:bCs/>
        </w:rPr>
        <w:t xml:space="preserve">acceso, trato digno, respuesta, caracterización del usuario y corresponsabilidad</w:t>
      </w:r>
      <w:r>
        <w:rPr>
          <w:b/>
          <w:bCs/>
        </w:rPr>
        <w:t xml:space="preserve"> </w:t>
      </w:r>
      <w:r>
        <w:rPr>
          <w:b/>
          <w:bCs/>
        </w:rPr>
        <w:t xml:space="preserve">del usuario</w:t>
      </w:r>
      <w:r>
        <w:t xml:space="preserve"> </w:t>
      </w:r>
      <w:r>
        <w:t xml:space="preserve">(</w:t>
      </w:r>
      <w:hyperlink w:anchor="ref-MSPS2017">
        <w:r>
          <w:rPr>
            <w:rStyle w:val="Hyperlink"/>
          </w:rPr>
          <w:t xml:space="preserve">Ministerio de Salud y Protección Social 2017</w:t>
        </w:r>
      </w:hyperlink>
      <w:r>
        <w:t xml:space="preserve">)</w:t>
      </w:r>
      <w:r>
        <w:t xml:space="preserve">. Varios de estos temas reaparecen, con una definición</w:t>
      </w:r>
      <w:r>
        <w:t xml:space="preserve"> </w:t>
      </w:r>
      <w:r>
        <w:t xml:space="preserve">propia, entre las dimensiones de experiencia del usuario del marco conceptual de</w:t>
      </w:r>
      <w:r>
        <w:t xml:space="preserve"> </w:t>
      </w:r>
      <w:r>
        <w:t xml:space="preserve">este documento (</w:t>
      </w:r>
      <w:r>
        <w:t xml:space="preserve">3.1</w:t>
      </w:r>
      <w:r>
        <w:t xml:space="preserve">). La encuesta de 2017 constituye así</w:t>
      </w:r>
      <w:r>
        <w:t xml:space="preserve"> </w:t>
      </w:r>
      <w:r>
        <w:t xml:space="preserve">un antecedente importante de la incorporación progresiva de dimensiones</w:t>
      </w:r>
      <w:r>
        <w:t xml:space="preserve"> </w:t>
      </w:r>
      <w:r>
        <w:t xml:space="preserve">relacionadas con la interacción de los usuarios con los servicios de salud, aunque</w:t>
      </w:r>
      <w:r>
        <w:t xml:space="preserve"> </w:t>
      </w:r>
      <w:r>
        <w:t xml:space="preserve">su objeto principal continuaba siendo la evaluación de los servicios de las EPS y</w:t>
      </w:r>
      <w:r>
        <w:t xml:space="preserve"> </w:t>
      </w:r>
      <w:r>
        <w:t xml:space="preserve">la satisfacción de sus usuarios.</w:t>
      </w:r>
    </w:p>
    <w:bookmarkEnd w:id="26"/>
    <w:bookmarkEnd w:id="27"/>
    <w:bookmarkStart w:id="34" w:name="sec-mediciones-msps-2018-2025"/>
    <w:p>
      <w:pPr>
        <w:pStyle w:val="Heading2"/>
      </w:pPr>
      <w:r>
        <w:rPr>
          <w:rStyle w:val="SectionNumber"/>
        </w:rPr>
        <w:t xml:space="preserve">1.5</w:t>
      </w:r>
      <w:r>
        <w:tab/>
      </w:r>
      <w:r>
        <w:t xml:space="preserve">Continuidad y transformaciones de las mediciones del MSPS: 2018-2025</w:t>
      </w:r>
    </w:p>
    <w:p>
      <w:pPr>
        <w:pStyle w:val="FirstParagraph"/>
      </w:pPr>
      <w:r>
        <w:t xml:space="preserve">Entre 2018 y 2025 las mediciones del MSPS mantuvieron la evaluación de la</w:t>
      </w:r>
      <w:r>
        <w:t xml:space="preserve"> </w:t>
      </w:r>
      <w:r>
        <w:t xml:space="preserve">satisfacción de los usuarios como eje principal, pero incorporaron cambios en los</w:t>
      </w:r>
      <w:r>
        <w:t xml:space="preserve"> </w:t>
      </w:r>
      <w:r>
        <w:t xml:space="preserve">instrumentos, los temas abordados y las formas de recolección. En este periodo se</w:t>
      </w:r>
      <w:r>
        <w:t xml:space="preserve"> </w:t>
      </w:r>
      <w:r>
        <w:t xml:space="preserve">observan además dos momentos particulares: la modificación del operativo durante</w:t>
      </w:r>
      <w:r>
        <w:t xml:space="preserve"> </w:t>
      </w:r>
      <w:r>
        <w:t xml:space="preserve">la pandemia de COVID-19 en 2020 y el retorno a la recolección presencial en 2022.</w:t>
      </w:r>
      <w:r>
        <w:t xml:space="preserve"> </w:t>
      </w:r>
      <w:r>
        <w:t xml:space="preserve">Las mediciones de 2023, 2024 y 2025 muestran la continuidad de la serie hasta los</w:t>
      </w:r>
      <w:r>
        <w:t xml:space="preserve"> </w:t>
      </w:r>
      <w:r>
        <w:t xml:space="preserve">años inmediatamente anteriores a la ENUS 2026.</w:t>
      </w:r>
    </w:p>
    <w:bookmarkStart w:id="28" w:name="sec-comparacion-mediciones-2018-2025"/>
    <w:p>
      <w:pPr>
        <w:pStyle w:val="Heading3"/>
      </w:pPr>
      <w:r>
        <w:rPr>
          <w:rStyle w:val="SectionNumber"/>
        </w:rPr>
        <w:t xml:space="preserve">1.5.1</w:t>
      </w:r>
      <w:r>
        <w:tab/>
      </w:r>
      <w:r>
        <w:t xml:space="preserve">Comparación de las mediciones 2018-2025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Año</w:t>
            </w:r>
          </w:p>
        </w:tc>
        <w:tc>
          <w:tcPr/>
          <w:p>
            <w:pPr>
              <w:pStyle w:val="Compact"/>
              <w:jc w:val="left"/>
            </w:pPr>
            <w:r>
              <w:t xml:space="preserve">Medición</w:t>
            </w:r>
          </w:p>
        </w:tc>
        <w:tc>
          <w:tcPr/>
          <w:p>
            <w:pPr>
              <w:pStyle w:val="Compact"/>
              <w:jc w:val="left"/>
            </w:pPr>
            <w:r>
              <w:t xml:space="preserve">Enfoque principal</w:t>
            </w:r>
          </w:p>
        </w:tc>
        <w:tc>
          <w:tcPr/>
          <w:p>
            <w:pPr>
              <w:pStyle w:val="Compact"/>
              <w:jc w:val="left"/>
            </w:pPr>
            <w:r>
              <w:t xml:space="preserve">Recolección / diseño</w:t>
            </w:r>
          </w:p>
        </w:tc>
        <w:tc>
          <w:tcPr/>
          <w:p>
            <w:pPr>
              <w:pStyle w:val="Compact"/>
              <w:jc w:val="right"/>
            </w:pPr>
            <w:r>
              <w:t xml:space="preserve">Muestra</w:t>
            </w:r>
          </w:p>
        </w:tc>
        <w:tc>
          <w:tcPr/>
          <w:p>
            <w:pPr>
              <w:pStyle w:val="Compact"/>
              <w:jc w:val="left"/>
            </w:pPr>
            <w:r>
              <w:t xml:space="preserve">Principales características</w:t>
            </w:r>
          </w:p>
        </w:tc>
      </w:tr>
      <w:tr>
        <w:tc>
          <w:tcPr/>
          <w:p>
            <w:pPr>
              <w:pStyle w:val="Compact"/>
              <w:jc w:val="left"/>
            </w:pPr>
            <w:r>
              <w:rPr>
                <w:b/>
                <w:bCs/>
              </w:rPr>
              <w:t xml:space="preserve">2018</w:t>
            </w:r>
          </w:p>
        </w:tc>
        <w:tc>
          <w:tcPr/>
          <w:p>
            <w:pPr>
              <w:pStyle w:val="Compact"/>
              <w:jc w:val="left"/>
            </w:pPr>
            <w:r>
              <w:t xml:space="preserve">Ranking de Satisfacción EPS</w:t>
            </w:r>
          </w:p>
        </w:tc>
        <w:tc>
          <w:tcPr/>
          <w:p>
            <w:pPr>
              <w:pStyle w:val="Compact"/>
              <w:jc w:val="left"/>
            </w:pPr>
            <w:r>
              <w:t xml:space="preserve">Satisfacción, oportunidad y trámites</w:t>
            </w:r>
          </w:p>
        </w:tc>
        <w:tc>
          <w:tcPr/>
          <w:p>
            <w:pPr>
              <w:pStyle w:val="Compact"/>
              <w:jc w:val="left"/>
            </w:pPr>
            <w:r>
              <w:t xml:space="preserve">Análisis secundario de la información de 2017</w:t>
            </w:r>
          </w:p>
        </w:tc>
        <w:tc>
          <w:tcPr/>
          <w:p>
            <w:pPr>
              <w:pStyle w:val="Compact"/>
              <w:jc w:val="right"/>
            </w:pPr>
            <w:r>
              <w:t xml:space="preserve">Información de 2017</w:t>
            </w:r>
          </w:p>
        </w:tc>
        <w:tc>
          <w:tcPr/>
          <w:p>
            <w:pPr>
              <w:pStyle w:val="Compact"/>
              <w:jc w:val="left"/>
            </w:pPr>
            <w:r>
              <w:t xml:space="preserve">51 indicadores agrupados en tres dimensiones: oportunidad, satisfacción y trámites. Incorporación de</w:t>
            </w:r>
            <w:r>
              <w:t xml:space="preserve"> </w:t>
            </w:r>
            <w:r>
              <w:rPr>
                <w:i/>
                <w:iCs/>
              </w:rPr>
              <w:t xml:space="preserve">bootstrapping</w:t>
            </w:r>
            <w:r>
              <w:t xml:space="preserve"> </w:t>
            </w:r>
            <w:r>
              <w:t xml:space="preserve">para comparar diferencias entre EPS</w:t>
            </w:r>
          </w:p>
        </w:tc>
      </w:tr>
      <w:tr>
        <w:tc>
          <w:tcPr/>
          <w:p>
            <w:pPr>
              <w:pStyle w:val="Compact"/>
              <w:jc w:val="left"/>
            </w:pPr>
            <w:r>
              <w:rPr>
                <w:b/>
                <w:bCs/>
              </w:rPr>
              <w:t xml:space="preserve">2020</w:t>
            </w:r>
          </w:p>
        </w:tc>
        <w:tc>
          <w:tcPr/>
          <w:p>
            <w:pPr>
              <w:pStyle w:val="Compact"/>
              <w:jc w:val="left"/>
            </w:pPr>
            <w:r>
              <w:t xml:space="preserve">Estudio Nacional de Evaluación de los Servicios de las EPS</w:t>
            </w:r>
          </w:p>
        </w:tc>
        <w:tc>
          <w:tcPr/>
          <w:p>
            <w:pPr>
              <w:pStyle w:val="Compact"/>
              <w:jc w:val="left"/>
            </w:pPr>
            <w:r>
              <w:t xml:space="preserve">Evaluación de servicios y satisfacción</w:t>
            </w:r>
          </w:p>
        </w:tc>
        <w:tc>
          <w:tcPr/>
          <w:p>
            <w:pPr>
              <w:pStyle w:val="Compact"/>
              <w:jc w:val="left"/>
            </w:pPr>
            <w:r>
              <w:t xml:space="preserve">Entrevista telefónica; muestreo de lista</w:t>
            </w:r>
          </w:p>
        </w:tc>
        <w:tc>
          <w:tcPr/>
          <w:p>
            <w:pPr>
              <w:pStyle w:val="Compact"/>
              <w:jc w:val="right"/>
            </w:pPr>
            <w:r>
              <w:t xml:space="preserve">18.630 personas, 36 EPS</w:t>
            </w:r>
          </w:p>
        </w:tc>
        <w:tc>
          <w:tcPr/>
          <w:p>
            <w:pPr>
              <w:pStyle w:val="Compact"/>
              <w:jc w:val="left"/>
            </w:pPr>
            <w:r>
              <w:t xml:space="preserve">Cambio del muestreo de áreas a muestreo de lista. Ampliación de 157 a 541 municipios por las dificultades de respuesta telefónica. Inclusión de módulo sobre COVID-19</w:t>
            </w:r>
          </w:p>
        </w:tc>
      </w:tr>
      <w:tr>
        <w:tc>
          <w:tcPr/>
          <w:p>
            <w:pPr>
              <w:pStyle w:val="Compact"/>
              <w:jc w:val="left"/>
            </w:pPr>
            <w:r>
              <w:rPr>
                <w:b/>
                <w:bCs/>
              </w:rPr>
              <w:t xml:space="preserve">2022</w:t>
            </w:r>
          </w:p>
        </w:tc>
        <w:tc>
          <w:tcPr/>
          <w:p>
            <w:pPr>
              <w:pStyle w:val="Compact"/>
              <w:jc w:val="left"/>
            </w:pPr>
            <w:r>
              <w:t xml:space="preserve">Encuesta Nacional de Satisfacción de los Usuarios frente a los Servicios de las EPS</w:t>
            </w:r>
          </w:p>
        </w:tc>
        <w:tc>
          <w:tcPr/>
          <w:p>
            <w:pPr>
              <w:pStyle w:val="Compact"/>
              <w:jc w:val="left"/>
            </w:pPr>
            <w:r>
              <w:t xml:space="preserve">Satisfacción, acceso, recomendación y trámites</w:t>
            </w:r>
          </w:p>
        </w:tc>
        <w:tc>
          <w:tcPr/>
          <w:p>
            <w:pPr>
              <w:pStyle w:val="Compact"/>
              <w:jc w:val="left"/>
            </w:pPr>
            <w:r>
              <w:t xml:space="preserve">Entrevista presencial; selección aleatoria de barrios y manzanas y barrido de hogares</w:t>
            </w:r>
          </w:p>
        </w:tc>
        <w:tc>
          <w:tcPr/>
          <w:p>
            <w:pPr>
              <w:pStyle w:val="Compact"/>
              <w:jc w:val="right"/>
            </w:pPr>
            <w:r>
              <w:t xml:space="preserve">18.360 encuestas</w:t>
            </w:r>
          </w:p>
        </w:tc>
        <w:tc>
          <w:tcPr/>
          <w:p>
            <w:pPr>
              <w:pStyle w:val="Compact"/>
              <w:jc w:val="left"/>
            </w:pPr>
            <w:r>
              <w:t xml:space="preserve">Retorno a la recolección presencial. Resultados expandidos a 42.897.182 personas</w:t>
            </w:r>
          </w:p>
        </w:tc>
      </w:tr>
      <w:tr>
        <w:tc>
          <w:tcPr/>
          <w:p>
            <w:pPr>
              <w:pStyle w:val="Compact"/>
              <w:jc w:val="left"/>
            </w:pPr>
            <w:r>
              <w:rPr>
                <w:b/>
                <w:bCs/>
              </w:rPr>
              <w:t xml:space="preserve">2023</w:t>
            </w:r>
          </w:p>
        </w:tc>
        <w:tc>
          <w:tcPr/>
          <w:p>
            <w:pPr>
              <w:pStyle w:val="Compact"/>
              <w:jc w:val="left"/>
            </w:pPr>
            <w:r>
              <w:t xml:space="preserve">Encuesta con énfasis en Atención Primaria en Salud</w:t>
            </w:r>
          </w:p>
        </w:tc>
        <w:tc>
          <w:tcPr/>
          <w:p>
            <w:pPr>
              <w:pStyle w:val="Compact"/>
              <w:jc w:val="left"/>
            </w:pPr>
            <w:r>
              <w:t xml:space="preserve">Satisfacción y atención primaria en salud</w:t>
            </w:r>
          </w:p>
        </w:tc>
        <w:tc>
          <w:tcPr/>
          <w:p>
            <w:pPr>
              <w:pStyle w:val="Compact"/>
              <w:jc w:val="left"/>
            </w:pPr>
            <w:r>
              <w:t xml:space="preserve">Probabilístico, estratificado, de conglomerados y trietápico; entrevista presencial</w:t>
            </w:r>
          </w:p>
        </w:tc>
        <w:tc>
          <w:tcPr/>
          <w:p>
            <w:pPr>
              <w:pStyle w:val="Compact"/>
              <w:jc w:val="right"/>
            </w:pPr>
            <w:r>
              <w:t xml:space="preserve">14.845 encuestas válidas (mín. contractual 12.096)</w:t>
            </w:r>
          </w:p>
        </w:tc>
        <w:tc>
          <w:tcPr/>
          <w:p>
            <w:pPr>
              <w:pStyle w:val="Compact"/>
              <w:jc w:val="left"/>
            </w:pPr>
            <w:r>
              <w:t xml:space="preserve">Selección de municipios, sectores censales y personas. Desagregación en seis macrorregiones. Instrumento de aproximadamente 75 preguntas</w:t>
            </w:r>
          </w:p>
        </w:tc>
      </w:tr>
      <w:tr>
        <w:tc>
          <w:tcPr/>
          <w:p>
            <w:pPr>
              <w:pStyle w:val="Compact"/>
              <w:jc w:val="left"/>
            </w:pPr>
            <w:r>
              <w:rPr>
                <w:b/>
                <w:bCs/>
              </w:rPr>
              <w:t xml:space="preserve">2024</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w:t>
            </w:r>
          </w:p>
        </w:tc>
        <w:tc>
          <w:tcPr/>
          <w:p>
            <w:pPr>
              <w:pStyle w:val="Compact"/>
              <w:jc w:val="left"/>
            </w:pPr>
            <w:r>
              <w:t xml:space="preserve">Continuidad de la medición de satisfacción. El título oficial no incorpora el énfasis en atención primaria de 2023</w:t>
            </w:r>
          </w:p>
        </w:tc>
      </w:tr>
      <w:tr>
        <w:tc>
          <w:tcPr/>
          <w:p>
            <w:pPr>
              <w:pStyle w:val="Compact"/>
              <w:jc w:val="left"/>
            </w:pPr>
            <w:r>
              <w:rPr>
                <w:b/>
                <w:bCs/>
              </w:rPr>
              <w:t xml:space="preserve">2025</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18.639 usuarios</w:t>
            </w:r>
          </w:p>
        </w:tc>
        <w:tc>
          <w:tcPr/>
          <w:p>
            <w:pPr>
              <w:pStyle w:val="Compact"/>
              <w:jc w:val="left"/>
            </w:pPr>
            <w:r>
              <w:t xml:space="preserve">Levantamiento entre septiembre y diciembre. Cobertura en seis regiones del sistema de salud</w:t>
            </w:r>
          </w:p>
        </w:tc>
      </w:tr>
    </w:tbl>
    <w:bookmarkEnd w:id="28"/>
    <w:bookmarkStart w:id="29" w:name="ranking-de-satisfacción-eps"/>
    <w:p>
      <w:pPr>
        <w:pStyle w:val="Heading3"/>
      </w:pPr>
      <w:r>
        <w:rPr>
          <w:rStyle w:val="SectionNumber"/>
        </w:rPr>
        <w:t xml:space="preserve">1.5.2</w:t>
      </w:r>
      <w:r>
        <w:tab/>
      </w:r>
      <w:r>
        <w:t xml:space="preserve">2018 — Ranking de Satisfacción EPS</w:t>
      </w:r>
    </w:p>
    <w:p>
      <w:pPr>
        <w:pStyle w:val="FirstParagraph"/>
      </w:pPr>
      <w:r>
        <w:t xml:space="preserve">La edición de 2018</w:t>
      </w:r>
      <w:r>
        <w:t xml:space="preserve"> </w:t>
      </w:r>
      <w:r>
        <w:t xml:space="preserve">(</w:t>
      </w:r>
      <w:hyperlink w:anchor="ref-MSPS2018">
        <w:r>
          <w:rPr>
            <w:rStyle w:val="Hyperlink"/>
          </w:rPr>
          <w:t xml:space="preserve">Matajira Gaitán et al. 2018</w:t>
        </w:r>
      </w:hyperlink>
      <w:r>
        <w:t xml:space="preserve">)</w:t>
      </w:r>
      <w:r>
        <w:t xml:space="preserve"> </w:t>
      </w:r>
      <w:r>
        <w:t xml:space="preserve">no correspondió a una nueva encuesta, sino a un</w:t>
      </w:r>
      <w:r>
        <w:t xml:space="preserve"> </w:t>
      </w:r>
      <w:r>
        <w:t xml:space="preserve">análisis de la información obtenida en 2017. El cambio principal estuvo en la forma</w:t>
      </w:r>
      <w:r>
        <w:t xml:space="preserve"> </w:t>
      </w:r>
      <w:r>
        <w:t xml:space="preserve">de organizar y presentar los resultados: la dimensión de acceso fue sustituida por</w:t>
      </w:r>
      <w:r>
        <w:t xml:space="preserve"> </w:t>
      </w:r>
      <w:r>
        <w:t xml:space="preserve">la dimensión de trámites y se construyó un ranking a partir de 51 indicadores</w:t>
      </w:r>
      <w:r>
        <w:t xml:space="preserve"> </w:t>
      </w:r>
      <w:r>
        <w:t xml:space="preserve">agrupados en tres dimensiones con igual ponderación: oportunidad (33,3 %),</w:t>
      </w:r>
      <w:r>
        <w:t xml:space="preserve"> </w:t>
      </w:r>
      <w:r>
        <w:t xml:space="preserve">satisfacción (33,3 %) y trámites (33,3 %).</w:t>
      </w:r>
    </w:p>
    <w:p>
      <w:pPr>
        <w:pStyle w:val="BodyText"/>
      </w:pPr>
      <w:r>
        <w:t xml:space="preserve">Para comparar los resultados entre EPS se utilizó un procedimiento de remuestreo</w:t>
      </w:r>
      <w:r>
        <w:t xml:space="preserve"> </w:t>
      </w:r>
      <w:r>
        <w:t xml:space="preserve">(</w:t>
      </w:r>
      <w:r>
        <w:rPr>
          <w:i/>
          <w:iCs/>
        </w:rPr>
        <w:t xml:space="preserve">bootstrapping</w:t>
      </w:r>
      <w:r>
        <w:t xml:space="preserve">) que replicó el ejercicio 1.000 veces y permitió establecer un</w:t>
      </w:r>
      <w:r>
        <w:t xml:space="preserve"> </w:t>
      </w:r>
      <w:r>
        <w:t xml:space="preserve">umbral para determinar cuándo las diferencias entre los puntajes podían</w:t>
      </w:r>
      <w:r>
        <w:t xml:space="preserve"> </w:t>
      </w:r>
      <w:r>
        <w:t xml:space="preserve">considerarse estadísticamente significativas</w:t>
      </w:r>
      <w:r>
        <w:t xml:space="preserve"> </w:t>
      </w:r>
      <w:r>
        <w:t xml:space="preserve">(</w:t>
      </w:r>
      <w:hyperlink w:anchor="ref-MSPS2018">
        <w:r>
          <w:rPr>
            <w:rStyle w:val="Hyperlink"/>
          </w:rPr>
          <w:t xml:space="preserve">Matajira Gaitán et al. 2018</w:t>
        </w:r>
      </w:hyperlink>
      <w:r>
        <w:t xml:space="preserve">)</w:t>
      </w:r>
      <w:r>
        <w:t xml:space="preserve">.</w:t>
      </w:r>
    </w:p>
    <w:bookmarkEnd w:id="29"/>
    <w:bookmarkStart w:id="30" w:name="X9203355400baf73cbf20cefa9962ce0b72d8dd2"/>
    <w:p>
      <w:pPr>
        <w:pStyle w:val="Heading3"/>
      </w:pPr>
      <w:r>
        <w:rPr>
          <w:rStyle w:val="SectionNumber"/>
        </w:rPr>
        <w:t xml:space="preserve">1.5.3</w:t>
      </w:r>
      <w:r>
        <w:tab/>
      </w:r>
      <w:r>
        <w:t xml:space="preserve">2020 — Estudio Nacional de Evaluación de los Servicios de las EPS</w:t>
      </w:r>
    </w:p>
    <w:p>
      <w:pPr>
        <w:pStyle w:val="FirstParagraph"/>
      </w:pPr>
      <w:r>
        <w:t xml:space="preserve">La medición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estuvo marcada por las condiciones generadas por</w:t>
      </w:r>
      <w:r>
        <w:t xml:space="preserve"> </w:t>
      </w:r>
      <w:r>
        <w:t xml:space="preserve">la pandemia de COVID-19. La encuesta, que tradicionalmente se realizaba mediante</w:t>
      </w:r>
      <w:r>
        <w:t xml:space="preserve"> </w:t>
      </w:r>
      <w:r>
        <w:t xml:space="preserve">entrevistas presenciales, pasó a realizarse por vía telefónica. Este cambio estuvo</w:t>
      </w:r>
      <w:r>
        <w:t xml:space="preserve"> </w:t>
      </w:r>
      <w:r>
        <w:t xml:space="preserve">acompañado por una modificación del diseño muestral: se pasó de un muestreo de</w:t>
      </w:r>
      <w:r>
        <w:t xml:space="preserve"> </w:t>
      </w:r>
      <w:r>
        <w:t xml:space="preserve">áreas a un muestreo de lista</w:t>
      </w:r>
      <w:r>
        <w:t xml:space="preserve"> </w:t>
      </w:r>
      <w:r>
        <w:t xml:space="preserve">(</w:t>
      </w:r>
      <w:hyperlink w:anchor="ref-MSPS2020">
        <w:r>
          <w:rPr>
            <w:rStyle w:val="Hyperlink"/>
          </w:rPr>
          <w:t xml:space="preserve">Ministerio de Salud y Protección Social 2020</w:t>
        </w:r>
      </w:hyperlink>
      <w:r>
        <w:t xml:space="preserve">)</w:t>
      </w:r>
      <w:r>
        <w:t xml:space="preserve">.</w:t>
      </w:r>
    </w:p>
    <w:p>
      <w:pPr>
        <w:pStyle w:val="BodyText"/>
      </w:pPr>
      <w:r>
        <w:t xml:space="preserve">Las dificultades para obtener las entrevistas previstas llevaron a ampliar la</w:t>
      </w:r>
      <w:r>
        <w:t xml:space="preserve"> </w:t>
      </w:r>
      <w:r>
        <w:t xml:space="preserve">cobertura inicialmente establecida de 157 a 541 municipios. Finalmente se</w:t>
      </w:r>
      <w:r>
        <w:t xml:space="preserve"> </w:t>
      </w:r>
      <w:r>
        <w:t xml:space="preserve">realizaron 18.630 encuestas a usuarios de 36 EPS en los 33 departamentos</w:t>
      </w:r>
      <w:r>
        <w:t xml:space="preserve"> </w:t>
      </w:r>
      <w:r>
        <w:t xml:space="preserve">(</w:t>
      </w:r>
      <w:hyperlink w:anchor="ref-MSPS2020">
        <w:r>
          <w:rPr>
            <w:rStyle w:val="Hyperlink"/>
          </w:rPr>
          <w:t xml:space="preserve">Ministerio de Salud y Protección Social 2020</w:t>
        </w:r>
      </w:hyperlink>
      <w:r>
        <w:t xml:space="preserve">)</w:t>
      </w:r>
      <w:r>
        <w:t xml:space="preserve">. La encuesta incorporó además un módulo específico sobre diagnóstico</w:t>
      </w:r>
      <w:r>
        <w:t xml:space="preserve"> </w:t>
      </w:r>
      <w:r>
        <w:t xml:space="preserve">y atención relacionados con COVID-19.</w:t>
      </w:r>
    </w:p>
    <w:p>
      <w:pPr>
        <w:pStyle w:val="BodyText"/>
      </w:pPr>
      <w:r>
        <w:t xml:space="preserve">El cambio en la modalidad de recolección constituye uno de los principales</w:t>
      </w:r>
      <w:r>
        <w:t xml:space="preserve"> </w:t>
      </w:r>
      <w:r>
        <w:t xml:space="preserve">elementos metodológicos de esta edición, ya que modifica la forma de contacto con</w:t>
      </w:r>
      <w:r>
        <w:t xml:space="preserve"> </w:t>
      </w:r>
      <w:r>
        <w:t xml:space="preserve">los usuarios y el marco utilizado para seleccionarlos.</w:t>
      </w:r>
    </w:p>
    <w:bookmarkEnd w:id="30"/>
    <w:bookmarkStart w:id="31" w:name="Xaa896fdabc93d3c911b3fbbc45fd1921a650da4"/>
    <w:p>
      <w:pPr>
        <w:pStyle w:val="Heading3"/>
      </w:pPr>
      <w:r>
        <w:rPr>
          <w:rStyle w:val="SectionNumber"/>
        </w:rPr>
        <w:t xml:space="preserve">1.5.4</w:t>
      </w:r>
      <w:r>
        <w:tab/>
      </w:r>
      <w:r>
        <w:t xml:space="preserve">2022 — Encuesta Nacional de Satisfacción de los Usuarios frente a los Servicios de las EPS</w:t>
      </w:r>
    </w:p>
    <w:p>
      <w:pPr>
        <w:pStyle w:val="FirstParagraph"/>
      </w:pPr>
      <w:r>
        <w:t xml:space="preserve">La medición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retomó la recolección presencial. La selección se</w:t>
      </w:r>
      <w:r>
        <w:t xml:space="preserve"> </w:t>
      </w:r>
      <w:r>
        <w:t xml:space="preserve">realizó mediante una combinación de selección aleatoria de barrios y manzanas,</w:t>
      </w:r>
      <w:r>
        <w:t xml:space="preserve"> </w:t>
      </w:r>
      <w:r>
        <w:t xml:space="preserve">apoyada en cartografía, y un barrido de hogares dentro de las manzanas</w:t>
      </w:r>
      <w:r>
        <w:t xml:space="preserve"> </w:t>
      </w:r>
      <w:r>
        <w:t xml:space="preserve">seleccionadas. Cuando no se alcanzaba la cantidad de encuestas prevista en una</w:t>
      </w:r>
      <w:r>
        <w:t xml:space="preserve"> </w:t>
      </w:r>
      <w:r>
        <w:t xml:space="preserve">manzana, se realizaba el reemplazo por otra manzana</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trabajo de campo se desarrolló entre el 2 de agosto y el 31 de octubre de 2022.</w:t>
      </w:r>
      <w:r>
        <w:t xml:space="preserve"> </w:t>
      </w:r>
      <w:r>
        <w:t xml:space="preserve">Se realizaron 18.360 encuestas: 7.325 correspondientes al régimen contributivo,</w:t>
      </w:r>
      <w:r>
        <w:t xml:space="preserve"> </w:t>
      </w:r>
      <w:r>
        <w:t xml:space="preserve">9.574 al régimen subsidiado y 1.461 al régimen subsidiado/indígena. Los resultados</w:t>
      </w:r>
      <w:r>
        <w:t xml:space="preserve"> </w:t>
      </w:r>
      <w:r>
        <w:t xml:space="preserve">fueron expandidos a 42.897.182 personas, sobre un universo de 48.899.985 afiliados</w:t>
      </w:r>
      <w:r>
        <w:t xml:space="preserve"> </w:t>
      </w:r>
      <w:r>
        <w:t xml:space="preserve">a las EPS con corte a septiembre de 2022, equivalente a una cobertura del estudio</w:t>
      </w:r>
      <w:r>
        <w:t xml:space="preserve"> </w:t>
      </w:r>
      <w:r>
        <w:t xml:space="preserve">del 87,72 %</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instrumento abordó aspectos relacionados con las características de los</w:t>
      </w:r>
      <w:r>
        <w:t xml:space="preserve"> </w:t>
      </w:r>
      <w:r>
        <w:t xml:space="preserve">afiliados, satisfacción global, acceso, recomendación, estado de salud y trámites.</w:t>
      </w:r>
      <w:r>
        <w:t xml:space="preserve"> </w:t>
      </w:r>
      <w:r>
        <w:t xml:space="preserve">Esta estructura muestra la continuidad de algunos temas de las mediciones</w:t>
      </w:r>
      <w:r>
        <w:t xml:space="preserve"> </w:t>
      </w:r>
      <w:r>
        <w:t xml:space="preserve">anteriores, junto con una reorganización del contenido del cuestionario.</w:t>
      </w:r>
    </w:p>
    <w:bookmarkEnd w:id="31"/>
    <w:bookmarkStart w:id="32" w:name="Xab5456f60da129ec817454e2f4311715da5e2af"/>
    <w:p>
      <w:pPr>
        <w:pStyle w:val="Heading3"/>
      </w:pPr>
      <w:r>
        <w:rPr>
          <w:rStyle w:val="SectionNumber"/>
        </w:rPr>
        <w:t xml:space="preserve">1.5.5</w:t>
      </w:r>
      <w:r>
        <w:tab/>
      </w:r>
      <w:r>
        <w:t xml:space="preserve">2023 — Encuesta con énfasis en Atención Primaria en Salud</w:t>
      </w:r>
    </w:p>
    <w:p>
      <w:pPr>
        <w:pStyle w:val="FirstParagraph"/>
      </w:pPr>
      <w:r>
        <w:t xml:space="preserve">La medición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incorporó un énfasis explícito en la</w:t>
      </w:r>
      <w:r>
        <w:t xml:space="preserve"> </w:t>
      </w:r>
      <w:r>
        <w:rPr>
          <w:b/>
          <w:bCs/>
        </w:rPr>
        <w:t xml:space="preserve">Atención</w:t>
      </w:r>
      <w:r>
        <w:rPr>
          <w:b/>
          <w:bCs/>
        </w:rPr>
        <w:t xml:space="preserve"> </w:t>
      </w:r>
      <w:r>
        <w:rPr>
          <w:b/>
          <w:bCs/>
        </w:rPr>
        <w:t xml:space="preserve">Primaria en Salud</w:t>
      </w:r>
      <w:r>
        <w:t xml:space="preserve">, aspecto que se refleja tanto en el título como en el contenido</w:t>
      </w:r>
      <w:r>
        <w:t xml:space="preserve"> </w:t>
      </w:r>
      <w:r>
        <w:t xml:space="preserve">del informe. El diseño fue</w:t>
      </w:r>
      <w:r>
        <w:t xml:space="preserve"> </w:t>
      </w:r>
      <w:r>
        <w:rPr>
          <w:b/>
          <w:bCs/>
        </w:rPr>
        <w:t xml:space="preserve">probabilístico, estratificado, de conglomerados y</w:t>
      </w:r>
      <w:r>
        <w:rPr>
          <w:b/>
          <w:bCs/>
        </w:rPr>
        <w:t xml:space="preserve"> </w:t>
      </w:r>
      <w:r>
        <w:rPr>
          <w:b/>
          <w:bCs/>
        </w:rPr>
        <w:t xml:space="preserve">trietápico</w:t>
      </w:r>
      <w:r>
        <w:t xml:space="preserve">, con selección de municipios, sectores censales y personas, mediante</w:t>
      </w:r>
      <w:r>
        <w:t xml:space="preserve"> </w:t>
      </w:r>
      <w:r>
        <w:t xml:space="preserve">entrevista personal en los hogares.</w:t>
      </w:r>
    </w:p>
    <w:p>
      <w:pPr>
        <w:pStyle w:val="BodyText"/>
      </w:pPr>
      <w:r>
        <w:t xml:space="preserve">El instrumento tuvo aproximadamente 75 preguntas y la presentación de los</w:t>
      </w:r>
      <w:r>
        <w:t xml:space="preserve"> </w:t>
      </w:r>
      <w:r>
        <w:t xml:space="preserve">resultados incorporó seis macrorregiones:</w:t>
      </w:r>
      <w:r>
        <w:t xml:space="preserve"> </w:t>
      </w:r>
      <w:r>
        <w:rPr>
          <w:b/>
          <w:bCs/>
        </w:rPr>
        <w:t xml:space="preserve">Pacífico, Caribe, Central, Oriental,</w:t>
      </w:r>
      <w:r>
        <w:rPr>
          <w:b/>
          <w:bCs/>
        </w:rPr>
        <w:t xml:space="preserve"> </w:t>
      </w:r>
      <w:r>
        <w:rPr>
          <w:b/>
          <w:bCs/>
        </w:rPr>
        <w:t xml:space="preserve">Bogotá y Orinoquía-Amazonía</w:t>
      </w:r>
      <w:r>
        <w:t xml:space="preserve"> </w:t>
      </w:r>
      <w:r>
        <w:t xml:space="preserve">(</w:t>
      </w:r>
      <w:hyperlink w:anchor="ref-MSPS2023">
        <w:r>
          <w:rPr>
            <w:rStyle w:val="Hyperlink"/>
          </w:rPr>
          <w:t xml:space="preserve">Ministerio de Salud y Protección Social 2023</w:t>
        </w:r>
      </w:hyperlink>
      <w:r>
        <w:t xml:space="preserve">)</w:t>
      </w:r>
      <w:r>
        <w:t xml:space="preserve">. Esta desagregación amplió la forma de</w:t>
      </w:r>
      <w:r>
        <w:t xml:space="preserve"> </w:t>
      </w:r>
      <w:r>
        <w:t xml:space="preserve">presentar los resultados frente a las ediciones anteriores.</w:t>
      </w:r>
    </w:p>
    <w:p>
      <w:pPr>
        <w:pStyle w:val="BodyText"/>
      </w:pPr>
      <w:r>
        <w:t xml:space="preserve">Los principales elementos de diseño y muestra de esta edición se presentan en la</w:t>
      </w:r>
      <w:r>
        <w:t xml:space="preserve"> </w:t>
      </w:r>
      <w:r>
        <w:t xml:space="preserve">tabla comparativa de la Sección</w:t>
      </w:r>
      <w:r>
        <w:t xml:space="preserve"> </w:t>
      </w:r>
      <w:r>
        <w:t xml:space="preserve">1.5.1</w:t>
      </w:r>
      <w:r>
        <w:t xml:space="preserve">; los</w:t>
      </w:r>
      <w:r>
        <w:t xml:space="preserve"> </w:t>
      </w:r>
      <w:r>
        <w:t xml:space="preserve">aprendizajes metodológicos que deja el conjunto del ciclo se sintetizan en la</w:t>
      </w:r>
      <w:r>
        <w:t xml:space="preserve"> </w:t>
      </w:r>
      <w:r>
        <w:t xml:space="preserve">Sección</w:t>
      </w:r>
      <w:r>
        <w:t xml:space="preserve"> </w:t>
      </w:r>
      <w:r>
        <w:t xml:space="preserve">1.6</w:t>
      </w:r>
      <w:r>
        <w:t xml:space="preserve">.</w:t>
      </w:r>
    </w:p>
    <w:bookmarkEnd w:id="32"/>
    <w:bookmarkStart w:id="33" w:name="X82d4528dbf329cc96c1db94358f4fdddeed9d16"/>
    <w:p>
      <w:pPr>
        <w:pStyle w:val="Heading3"/>
      </w:pPr>
      <w:r>
        <w:rPr>
          <w:rStyle w:val="SectionNumber"/>
        </w:rPr>
        <w:t xml:space="preserve">1.5.6</w:t>
      </w:r>
      <w:r>
        <w:tab/>
      </w:r>
      <w:r>
        <w:t xml:space="preserve">2024-2025 — Mediciones inmediatamente anteriores a ENUS 2026</w:t>
      </w:r>
    </w:p>
    <w:p>
      <w:pPr>
        <w:pStyle w:val="FirstParagraph"/>
      </w:pPr>
      <w:r>
        <w:t xml:space="preserve">Las mediciones de 2024 y 2025 corresponden a las etapas más recientes de la serie</w:t>
      </w:r>
      <w:r>
        <w:t xml:space="preserve"> </w:t>
      </w:r>
      <w:r>
        <w:t xml:space="preserve">de encuestas de satisfacción desarrolladas por la Oficina de Calidad del MSPS</w:t>
      </w:r>
      <w:r>
        <w:t xml:space="preserve"> </w:t>
      </w:r>
      <w:r>
        <w:t xml:space="preserve">(</w:t>
      </w:r>
      <w:hyperlink w:anchor="ref-MSPS2024">
        <w:r>
          <w:rPr>
            <w:rStyle w:val="Hyperlink"/>
          </w:rPr>
          <w:t xml:space="preserve">Ministerio de Salud y Protección Social 2024</w:t>
        </w:r>
      </w:hyperlink>
      <w:r>
        <w:t xml:space="preserve">,</w:t>
      </w:r>
      <w:r>
        <w:t xml:space="preserve"> </w:t>
      </w:r>
      <w:hyperlink w:anchor="ref-MSPS2025">
        <w:r>
          <w:rPr>
            <w:rStyle w:val="Hyperlink"/>
          </w:rPr>
          <w:t xml:space="preserve">2025</w:t>
        </w:r>
      </w:hyperlink>
      <w:r>
        <w:t xml:space="preserve">)</w:t>
      </w:r>
      <w:r>
        <w:t xml:space="preserve">.</w:t>
      </w:r>
    </w:p>
    <w:p>
      <w:pPr>
        <w:pStyle w:val="BodyText"/>
      </w:pPr>
      <w:r>
        <w:t xml:space="preserve">En 2024, el informe se presentó bajo el título</w:t>
      </w:r>
      <w:r>
        <w:t xml:space="preserve"> </w:t>
      </w:r>
      <w:r>
        <w:rPr>
          <w:b/>
          <w:bCs/>
        </w:rPr>
        <w:t xml:space="preserve">“Informe de Resultados: Encuesta</w:t>
      </w:r>
      <w:r>
        <w:rPr>
          <w:b/>
          <w:bCs/>
        </w:rPr>
        <w:t xml:space="preserve"> </w:t>
      </w:r>
      <w:r>
        <w:rPr>
          <w:b/>
          <w:bCs/>
        </w:rPr>
        <w:t xml:space="preserve">para Evaluar la Satisfacción de los Usuarios del Sistema de Salud Colombiano</w:t>
      </w:r>
      <w:r>
        <w:rPr>
          <w:b/>
          <w:bCs/>
        </w:rPr>
        <w:t xml:space="preserve"> </w:t>
      </w:r>
      <w:r>
        <w:rPr>
          <w:b/>
          <w:bCs/>
        </w:rPr>
        <w:t xml:space="preserve">2024”</w:t>
      </w:r>
      <w:r>
        <w:t xml:space="preserve"> </w:t>
      </w:r>
      <w:r>
        <w:t xml:space="preserve">(</w:t>
      </w:r>
      <w:hyperlink w:anchor="ref-MSPS2024">
        <w:r>
          <w:rPr>
            <w:rStyle w:val="Hyperlink"/>
          </w:rPr>
          <w:t xml:space="preserve">Ministerio de Salud y Protección Social 2024</w:t>
        </w:r>
      </w:hyperlink>
      <w:r>
        <w:t xml:space="preserve">)</w:t>
      </w:r>
      <w:r>
        <w:t xml:space="preserve">. A diferencia de la edición 2023, el título no incorpora una</w:t>
      </w:r>
      <w:r>
        <w:t xml:space="preserve"> </w:t>
      </w:r>
      <w:r>
        <w:t xml:space="preserve">mención específica a la Atención Primaria en Salud, por lo que este énfasis debe</w:t>
      </w:r>
      <w:r>
        <w:t xml:space="preserve"> </w:t>
      </w:r>
      <w:r>
        <w:t xml:space="preserve">entenderse como una característica particular de la medición de 2023.</w:t>
      </w:r>
    </w:p>
    <w:p>
      <w:pPr>
        <w:pStyle w:val="BodyText"/>
      </w:pPr>
      <w:r>
        <w:t xml:space="preserve">Para 2025, el informe documenta un levantamiento realizado entre el 15 de</w:t>
      </w:r>
      <w:r>
        <w:t xml:space="preserve"> </w:t>
      </w:r>
      <w:r>
        <w:t xml:space="preserve">septiembre y el 21 de diciembre, con</w:t>
      </w:r>
      <w:r>
        <w:t xml:space="preserve"> </w:t>
      </w:r>
      <w:r>
        <w:rPr>
          <w:b/>
          <w:bCs/>
        </w:rPr>
        <w:t xml:space="preserve">18.639 usuarios encuestados</w:t>
      </w:r>
      <w:r>
        <w:t xml:space="preserve"> </w:t>
      </w:r>
      <w:r>
        <w:t xml:space="preserve">en seis</w:t>
      </w:r>
      <w:r>
        <w:t xml:space="preserve"> </w:t>
      </w:r>
      <w:r>
        <w:t xml:space="preserve">regiones del sistema de salud</w:t>
      </w:r>
      <w:r>
        <w:t xml:space="preserve"> </w:t>
      </w:r>
      <w:r>
        <w:t xml:space="preserve">(</w:t>
      </w:r>
      <w:hyperlink w:anchor="ref-MSPS2025">
        <w:r>
          <w:rPr>
            <w:rStyle w:val="Hyperlink"/>
          </w:rPr>
          <w:t xml:space="preserve">Ministerio de Salud y Protección Social 2025</w:t>
        </w:r>
      </w:hyperlink>
      <w:r>
        <w:t xml:space="preserve">)</w:t>
      </w:r>
      <w:r>
        <w:t xml:space="preserve">. Los resultados muestran que el 53 %</w:t>
      </w:r>
      <w:r>
        <w:t xml:space="preserve"> </w:t>
      </w:r>
      <w:r>
        <w:t xml:space="preserve">de las respuestas calificó la satisfacción como “buena” y el 10 % como “muy</w:t>
      </w:r>
      <w:r>
        <w:t xml:space="preserve"> </w:t>
      </w:r>
      <w:r>
        <w:t xml:space="preserve">buena”; el 28 % respondió “ni buena ni mala” y el 8 % correspondió a las</w:t>
      </w:r>
      <w:r>
        <w:t xml:space="preserve"> </w:t>
      </w:r>
      <w:r>
        <w:t xml:space="preserve">categorías negativas. En 18 de las 26 EPS evaluadas se registró una disminución</w:t>
      </w:r>
      <w:r>
        <w:t xml:space="preserve"> </w:t>
      </w:r>
      <w:r>
        <w:t xml:space="preserve">de la satisfacción frente al año anterior</w:t>
      </w:r>
      <w:r>
        <w:t xml:space="preserve"> </w:t>
      </w:r>
      <w:r>
        <w:t xml:space="preserve">(</w:t>
      </w:r>
      <w:hyperlink w:anchor="ref-MSPS2025">
        <w:r>
          <w:rPr>
            <w:rStyle w:val="Hyperlink"/>
          </w:rPr>
          <w:t xml:space="preserve">Ministerio de Salud y Protección Social 2025</w:t>
        </w:r>
      </w:hyperlink>
      <w:r>
        <w:t xml:space="preserve">)</w:t>
      </w:r>
      <w:r>
        <w:t xml:space="preserve">.</w:t>
      </w:r>
    </w:p>
    <w:p>
      <w:pPr>
        <w:pStyle w:val="BodyText"/>
      </w:pPr>
      <w:r>
        <w:t xml:space="preserve">Estas mediciones constituyen los antecedentes más recientes de ENUS 2026 y</w:t>
      </w:r>
      <w:r>
        <w:t xml:space="preserve"> </w:t>
      </w:r>
      <w:r>
        <w:t xml:space="preserve">muestran la continuidad de la medición de satisfacción de los usuarios hasta el</w:t>
      </w:r>
      <w:r>
        <w:t xml:space="preserve"> </w:t>
      </w:r>
      <w:r>
        <w:t xml:space="preserve">periodo inmediatamente anterior a la nueva encuesta.</w:t>
      </w:r>
    </w:p>
    <w:bookmarkEnd w:id="33"/>
    <w:bookmarkEnd w:id="34"/>
    <w:bookmarkStart w:id="39" w:name="sec-sintesis-antecedentes"/>
    <w:p>
      <w:pPr>
        <w:pStyle w:val="Heading2"/>
      </w:pPr>
      <w:r>
        <w:rPr>
          <w:rStyle w:val="SectionNumber"/>
        </w:rPr>
        <w:t xml:space="preserve">1.6</w:t>
      </w:r>
      <w:r>
        <w:tab/>
      </w:r>
      <w:r>
        <w:t xml:space="preserve">Aprendizajes de las mediciones históricas</w:t>
      </w:r>
    </w:p>
    <w:p>
      <w:pPr>
        <w:pStyle w:val="FirstParagraph"/>
      </w:pPr>
      <w:r>
        <w:t xml:space="preserve">Las mediciones realizadas entre 2005 y 2025 constituyen un antecedente importante</w:t>
      </w:r>
      <w:r>
        <w:t xml:space="preserve"> </w:t>
      </w:r>
      <w:r>
        <w:t xml:space="preserve">para la ENUS 2026 y muestran una trayectoria institucional sostenida del Ministerio</w:t>
      </w:r>
      <w:r>
        <w:t xml:space="preserve"> </w:t>
      </w:r>
      <w:r>
        <w:t xml:space="preserve">de Salud y Protección Social en el seguimiento de la percepción y satisfacción de</w:t>
      </w:r>
      <w:r>
        <w:t xml:space="preserve"> </w:t>
      </w:r>
      <w:r>
        <w:t xml:space="preserve">los usuarios frente a los servicios de salud. Durante este periodo se desarrollaron</w:t>
      </w:r>
      <w:r>
        <w:t xml:space="preserve"> </w:t>
      </w:r>
      <w:r>
        <w:t xml:space="preserve">diferentes ejercicios de medición que permitieron conocer la valoración de los</w:t>
      </w:r>
      <w:r>
        <w:t xml:space="preserve"> </w:t>
      </w:r>
      <w:r>
        <w:t xml:space="preserve">usuarios e incorporar progresivamente nuevos temas relacionados con su interacción</w:t>
      </w:r>
      <w:r>
        <w:t xml:space="preserve"> </w:t>
      </w:r>
      <w:r>
        <w:t xml:space="preserve">con el sistema de salud.</w:t>
      </w:r>
    </w:p>
    <w:p>
      <w:pPr>
        <w:pStyle w:val="BodyText"/>
      </w:pPr>
      <w:r>
        <w:t xml:space="preserve">Sin embargo, estas mediciones no fueron realizadas bajo condiciones constantes. A</w:t>
      </w:r>
      <w:r>
        <w:t xml:space="preserve"> </w:t>
      </w:r>
      <w:r>
        <w:t xml:space="preserve">lo largo del periodo cambiaron la población incluida, el periodo de referencia, la</w:t>
      </w:r>
      <w:r>
        <w:t xml:space="preserve"> </w:t>
      </w:r>
      <w:r>
        <w:t xml:space="preserve">forma de seleccionar a los participantes, los instrumentos, los temas evaluados y</w:t>
      </w:r>
      <w:r>
        <w:t xml:space="preserve"> </w:t>
      </w:r>
      <w:r>
        <w:t xml:space="preserve">las modalidades de recolección. En consecuencia, los resultados publicados para</w:t>
      </w:r>
      <w:r>
        <w:t xml:space="preserve"> </w:t>
      </w:r>
      <w:r>
        <w:t xml:space="preserve">los diferentes años no constituyen una única serie estadística homogénea.</w:t>
      </w:r>
    </w:p>
    <w:p>
      <w:pPr>
        <w:pStyle w:val="BodyText"/>
      </w:pPr>
      <w:r>
        <w:t xml:space="preserve">Esta diferencia es fundamental para interpretar los resultados históricos. Una</w:t>
      </w:r>
      <w:r>
        <w:t xml:space="preserve"> </w:t>
      </w:r>
      <w:r>
        <w:t xml:space="preserve">variación observada entre dos años puede reflejar un cambio real en la percepción</w:t>
      </w:r>
      <w:r>
        <w:t xml:space="preserve"> </w:t>
      </w:r>
      <w:r>
        <w:t xml:space="preserve">de los usuarios, pero también puede estar relacionada con modificaciones en las</w:t>
      </w:r>
      <w:r>
        <w:t xml:space="preserve"> </w:t>
      </w:r>
      <w:r>
        <w:t xml:space="preserve">personas incluidas en la encuesta, la forma en que fueron seleccionadas, las</w:t>
      </w:r>
      <w:r>
        <w:t xml:space="preserve"> </w:t>
      </w:r>
      <w:r>
        <w:t xml:space="preserve">preguntas utilizadas o las condiciones en las que se realizó la recolección.</w:t>
      </w:r>
    </w:p>
    <w:bookmarkStart w:id="35" w:name="cambios-en-la-población-incluida"/>
    <w:p>
      <w:pPr>
        <w:pStyle w:val="Heading3"/>
      </w:pPr>
      <w:r>
        <w:rPr>
          <w:rStyle w:val="SectionNumber"/>
        </w:rPr>
        <w:t xml:space="preserve">1.6.1</w:t>
      </w:r>
      <w:r>
        <w:tab/>
      </w:r>
      <w:r>
        <w:t xml:space="preserve">Cambios en la población incluida</w:t>
      </w:r>
    </w:p>
    <w:p>
      <w:pPr>
        <w:pStyle w:val="FirstParagraph"/>
      </w:pPr>
      <w:r>
        <w:t xml:space="preserve">La población considerada en las mediciones no permaneció constante. Hasta 2014,</w:t>
      </w:r>
      <w:r>
        <w:t xml:space="preserve"> </w:t>
      </w:r>
      <w:r>
        <w:t xml:space="preserve">las mediciones documentadas se concentraban en personas mayores de 18 años,</w:t>
      </w:r>
      <w:r>
        <w:t xml:space="preserve"> </w:t>
      </w:r>
      <w:r>
        <w:t xml:space="preserve">mientras que desde 2015 se incorporaron también los menores de edad. También</w:t>
      </w:r>
      <w:r>
        <w:t xml:space="preserve"> </w:t>
      </w:r>
      <w:r>
        <w:t xml:space="preserve">cambiaron las condiciones de inclusión y exclusión de los usuarios y, en algunas</w:t>
      </w:r>
      <w:r>
        <w:t xml:space="preserve"> </w:t>
      </w:r>
      <w:r>
        <w:t xml:space="preserve">ediciones, el periodo utilizado para determinar si una persona había utilizado los</w:t>
      </w:r>
      <w:r>
        <w:t xml:space="preserve"> </w:t>
      </w:r>
      <w:r>
        <w:t xml:space="preserve">servicios de salud.</w:t>
      </w:r>
    </w:p>
    <w:p>
      <w:pPr>
        <w:pStyle w:val="BodyText"/>
      </w:pPr>
      <w:r>
        <w:t xml:space="preserve">El cambio ocurrido entre 2014 y 2015 es especialmente ilustrativo. La inclusión</w:t>
      </w:r>
      <w:r>
        <w:t xml:space="preserve"> </w:t>
      </w:r>
      <w:r>
        <w:t xml:space="preserve">de menores de edad amplió el grupo de personas al que se referían los resultados.</w:t>
      </w:r>
      <w:r>
        <w:t xml:space="preserve"> </w:t>
      </w:r>
      <w:r>
        <w:t xml:space="preserve">El universo de estudio pasó de 11.425.380 usuarios en 2014 a 16.555.627 en 2015.</w:t>
      </w:r>
      <w:r>
        <w:t xml:space="preserve"> </w:t>
      </w:r>
      <w:r>
        <w:t xml:space="preserve">Por esta razón, una diferencia en los resultados entre estos dos años no puede</w:t>
      </w:r>
      <w:r>
        <w:t xml:space="preserve"> </w:t>
      </w:r>
      <w:r>
        <w:t xml:space="preserve">interpretarse directamente como un cambio en la satisfacción de los usuarios, ya</w:t>
      </w:r>
      <w:r>
        <w:t xml:space="preserve"> </w:t>
      </w:r>
      <w:r>
        <w:t xml:space="preserve">que también cambió la población a la que se referían esos resultados.</w:t>
      </w:r>
    </w:p>
    <w:p>
      <w:pPr>
        <w:pStyle w:val="BodyText"/>
      </w:pPr>
      <w:r>
        <w:t xml:space="preserve">Algo similar ocurrió con las exclusiones. A lo largo de la serie se incorporaron</w:t>
      </w:r>
      <w:r>
        <w:t xml:space="preserve"> </w:t>
      </w:r>
      <w:r>
        <w:t xml:space="preserve">diferentes grupos que no fueron considerados en las mediciones, entre ellos</w:t>
      </w:r>
      <w:r>
        <w:t xml:space="preserve"> </w:t>
      </w:r>
      <w:r>
        <w:t xml:space="preserve">afiliados a regímenes especiales, personas con medicina prepagada, planes</w:t>
      </w:r>
      <w:r>
        <w:t xml:space="preserve"> </w:t>
      </w:r>
      <w:r>
        <w:t xml:space="preserve">complementarios o seguros privados. Como resultado, el grupo de personas</w:t>
      </w:r>
      <w:r>
        <w:t xml:space="preserve"> </w:t>
      </w:r>
      <w:r>
        <w:t xml:space="preserve">representado por los resultados fue cambiando con el tiempo.</w:t>
      </w:r>
    </w:p>
    <w:bookmarkEnd w:id="35"/>
    <w:bookmarkStart w:id="36" w:name="Xc58edf7103a7988f0a4e4284be81d9f1193a9c0"/>
    <w:p>
      <w:pPr>
        <w:pStyle w:val="Heading3"/>
      </w:pPr>
      <w:r>
        <w:rPr>
          <w:rStyle w:val="SectionNumber"/>
        </w:rPr>
        <w:t xml:space="preserve">1.6.2</w:t>
      </w:r>
      <w:r>
        <w:tab/>
      </w:r>
      <w:r>
        <w:t xml:space="preserve">Cambios en la forma de seleccionar a los usuarios</w:t>
      </w:r>
    </w:p>
    <w:p>
      <w:pPr>
        <w:pStyle w:val="FirstParagraph"/>
      </w:pPr>
      <w:r>
        <w:t xml:space="preserve">También cambió la forma en que se seleccionaron las personas que participaron en</w:t>
      </w:r>
      <w:r>
        <w:t xml:space="preserve"> </w:t>
      </w:r>
      <w:r>
        <w:t xml:space="preserve">las encuestas. En 2017, por ejemplo, la muestra se construyó mediante la selección</w:t>
      </w:r>
      <w:r>
        <w:t xml:space="preserve"> </w:t>
      </w:r>
      <w:r>
        <w:t xml:space="preserve">de municipios, manzanas y personas, mientras que en 2020, como consecuencia de la</w:t>
      </w:r>
      <w:r>
        <w:t xml:space="preserve"> </w:t>
      </w:r>
      <w:r>
        <w:t xml:space="preserve">pandemia de COVID-19, se pasó de un diseño basado en áreas a uno basado en listas</w:t>
      </w:r>
      <w:r>
        <w:t xml:space="preserve"> </w:t>
      </w:r>
      <w:r>
        <w:t xml:space="preserve">de afiliados y se sustituyó la entrevista presencial por entrevistas telefónicas.</w:t>
      </w:r>
    </w:p>
    <w:p>
      <w:pPr>
        <w:pStyle w:val="BodyText"/>
      </w:pPr>
      <w:r>
        <w:t xml:space="preserve">En 2022 se retomó la recolección presencial, mediante selección de barrios y</w:t>
      </w:r>
      <w:r>
        <w:t xml:space="preserve"> </w:t>
      </w:r>
      <w:r>
        <w:t xml:space="preserve">manzanas y un barrido de hogares. En 2023 nuevamente se implementó un diseño</w:t>
      </w:r>
      <w:r>
        <w:t xml:space="preserve"> </w:t>
      </w:r>
      <w:r>
        <w:t xml:space="preserve">probabilístico trietápico.</w:t>
      </w:r>
    </w:p>
    <w:p>
      <w:pPr>
        <w:pStyle w:val="BodyText"/>
      </w:pPr>
      <w:r>
        <w:t xml:space="preserve">Estos cambios pueden modificar la composición de las personas que finalmente</w:t>
      </w:r>
      <w:r>
        <w:t xml:space="preserve"> </w:t>
      </w:r>
      <w:r>
        <w:t xml:space="preserve">participan en la encuesta y la forma en que los resultados representan a la</w:t>
      </w:r>
      <w:r>
        <w:t xml:space="preserve"> </w:t>
      </w:r>
      <w:r>
        <w:t xml:space="preserve">población. Por ello, aun cuando dos mediciones utilicen preguntas similares, sus</w:t>
      </w:r>
      <w:r>
        <w:t xml:space="preserve"> </w:t>
      </w:r>
      <w:r>
        <w:t xml:space="preserve">resultados no necesariamente son directamente comparables.</w:t>
      </w:r>
    </w:p>
    <w:bookmarkEnd w:id="36"/>
    <w:bookmarkStart w:id="37" w:name="cambios-en-los-temas-y-preguntas"/>
    <w:p>
      <w:pPr>
        <w:pStyle w:val="Heading3"/>
      </w:pPr>
      <w:r>
        <w:rPr>
          <w:rStyle w:val="SectionNumber"/>
        </w:rPr>
        <w:t xml:space="preserve">1.6.3</w:t>
      </w:r>
      <w:r>
        <w:tab/>
      </w:r>
      <w:r>
        <w:t xml:space="preserve">Cambios en los temas y preguntas</w:t>
      </w:r>
    </w:p>
    <w:p>
      <w:pPr>
        <w:pStyle w:val="FirstParagraph"/>
      </w:pPr>
      <w:r>
        <w:t xml:space="preserve">La comparabilidad también se ve afectada por los cambios en el contenido de las</w:t>
      </w:r>
      <w:r>
        <w:t xml:space="preserve"> </w:t>
      </w:r>
      <w:r>
        <w:t xml:space="preserve">mediciones.</w:t>
      </w:r>
    </w:p>
    <w:p>
      <w:pPr>
        <w:pStyle w:val="BodyText"/>
      </w:pPr>
      <w:r>
        <w:t xml:space="preserve">Las primeras experiencias estuvieron orientadas a la percepción de calidad y,</w:t>
      </w:r>
      <w:r>
        <w:t xml:space="preserve"> </w:t>
      </w:r>
      <w:r>
        <w:t xml:space="preserve">posteriormente, las mediciones del MSPS se concentraron principalmente en la</w:t>
      </w:r>
      <w:r>
        <w:t xml:space="preserve"> </w:t>
      </w:r>
      <w:r>
        <w:t xml:space="preserve">satisfacción de los usuarios. Dentro de este ciclo también cambiaron los temas</w:t>
      </w:r>
      <w:r>
        <w:t xml:space="preserve"> </w:t>
      </w:r>
      <w:r>
        <w:t xml:space="preserve">incluidos y la forma de organizar los resultados. El ranking de 2018, por ejemplo,</w:t>
      </w:r>
      <w:r>
        <w:t xml:space="preserve"> </w:t>
      </w:r>
      <w:r>
        <w:t xml:space="preserve">reorganizó los indicadores de la medición de 2017 y sustituyó la dimensión de</w:t>
      </w:r>
      <w:r>
        <w:t xml:space="preserve"> </w:t>
      </w:r>
      <w:r>
        <w:t xml:space="preserve">acceso por trámites. En 2023 se incorporó un énfasis explícito en atención primaria</w:t>
      </w:r>
      <w:r>
        <w:t xml:space="preserve"> </w:t>
      </w:r>
      <w:r>
        <w:t xml:space="preserve">en salud.</w:t>
      </w:r>
    </w:p>
    <w:p>
      <w:pPr>
        <w:pStyle w:val="BodyText"/>
      </w:pPr>
      <w:r>
        <w:t xml:space="preserve">Esto significa que los resultados de diferentes años no siempre representan</w:t>
      </w:r>
      <w:r>
        <w:t xml:space="preserve"> </w:t>
      </w:r>
      <w:r>
        <w:t xml:space="preserve">exactamente el mismo aspecto de la relación entre los usuarios y el sistema de</w:t>
      </w:r>
      <w:r>
        <w:t xml:space="preserve"> </w:t>
      </w:r>
      <w:r>
        <w:t xml:space="preserve">salud. Por tanto, observar que un porcentaje aumentó o disminuyó entre dos años no</w:t>
      </w:r>
      <w:r>
        <w:t xml:space="preserve"> </w:t>
      </w:r>
      <w:r>
        <w:t xml:space="preserve">es suficiente para concluir que existe una tendencia histórica de mejora o</w:t>
      </w:r>
      <w:r>
        <w:t xml:space="preserve"> </w:t>
      </w:r>
      <w:r>
        <w:t xml:space="preserve">deterioro.</w:t>
      </w:r>
    </w:p>
    <w:bookmarkEnd w:id="37"/>
    <w:bookmarkStart w:id="38" w:name="X6ceaa33e0ad32972d0c657629705ff6a2bb467c"/>
    <w:p>
      <w:pPr>
        <w:pStyle w:val="Heading3"/>
      </w:pPr>
      <w:r>
        <w:rPr>
          <w:rStyle w:val="SectionNumber"/>
        </w:rPr>
        <w:t xml:space="preserve">1.6.4</w:t>
      </w:r>
      <w:r>
        <w:tab/>
      </w:r>
      <w:r>
        <w:t xml:space="preserve">El cambio de modalidad de recolección en 2020</w:t>
      </w:r>
    </w:p>
    <w:p>
      <w:pPr>
        <w:pStyle w:val="FirstParagraph"/>
      </w:pPr>
      <w:r>
        <w:t xml:space="preserve">La medición de 2020 constituye un punto particularmente importante de esta</w:t>
      </w:r>
      <w:r>
        <w:t xml:space="preserve"> </w:t>
      </w:r>
      <w:r>
        <w:t xml:space="preserve">trayectoria. La pandemia obligó a sustituir la entrevista presencial por la</w:t>
      </w:r>
      <w:r>
        <w:t xml:space="preserve"> </w:t>
      </w:r>
      <w:r>
        <w:t xml:space="preserve">entrevista telefónica y llevó a modificar el diseño muestral. La cobertura</w:t>
      </w:r>
      <w:r>
        <w:t xml:space="preserve"> </w:t>
      </w:r>
      <w:r>
        <w:t xml:space="preserve">inicialmente prevista de 157 municipios tuvo que ampliarse a 541 municipios debido</w:t>
      </w:r>
      <w:r>
        <w:t xml:space="preserve"> </w:t>
      </w:r>
      <w:r>
        <w:t xml:space="preserve">a las dificultades para alcanzar el número de entrevistas requerido.</w:t>
      </w:r>
    </w:p>
    <w:p>
      <w:pPr>
        <w:pStyle w:val="BodyText"/>
      </w:pPr>
      <w:r>
        <w:t xml:space="preserve">Este cambio no fue únicamente operativo. La modificación de la forma de contactar</w:t>
      </w:r>
      <w:r>
        <w:t xml:space="preserve"> </w:t>
      </w:r>
      <w:r>
        <w:t xml:space="preserve">a los usuarios y del marco utilizado para seleccionarlos cambió las condiciones</w:t>
      </w:r>
      <w:r>
        <w:t xml:space="preserve"> </w:t>
      </w:r>
      <w:r>
        <w:t xml:space="preserve">bajo las cuales se obtuvieron los resultados. Por esta razón, los resultados de</w:t>
      </w:r>
      <w:r>
        <w:t xml:space="preserve"> </w:t>
      </w:r>
      <w:r>
        <w:t xml:space="preserve">2020 deben interpretarse dentro de las condiciones particulares de esa medición y</w:t>
      </w:r>
      <w:r>
        <w:t xml:space="preserve"> </w:t>
      </w:r>
      <w:r>
        <w:t xml:space="preserve">no como una observación completamente equivalente a las mediciones presenciales</w:t>
      </w:r>
      <w:r>
        <w:t xml:space="preserve"> </w:t>
      </w:r>
      <w:r>
        <w:t xml:space="preserve">anteriores o posteriores.</w:t>
      </w:r>
    </w:p>
    <w:bookmarkEnd w:id="38"/>
    <w:bookmarkEnd w:id="39"/>
    <w:bookmarkStart w:id="40" w:name="X15545aacdbb8a8d42f0b119a588b6379e96c0e5"/>
    <w:p>
      <w:pPr>
        <w:pStyle w:val="Heading2"/>
      </w:pPr>
      <w:r>
        <w:rPr>
          <w:rStyle w:val="SectionNumber"/>
        </w:rPr>
        <w:t xml:space="preserve">1.7</w:t>
      </w:r>
      <w:r>
        <w:tab/>
      </w:r>
      <w:r>
        <w:t xml:space="preserve">ENUS 2026 como nueva línea base de medición</w:t>
      </w:r>
    </w:p>
    <w:p>
      <w:pPr>
        <w:pStyle w:val="FirstParagraph"/>
      </w:pPr>
      <w:r>
        <w:t xml:space="preserve">En conjunto, las mediciones históricas muestran una trayectoria institucional</w:t>
      </w:r>
      <w:r>
        <w:t xml:space="preserve"> </w:t>
      </w:r>
      <w:r>
        <w:t xml:space="preserve">importante y permiten identificar los temas que han sido relevantes para los</w:t>
      </w:r>
      <w:r>
        <w:t xml:space="preserve"> </w:t>
      </w:r>
      <w:r>
        <w:t xml:space="preserve">usuarios, así como los principales aprendizajes relacionados con la población</w:t>
      </w:r>
      <w:r>
        <w:t xml:space="preserve"> </w:t>
      </w:r>
      <w:r>
        <w:t xml:space="preserve">estudiada, el diseño de las encuestas, la recolección y la construcción de los</w:t>
      </w:r>
      <w:r>
        <w:t xml:space="preserve"> </w:t>
      </w:r>
      <w:r>
        <w:t xml:space="preserve">indicadores. Al mismo tiempo, las diferencias acumuladas entre las distintas</w:t>
      </w:r>
      <w:r>
        <w:t xml:space="preserve"> </w:t>
      </w:r>
      <w:r>
        <w:t xml:space="preserve">ediciones hacen que</w:t>
      </w:r>
      <w:r>
        <w:t xml:space="preserve"> </w:t>
      </w:r>
      <w:r>
        <w:rPr>
          <w:b/>
          <w:bCs/>
        </w:rPr>
        <w:t xml:space="preserve">la serie 2005-2025 no sea adecuada para establecer una</w:t>
      </w:r>
      <w:r>
        <w:rPr>
          <w:b/>
          <w:bCs/>
        </w:rPr>
        <w:t xml:space="preserve"> </w:t>
      </w:r>
      <w:r>
        <w:rPr>
          <w:b/>
          <w:bCs/>
        </w:rPr>
        <w:t xml:space="preserve">única línea de tendencia de satisfacción o experiencia del usuario</w:t>
      </w:r>
      <w:r>
        <w:t xml:space="preserve">: los</w:t>
      </w:r>
      <w:r>
        <w:t xml:space="preserve"> </w:t>
      </w:r>
      <w:r>
        <w:t xml:space="preserve">resultados de cada operación conservan su valor como evidencia histórica, pero</w:t>
      </w:r>
      <w:r>
        <w:t xml:space="preserve"> </w:t>
      </w:r>
      <w:r>
        <w:t xml:space="preserve">no deben interpretarse como observaciones sucesivas de una misma encuesta</w:t>
      </w:r>
      <w:r>
        <w:t xml:space="preserve"> </w:t>
      </w:r>
      <w:r>
        <w:t xml:space="preserve">realizada bajo condiciones constantes.</w:t>
      </w:r>
    </w:p>
    <w:p>
      <w:pPr>
        <w:pStyle w:val="BodyText"/>
      </w:pPr>
      <w:r>
        <w:t xml:space="preserve">A esta discontinuidad metodológica se suma una discontinuidad normativa. Las</w:t>
      </w:r>
      <w:r>
        <w:t xml:space="preserve"> </w:t>
      </w:r>
      <w:r>
        <w:t xml:space="preserve">mediciones descritas en este capítulo corresponden a ejercicios sucesivos del</w:t>
      </w:r>
      <w:r>
        <w:t xml:space="preserve"> </w:t>
      </w:r>
      <w:r>
        <w:t xml:space="preserve">Ministerio de Salud y Protección Social, cada uno con su propia ficha técnica,</w:t>
      </w:r>
      <w:r>
        <w:t xml:space="preserve"> </w:t>
      </w:r>
      <w:r>
        <w:t xml:space="preserve">sin un marco normativo específico que los articulara como una única serie. ENUS</w:t>
      </w:r>
      <w:r>
        <w:t xml:space="preserve"> </w:t>
      </w:r>
      <w:r>
        <w:t xml:space="preserve">2026, en cambio, cuenta con un fundamento normativo propio: la Resolución 1642 de</w:t>
      </w:r>
      <w:r>
        <w:t xml:space="preserve"> </w:t>
      </w:r>
      <w:r>
        <w:t xml:space="preserve">2026, expedida el 31 de julio de 2026, adopta la</w:t>
      </w:r>
      <w:r>
        <w:t xml:space="preserve"> </w:t>
      </w:r>
      <w:r>
        <w:rPr>
          <w:b/>
          <w:bCs/>
        </w:rPr>
        <w:t xml:space="preserve">Encuesta Nacional de</w:t>
      </w:r>
      <w:r>
        <w:rPr>
          <w:b/>
          <w:bCs/>
        </w:rPr>
        <w:t xml:space="preserve"> </w:t>
      </w:r>
      <w:r>
        <w:rPr>
          <w:b/>
          <w:bCs/>
        </w:rPr>
        <w:t xml:space="preserve">Experiencia del Usuario en Salud (ENUS)</w:t>
      </w:r>
      <w:r>
        <w:t xml:space="preserve"> </w:t>
      </w:r>
      <w:r>
        <w:t xml:space="preserve">como instrumento oficial y establece</w:t>
      </w:r>
      <w:r>
        <w:t xml:space="preserve"> </w:t>
      </w:r>
      <w:r>
        <w:t xml:space="preserve">que su naturaleza es permanente y continua. La resolución define la ENUS como un</w:t>
      </w:r>
      <w:r>
        <w:t xml:space="preserve"> </w:t>
      </w:r>
      <w:r>
        <w:t xml:space="preserve">instrumento digital para recoger información sobre la experiencia del afiliado</w:t>
      </w:r>
      <w:r>
        <w:t xml:space="preserve"> </w:t>
      </w:r>
      <w:r>
        <w:t xml:space="preserve">frente a los servicios recibidos, y dispone que su diseño metodológico debe</w:t>
      </w:r>
      <w:r>
        <w:t xml:space="preserve"> </w:t>
      </w:r>
      <w:r>
        <w:t xml:space="preserve">garantizar la representatividad estadística, el control sobre la generación de la</w:t>
      </w:r>
      <w:r>
        <w:t xml:space="preserve"> </w:t>
      </w:r>
      <w:r>
        <w:t xml:space="preserve">información, la comparabilidad de los resultados en el tiempo y la reducción de</w:t>
      </w:r>
      <w:r>
        <w:t xml:space="preserve"> </w:t>
      </w:r>
      <w:r>
        <w:t xml:space="preserve">los sesgos asociados a la autoselección de los participantes</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La resolución establece además que la ENUS debe generar información sobre el</w:t>
      </w:r>
      <w:r>
        <w:t xml:space="preserve"> </w:t>
      </w:r>
      <w:r>
        <w:t xml:space="preserve">desempeño de las EPS, las IPS y los gestores farmacéuticos, mediante indicadores</w:t>
      </w:r>
      <w:r>
        <w:t xml:space="preserve"> </w:t>
      </w:r>
      <w:r>
        <w:t xml:space="preserve">organizados de acuerdo con los atributos de calidad definidos en la normativa</w:t>
      </w:r>
      <w:r>
        <w:t xml:space="preserve"> </w:t>
      </w:r>
      <w:r>
        <w:t xml:space="preserve">vigente. El Ministerio deberá establecer mediante lineamientos técnicos los</w:t>
      </w:r>
      <w:r>
        <w:t xml:space="preserve"> </w:t>
      </w:r>
      <w:r>
        <w:t xml:space="preserve">indicadores, sus fuentes, periodicidad y metodología de cálculo, así como los</w:t>
      </w:r>
      <w:r>
        <w:t xml:space="preserve"> </w:t>
      </w:r>
      <w:r>
        <w:t xml:space="preserve">estándares técnicos necesarios para la operación del aplicativo y el intercambio</w:t>
      </w:r>
      <w:r>
        <w:t xml:space="preserve"> </w:t>
      </w:r>
      <w:r>
        <w:t xml:space="preserve">de información</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Por estas dos razones —metodológica y normativa—, la ENUS 2026 no debe</w:t>
      </w:r>
      <w:r>
        <w:t xml:space="preserve"> </w:t>
      </w:r>
      <w:r>
        <w:t xml:space="preserve">entenderse como una nueva edición de las encuestas históricas de satisfacción,</w:t>
      </w:r>
      <w:r>
        <w:t xml:space="preserve"> </w:t>
      </w:r>
      <w:r>
        <w:t xml:space="preserve">sino como el</w:t>
      </w:r>
      <w:r>
        <w:t xml:space="preserve"> </w:t>
      </w:r>
      <w:r>
        <w:rPr>
          <w:b/>
          <w:bCs/>
        </w:rPr>
        <w:t xml:space="preserve">punto de partida de una nueva serie de medición de la</w:t>
      </w:r>
      <w:r>
        <w:rPr>
          <w:b/>
          <w:bCs/>
        </w:rPr>
        <w:t xml:space="preserve"> </w:t>
      </w:r>
      <w:r>
        <w:rPr>
          <w:b/>
          <w:bCs/>
        </w:rPr>
        <w:t xml:space="preserve">satisfacción y la experiencia del usuario en salud</w:t>
      </w:r>
      <w:r>
        <w:t xml:space="preserve">. La primera medición</w:t>
      </w:r>
      <w:r>
        <w:t xml:space="preserve"> </w:t>
      </w:r>
      <w:r>
        <w:t xml:space="preserve">establecerá la línea base sobre la cual se realizarán las mediciones</w:t>
      </w:r>
      <w:r>
        <w:t xml:space="preserve"> </w:t>
      </w:r>
      <w:r>
        <w:t xml:space="preserve">posteriores.</w:t>
      </w:r>
    </w:p>
    <w:p>
      <w:pPr>
        <w:pStyle w:val="BodyText"/>
      </w:pPr>
      <w:r>
        <w:t xml:space="preserve">Para que esta nueva serie sea comparable, la ENUS 2026 debe mantener estables,</w:t>
      </w:r>
      <w:r>
        <w:t xml:space="preserve"> </w:t>
      </w:r>
      <w:r>
        <w:t xml:space="preserve">desde su primera aplicación, una definición clara de la población objetivo, un</w:t>
      </w:r>
      <w:r>
        <w:t xml:space="preserve"> </w:t>
      </w:r>
      <w:r>
        <w:t xml:space="preserve">diseño muestral documentado, procedimientos reproducibles de selección y</w:t>
      </w:r>
      <w:r>
        <w:t xml:space="preserve"> </w:t>
      </w:r>
      <w:r>
        <w:t xml:space="preserve">ponderación, un instrumento estructurado a partir de una definición estable de</w:t>
      </w:r>
      <w:r>
        <w:t xml:space="preserve"> </w:t>
      </w:r>
      <w:r>
        <w:t xml:space="preserve">experiencia del usuario, y reglas claras para el procesamiento, estimación y</w:t>
      </w:r>
      <w:r>
        <w:t xml:space="preserve"> </w:t>
      </w:r>
      <w:r>
        <w:t xml:space="preserve">cálculo de indicadores. Cuando sea necesario introducir cambios en alguno de</w:t>
      </w:r>
      <w:r>
        <w:t xml:space="preserve"> </w:t>
      </w:r>
      <w:r>
        <w:t xml:space="preserve">estos elementos, deberán documentarse y evaluarse antes de incorporarlos a la</w:t>
      </w:r>
      <w:r>
        <w:t xml:space="preserve"> </w:t>
      </w:r>
      <w:r>
        <w:t xml:space="preserve">serie, de manera que sea posible identificar y tratar adecuadamente cualquier</w:t>
      </w:r>
      <w:r>
        <w:t xml:space="preserve"> </w:t>
      </w:r>
      <w:r>
        <w:t xml:space="preserve">ruptura de comparabilidad.</w:t>
      </w:r>
    </w:p>
    <w:p>
      <w:pPr>
        <w:pStyle w:val="BodyText"/>
      </w:pPr>
      <w:r>
        <w:t xml:space="preserve">De esta manera, las mediciones realizadas antes de 2026 cumplen una función</w:t>
      </w:r>
      <w:r>
        <w:t xml:space="preserve"> </w:t>
      </w:r>
      <w:r>
        <w:t xml:space="preserve">fundamental como</w:t>
      </w:r>
      <w:r>
        <w:t xml:space="preserve"> </w:t>
      </w:r>
      <w:r>
        <w:rPr>
          <w:b/>
          <w:bCs/>
        </w:rPr>
        <w:t xml:space="preserve">antecedentes históricos</w:t>
      </w:r>
      <w:r>
        <w:t xml:space="preserve"> </w:t>
      </w:r>
      <w:r>
        <w:t xml:space="preserve">—metodológicos y de contenido—, y la</w:t>
      </w:r>
      <w:r>
        <w:t xml:space="preserve"> </w:t>
      </w:r>
      <w:r>
        <w:t xml:space="preserve">Resolución 1642 de 2026 aporta el fundamento institucional que ninguna de ellas</w:t>
      </w:r>
      <w:r>
        <w:t xml:space="preserve"> </w:t>
      </w:r>
      <w:r>
        <w:t xml:space="preserve">tuvo. A partir de esta línea base, los cambios observados en las mediciones</w:t>
      </w:r>
      <w:r>
        <w:t xml:space="preserve"> </w:t>
      </w:r>
      <w:r>
        <w:t xml:space="preserve">posteriores de ENUS podrán interpretarse con mayor confianza como cambios en la</w:t>
      </w:r>
      <w:r>
        <w:t xml:space="preserve"> </w:t>
      </w:r>
      <w:r>
        <w:t xml:space="preserve">experiencia de los usuarios y no como consecuencia de modificaciones en la propia</w:t>
      </w:r>
      <w:r>
        <w:t xml:space="preserve"> </w:t>
      </w:r>
      <w:r>
        <w:t xml:space="preserve">operación estadística.</w:t>
      </w:r>
    </w:p>
    <w:bookmarkEnd w:id="40"/>
    <w:bookmarkStart w:id="45" w:name="sec-referentes-internacionales"/>
    <w:p>
      <w:pPr>
        <w:pStyle w:val="Heading2"/>
      </w:pPr>
      <w:r>
        <w:rPr>
          <w:rStyle w:val="SectionNumber"/>
        </w:rPr>
        <w:t xml:space="preserve">1.8</w:t>
      </w:r>
      <w:r>
        <w:tab/>
      </w:r>
      <w:r>
        <w:t xml:space="preserve">Referentes internacionales para la medición de la experiencia del usuario en salud</w:t>
      </w:r>
    </w:p>
    <w:p>
      <w:pPr>
        <w:pStyle w:val="FirstParagraph"/>
      </w:pPr>
      <w:r>
        <w:t xml:space="preserve">La medición de la experiencia de las personas usuarias se ha desarrollado en</w:t>
      </w:r>
      <w:r>
        <w:t xml:space="preserve"> </w:t>
      </w:r>
      <w:r>
        <w:t xml:space="preserve">diferentes sistemas de salud como una forma de complementar la información</w:t>
      </w:r>
      <w:r>
        <w:t xml:space="preserve"> </w:t>
      </w:r>
      <w:r>
        <w:t xml:space="preserve">proveniente de registros administrativos, indicadores clínicos y evaluaciones</w:t>
      </w:r>
      <w:r>
        <w:t xml:space="preserve"> </w:t>
      </w:r>
      <w:r>
        <w:t xml:space="preserve">institucionales. Estos instrumentos parten de una idea común: algunos aspectos de</w:t>
      </w:r>
      <w:r>
        <w:t xml:space="preserve"> </w:t>
      </w:r>
      <w:r>
        <w:t xml:space="preserve">la calidad de la atención solo pueden conocerse preguntando directamente a las</w:t>
      </w:r>
      <w:r>
        <w:t xml:space="preserve"> </w:t>
      </w:r>
      <w:r>
        <w:t xml:space="preserve">personas que recibieron el servicio.</w:t>
      </w:r>
    </w:p>
    <w:p>
      <w:pPr>
        <w:pStyle w:val="BodyText"/>
      </w:pPr>
      <w:r>
        <w:t xml:space="preserve">Para ENUS 2026 se consideran tres referentes internacionales particularmente</w:t>
      </w:r>
      <w:r>
        <w:t xml:space="preserve"> </w:t>
      </w:r>
      <w:r>
        <w:t xml:space="preserve">relevantes:</w:t>
      </w:r>
      <w:r>
        <w:t xml:space="preserve"> </w:t>
      </w:r>
      <w:r>
        <w:rPr>
          <w:b/>
          <w:bCs/>
        </w:rPr>
        <w:t xml:space="preserve">CAHPS</w:t>
      </w:r>
      <w:r>
        <w:t xml:space="preserve">, desarrollado en Estados Unidos; el marco de</w:t>
      </w:r>
      <w:r>
        <w:t xml:space="preserve"> </w:t>
      </w:r>
      <w:r>
        <w:rPr>
          <w:b/>
          <w:bCs/>
        </w:rPr>
        <w:t xml:space="preserve">responsiveness</w:t>
      </w:r>
      <w:r>
        <w:t xml:space="preserve"> </w:t>
      </w:r>
      <w:r>
        <w:t xml:space="preserve">de la Organización Mundial de la Salud; y</w:t>
      </w:r>
      <w:r>
        <w:t xml:space="preserve"> </w:t>
      </w:r>
      <w:r>
        <w:rPr>
          <w:b/>
          <w:bCs/>
        </w:rPr>
        <w:t xml:space="preserve">PaRIS</w:t>
      </w:r>
      <w:r>
        <w:t xml:space="preserve">, promovido</w:t>
      </w:r>
      <w:r>
        <w:t xml:space="preserve"> </w:t>
      </w:r>
      <w:r>
        <w:t xml:space="preserve">por la OCDE. Estos referentes no constituyen modelos que ENUS 2026 adopte o</w:t>
      </w:r>
      <w:r>
        <w:t xml:space="preserve"> </w:t>
      </w:r>
      <w:r>
        <w:t xml:space="preserve">replique directamente. Su utilidad consiste en aportar antecedentes para definir</w:t>
      </w:r>
      <w:r>
        <w:t xml:space="preserve"> </w:t>
      </w:r>
      <w:r>
        <w:t xml:space="preserve">el concepto de experiencia del usuario, identificar dimensiones relevantes y</w:t>
      </w:r>
      <w:r>
        <w:t xml:space="preserve"> </w:t>
      </w:r>
      <w:r>
        <w:t xml:space="preserve">reconocer buenas prácticas para producir información comparable.</w:t>
      </w:r>
    </w:p>
    <w:bookmarkStart w:id="41" w:name="Xeeb0b07305e82f8b71f1953ebc831b9bd88f931"/>
    <w:p>
      <w:pPr>
        <w:pStyle w:val="Heading3"/>
      </w:pPr>
      <w:r>
        <w:rPr>
          <w:rStyle w:val="SectionNumber"/>
        </w:rPr>
        <w:t xml:space="preserve">1.8.1</w:t>
      </w:r>
      <w:r>
        <w:tab/>
      </w:r>
      <w:r>
        <w:t xml:space="preserve">CAHPS: medición estandarizada de la experiencia del paciente</w:t>
      </w:r>
    </w:p>
    <w:p>
      <w:pPr>
        <w:pStyle w:val="FirstParagraph"/>
      </w:pPr>
      <w:r>
        <w:t xml:space="preserve">El programa</w:t>
      </w:r>
      <w:r>
        <w:t xml:space="preserve"> </w:t>
      </w:r>
      <w:r>
        <w:rPr>
          <w:b/>
          <w:bCs/>
        </w:rPr>
        <w:t xml:space="preserve">Consumer Assessment of Healthcare Providers and Systems (CAHPS)</w:t>
      </w:r>
      <w:r>
        <w:t xml:space="preserve">,</w:t>
      </w:r>
      <w:r>
        <w:t xml:space="preserve"> </w:t>
      </w:r>
      <w:r>
        <w:t xml:space="preserve">desarrollado por la Agency for Healthcare Research and Quality (AHRQ) de Estados</w:t>
      </w:r>
      <w:r>
        <w:t xml:space="preserve"> </w:t>
      </w:r>
      <w:r>
        <w:t xml:space="preserve">Unidos, constituye uno de los referentes más consolidados para la medición</w:t>
      </w:r>
      <w:r>
        <w:t xml:space="preserve"> </w:t>
      </w:r>
      <w:r>
        <w:t xml:space="preserve">estandarizada de la experiencia de los pacientes. El programa se inició en 1995 y</w:t>
      </w:r>
      <w:r>
        <w:t xml:space="preserve"> </w:t>
      </w:r>
      <w:r>
        <w:t xml:space="preserve">ha desarrollado diferentes instrumentos para evaluar experiencias con planes de</w:t>
      </w:r>
      <w:r>
        <w:t xml:space="preserve"> </w:t>
      </w:r>
      <w:r>
        <w:t xml:space="preserve">salud, profesionales, hospitales y otros servicios de atención</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Un aspecto central de CAHPS es la distinción entre</w:t>
      </w:r>
      <w:r>
        <w:t xml:space="preserve"> </w:t>
      </w:r>
      <w:r>
        <w:rPr>
          <w:b/>
          <w:bCs/>
        </w:rPr>
        <w:t xml:space="preserve">experiencia del paciente y</w:t>
      </w:r>
      <w:r>
        <w:rPr>
          <w:b/>
          <w:bCs/>
        </w:rPr>
        <w:t xml:space="preserve"> </w:t>
      </w:r>
      <w:r>
        <w:rPr>
          <w:b/>
          <w:bCs/>
        </w:rPr>
        <w:t xml:space="preserve">satisfacción</w:t>
      </w:r>
      <w:r>
        <w:t xml:space="preserve">. Las encuestas buscan conocer lo que ocurrió durante la atención,</w:t>
      </w:r>
      <w:r>
        <w:t xml:space="preserve"> </w:t>
      </w:r>
      <w:r>
        <w:t xml:space="preserve">por ejemplo, si los profesionales se comunicaron adecuadamente, si el usuario</w:t>
      </w:r>
      <w:r>
        <w:t xml:space="preserve"> </w:t>
      </w:r>
      <w:r>
        <w:t xml:space="preserve">pudo acceder a la atención que necesitaba o si recibió la atención de manera</w:t>
      </w:r>
      <w:r>
        <w:t xml:space="preserve"> </w:t>
      </w:r>
      <w:r>
        <w:t xml:space="preserve">oportuna. Esto se complementa con preguntas de valoración global sobre el</w:t>
      </w:r>
      <w:r>
        <w:t xml:space="preserve"> </w:t>
      </w:r>
      <w:r>
        <w:t xml:space="preserve">proveedor o el servicio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Los instrumentos CAHPS utilizan preguntas estandarizadas y producen medidas</w:t>
      </w:r>
      <w:r>
        <w:t xml:space="preserve"> </w:t>
      </w:r>
      <w:r>
        <w:t xml:space="preserve">individuales y medidas compuestas. Estas últimas agrupan varias preguntas</w:t>
      </w:r>
      <w:r>
        <w:t xml:space="preserve"> </w:t>
      </w:r>
      <w:r>
        <w:t xml:space="preserve">relacionadas para representar dimensiones específicas de la experiencia. El</w:t>
      </w:r>
      <w:r>
        <w:t xml:space="preserve"> </w:t>
      </w:r>
      <w:r>
        <w:t xml:space="preserve">programa señala que los elementos centrales de sus cuestionarios se mantienen</w:t>
      </w:r>
      <w:r>
        <w:t xml:space="preserve"> </w:t>
      </w:r>
      <w:r>
        <w:t xml:space="preserve">estandarizados para favorecer la consistencia y comparabilidad de las mediciones</w:t>
      </w:r>
      <w:r>
        <w:t xml:space="preserve"> </w:t>
      </w:r>
      <w:r>
        <w:t xml:space="preserve">(</w:t>
      </w:r>
      <w:hyperlink w:anchor="ref-AHRQ_CAHPS_Measures">
        <w:r>
          <w:rPr>
            <w:rStyle w:val="Hyperlink"/>
          </w:rPr>
          <w:t xml:space="preserve">Agency for Healthcare Research and Quality 2024</w:t>
        </w:r>
      </w:hyperlink>
      <w:r>
        <w:t xml:space="preserve">)</w:t>
      </w:r>
      <w:r>
        <w:t xml:space="preserve">.</w:t>
      </w:r>
    </w:p>
    <w:p>
      <w:pPr>
        <w:pStyle w:val="BodyText"/>
      </w:pPr>
      <w:r>
        <w:t xml:space="preserve">Para ENUS 2026, el principal aprendizaje de CAHPS es la necesidad de diferenciar</w:t>
      </w:r>
      <w:r>
        <w:t xml:space="preserve"> </w:t>
      </w:r>
      <w:r>
        <w:t xml:space="preserve">entre</w:t>
      </w:r>
      <w:r>
        <w:t xml:space="preserve"> </w:t>
      </w:r>
      <w:r>
        <w:rPr>
          <w:b/>
          <w:bCs/>
        </w:rPr>
        <w:t xml:space="preserve">lo que el usuario experimentó durante la atención</w:t>
      </w:r>
      <w:r>
        <w:t xml:space="preserve"> </w:t>
      </w:r>
      <w:r>
        <w:t xml:space="preserve">y</w:t>
      </w:r>
      <w:r>
        <w:t xml:space="preserve"> </w:t>
      </w:r>
      <w:r>
        <w:rPr>
          <w:b/>
          <w:bCs/>
        </w:rPr>
        <w:t xml:space="preserve">la valoración</w:t>
      </w:r>
      <w:r>
        <w:rPr>
          <w:b/>
          <w:bCs/>
        </w:rPr>
        <w:t xml:space="preserve"> </w:t>
      </w:r>
      <w:r>
        <w:rPr>
          <w:b/>
          <w:bCs/>
        </w:rPr>
        <w:t xml:space="preserve">general que hace del servicio</w:t>
      </w:r>
      <w:r>
        <w:t xml:space="preserve">. Esta distinción es fundamental para la definición</w:t>
      </w:r>
      <w:r>
        <w:t xml:space="preserve"> </w:t>
      </w:r>
      <w:r>
        <w:t xml:space="preserve">de las dimensiones e indicadores de experiencia desarrollada en el marco</w:t>
      </w:r>
      <w:r>
        <w:t xml:space="preserve"> </w:t>
      </w:r>
      <w:r>
        <w:t xml:space="preserve">conceptual (</w:t>
      </w:r>
      <w:r>
        <w:t xml:space="preserve">3.1</w:t>
      </w:r>
      <w:r>
        <w:t xml:space="preserve">).</w:t>
      </w:r>
    </w:p>
    <w:p>
      <w:pPr>
        <w:pStyle w:val="BodyText"/>
      </w:pPr>
      <w:r>
        <w:t xml:space="preserve">CAHPS también constituye un referente para la construcción de una serie de largo</w:t>
      </w:r>
      <w:r>
        <w:t xml:space="preserve"> </w:t>
      </w:r>
      <w:r>
        <w:t xml:space="preserve">plazo: la estandarización de un núcleo de preguntas permite comparar resultados</w:t>
      </w:r>
      <w:r>
        <w:t xml:space="preserve"> </w:t>
      </w:r>
      <w:r>
        <w:t xml:space="preserve">entre proveedores y a través del tiempo, sin impedir la incorporación de módulos o</w:t>
      </w:r>
      <w:r>
        <w:t xml:space="preserve"> </w:t>
      </w:r>
      <w:r>
        <w:t xml:space="preserve">preguntas complementarias cuando sean necesarias</w:t>
      </w:r>
      <w:r>
        <w:t xml:space="preserve"> </w:t>
      </w:r>
      <w:r>
        <w:t xml:space="preserve">(</w:t>
      </w:r>
      <w:hyperlink w:anchor="ref-AHRQ_CAHPS">
        <w:r>
          <w:rPr>
            <w:rStyle w:val="Hyperlink"/>
          </w:rPr>
          <w:t xml:space="preserve">Agency for Healthcare Research and Quality 1995</w:t>
        </w:r>
      </w:hyperlink>
      <w:r>
        <w:t xml:space="preserve">)</w:t>
      </w:r>
      <w:r>
        <w:t xml:space="preserve">.</w:t>
      </w:r>
    </w:p>
    <w:bookmarkEnd w:id="41"/>
    <w:bookmarkStart w:id="42" w:name="Xfe67c5ac79d7159334589175213917bc0d079bf"/>
    <w:p>
      <w:pPr>
        <w:pStyle w:val="Heading3"/>
      </w:pPr>
      <w:r>
        <w:rPr>
          <w:rStyle w:val="SectionNumber"/>
        </w:rPr>
        <w:t xml:space="preserve">1.8.2</w:t>
      </w:r>
      <w:r>
        <w:tab/>
      </w:r>
      <w:r>
        <w:t xml:space="preserve">OMS: capacidad de respuesta de los sistemas de salud</w:t>
      </w:r>
    </w:p>
    <w:p>
      <w:pPr>
        <w:pStyle w:val="FirstParagraph"/>
      </w:pPr>
      <w:r>
        <w:t xml:space="preserve">La Organización Mundial de la Salud incorporó el concepto de</w:t>
      </w:r>
      <w:r>
        <w:t xml:space="preserve"> </w:t>
      </w:r>
      <w:r>
        <w:rPr>
          <w:b/>
          <w:bCs/>
        </w:rPr>
        <w:t xml:space="preserve">responsiveness</w:t>
      </w:r>
      <w:r>
        <w:t xml:space="preserve"> </w:t>
      </w:r>
      <w:r>
        <w:t xml:space="preserve">como uno de los componentes para evaluar el desempeño de los sistemas de salud</w:t>
      </w:r>
      <w:r>
        <w:t xml:space="preserve"> </w:t>
      </w:r>
      <w:r>
        <w:t xml:space="preserve">en el</w:t>
      </w:r>
      <w:r>
        <w:t xml:space="preserve"> </w:t>
      </w:r>
      <w:r>
        <w:rPr>
          <w:i/>
          <w:iCs/>
        </w:rPr>
        <w:t xml:space="preserve">World Health Report 2000</w:t>
      </w:r>
      <w:r>
        <w:t xml:space="preserve"> </w:t>
      </w:r>
      <w:r>
        <w:t xml:space="preserve">(</w:t>
      </w:r>
      <w:hyperlink w:anchor="ref-WHO2000Responsiveness">
        <w:r>
          <w:rPr>
            <w:rStyle w:val="Hyperlink"/>
          </w:rPr>
          <w:t xml:space="preserve">World Health Organization 2000</w:t>
        </w:r>
      </w:hyperlink>
      <w:r>
        <w:t xml:space="preserve">)</w:t>
      </w:r>
      <w:r>
        <w:t xml:space="preserve">. El concepto se refiere</w:t>
      </w:r>
      <w:r>
        <w:t xml:space="preserve"> </w:t>
      </w:r>
      <w:r>
        <w:t xml:space="preserve">a la manera en que el sistema responde a las expectativas legítimas de las</w:t>
      </w:r>
      <w:r>
        <w:t xml:space="preserve"> </w:t>
      </w:r>
      <w:r>
        <w:t xml:space="preserve">personas en aspectos que no corresponden directamente a los resultados clínicos</w:t>
      </w:r>
      <w:r>
        <w:t xml:space="preserve"> </w:t>
      </w:r>
      <w:r>
        <w:t xml:space="preserve">de la atención.</w:t>
      </w:r>
    </w:p>
    <w:p>
      <w:pPr>
        <w:pStyle w:val="BodyText"/>
      </w:pPr>
      <w:r>
        <w:t xml:space="preserve">El marco desarrollado por la OMS agrupa estas expectativas en dos grandes</w:t>
      </w:r>
      <w:r>
        <w:t xml:space="preserve"> </w:t>
      </w:r>
      <w:r>
        <w:t xml:space="preserve">componentes:</w:t>
      </w:r>
      <w:r>
        <w:t xml:space="preserve"> </w:t>
      </w:r>
      <w:r>
        <w:rPr>
          <w:b/>
          <w:bCs/>
        </w:rPr>
        <w:t xml:space="preserve">respeto por las personas</w:t>
      </w:r>
      <w:r>
        <w:t xml:space="preserve"> </w:t>
      </w:r>
      <w:r>
        <w:t xml:space="preserve">y</w:t>
      </w:r>
      <w:r>
        <w:t xml:space="preserve"> </w:t>
      </w:r>
      <w:r>
        <w:rPr>
          <w:b/>
          <w:bCs/>
        </w:rPr>
        <w:t xml:space="preserve">orientación al usuario</w:t>
      </w:r>
      <w:r>
        <w:t xml:space="preserve">. El primero</w:t>
      </w:r>
      <w:r>
        <w:t xml:space="preserve"> </w:t>
      </w:r>
      <w:r>
        <w:t xml:space="preserve">incluye aspectos como dignidad, confidencialidad y autonomía; el segundo incorpora</w:t>
      </w:r>
      <w:r>
        <w:t xml:space="preserve"> </w:t>
      </w:r>
      <w:r>
        <w:t xml:space="preserve">elementos como atención oportuna, calidad de las condiciones básicas, posibilidad</w:t>
      </w:r>
      <w:r>
        <w:t xml:space="preserve"> </w:t>
      </w:r>
      <w:r>
        <w:t xml:space="preserve">de elegir proveedor y acceso a redes de apoyo durante la atención</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Este referente resulta relevante porque amplía la mirada sobre la calidad de los</w:t>
      </w:r>
      <w:r>
        <w:t xml:space="preserve"> </w:t>
      </w:r>
      <w:r>
        <w:t xml:space="preserve">servicios de salud. La experiencia del usuario no se limita a determinar si el</w:t>
      </w:r>
      <w:r>
        <w:t xml:space="preserve"> </w:t>
      </w:r>
      <w:r>
        <w:t xml:space="preserve">tratamiento fue clínicamente adecuado, sino que también incluye la forma en que</w:t>
      </w:r>
      <w:r>
        <w:t xml:space="preserve"> </w:t>
      </w:r>
      <w:r>
        <w:t xml:space="preserve">la persona fue tratada, escuchada, informada y atendida.</w:t>
      </w:r>
    </w:p>
    <w:p>
      <w:pPr>
        <w:pStyle w:val="BodyText"/>
      </w:pPr>
      <w:r>
        <w:t xml:space="preserve">Para ENUS 2026, el principal aporte de este marco es la incorporación de</w:t>
      </w:r>
      <w:r>
        <w:t xml:space="preserve"> </w:t>
      </w:r>
      <w:r>
        <w:t xml:space="preserve">dimensiones relacionadas con</w:t>
      </w:r>
      <w:r>
        <w:t xml:space="preserve"> </w:t>
      </w:r>
      <w:r>
        <w:rPr>
          <w:b/>
          <w:bCs/>
        </w:rPr>
        <w:t xml:space="preserve">trato digno, autonomía, confidencialidad,</w:t>
      </w:r>
      <w:r>
        <w:rPr>
          <w:b/>
          <w:bCs/>
        </w:rPr>
        <w:t xml:space="preserve"> </w:t>
      </w:r>
      <w:r>
        <w:rPr>
          <w:b/>
          <w:bCs/>
        </w:rPr>
        <w:t xml:space="preserve">oportunidad, comunicación y condiciones de atención</w:t>
      </w:r>
      <w:r>
        <w:t xml:space="preserve">, que pueden ser observadas</w:t>
      </w:r>
      <w:r>
        <w:t xml:space="preserve"> </w:t>
      </w:r>
      <w:r>
        <w:t xml:space="preserve">directamente desde la perspectiva de las personas usuarias.</w:t>
      </w:r>
    </w:p>
    <w:bookmarkEnd w:id="42"/>
    <w:bookmarkStart w:id="43" w:name="X09061f2213db83dba0ea986308f6512c768dfbe"/>
    <w:p>
      <w:pPr>
        <w:pStyle w:val="Heading3"/>
      </w:pPr>
      <w:r>
        <w:rPr>
          <w:rStyle w:val="SectionNumber"/>
        </w:rPr>
        <w:t xml:space="preserve">1.8.3</w:t>
      </w:r>
      <w:r>
        <w:tab/>
      </w:r>
      <w:r>
        <w:t xml:space="preserve">OCDE-PaRIS: experiencias y resultados reportados por los pacientes</w:t>
      </w:r>
    </w:p>
    <w:p>
      <w:pPr>
        <w:pStyle w:val="FirstParagraph"/>
      </w:pPr>
      <w:r>
        <w:t xml:space="preserve">El programa</w:t>
      </w:r>
      <w:r>
        <w:t xml:space="preserve"> </w:t>
      </w:r>
      <w:r>
        <w:rPr>
          <w:b/>
          <w:bCs/>
        </w:rPr>
        <w:t xml:space="preserve">Patient-Reported Indicator Surveys (PaRIS)</w:t>
      </w:r>
      <w:r>
        <w:t xml:space="preserve"> </w:t>
      </w:r>
      <w:r>
        <w:t xml:space="preserve">de la OCDE representa</w:t>
      </w:r>
      <w:r>
        <w:t xml:space="preserve"> </w:t>
      </w:r>
      <w:r>
        <w:t xml:space="preserve">una etapa más reciente en el desarrollo de mediciones internacionales centradas</w:t>
      </w:r>
      <w:r>
        <w:t xml:space="preserve"> </w:t>
      </w:r>
      <w:r>
        <w:t xml:space="preserve">en la perspectiva de los pacientes. Su objetivo es desarrollar indicadores</w:t>
      </w:r>
      <w:r>
        <w:t xml:space="preserve"> </w:t>
      </w:r>
      <w:r>
        <w:t xml:space="preserve">estandarizados sobre los resultados y las experiencias de atención que son</w:t>
      </w:r>
      <w:r>
        <w:t xml:space="preserve"> </w:t>
      </w:r>
      <w:r>
        <w:t xml:space="preserve">relevantes para las personas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El primer ciclo de PaRIS, desarrollado entre 2017 y 2025, reunió información de</w:t>
      </w:r>
      <w:r>
        <w:t xml:space="preserve"> </w:t>
      </w:r>
      <w:r>
        <w:t xml:space="preserve">más de</w:t>
      </w:r>
      <w:r>
        <w:t xml:space="preserve"> </w:t>
      </w:r>
      <w:r>
        <w:rPr>
          <w:b/>
          <w:bCs/>
        </w:rPr>
        <w:t xml:space="preserve">107.000 pacientes</w:t>
      </w:r>
      <w:r>
        <w:t xml:space="preserve">, atendidos en más de</w:t>
      </w:r>
      <w:r>
        <w:t xml:space="preserve"> </w:t>
      </w:r>
      <w:r>
        <w:rPr>
          <w:b/>
          <w:bCs/>
        </w:rPr>
        <w:t xml:space="preserve">1.800 centros de atención</w:t>
      </w:r>
      <w:r>
        <w:rPr>
          <w:b/>
          <w:bCs/>
        </w:rPr>
        <w:t xml:space="preserve"> </w:t>
      </w:r>
      <w:r>
        <w:rPr>
          <w:b/>
          <w:bCs/>
        </w:rPr>
        <w:t xml:space="preserve">primaria de 19 países</w:t>
      </w:r>
      <w:r>
        <w:t xml:space="preserve">. La población estudiada estuvo conformada por pacientes</w:t>
      </w:r>
      <w:r>
        <w:t xml:space="preserve"> </w:t>
      </w:r>
      <w:r>
        <w:t xml:space="preserve">de atención primaria de 45 años o más, con especial atención a personas con</w:t>
      </w:r>
      <w:r>
        <w:t xml:space="preserve"> </w:t>
      </w:r>
      <w:r>
        <w:t xml:space="preserve">enfermedades crónicas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Una característica importante de PaRIS es la integración de dos tipos de</w:t>
      </w:r>
      <w:r>
        <w:t xml:space="preserve"> </w:t>
      </w:r>
      <w:r>
        <w:t xml:space="preserve">información: los</w:t>
      </w:r>
      <w:r>
        <w:t xml:space="preserve"> </w:t>
      </w:r>
      <w:r>
        <w:rPr>
          <w:b/>
          <w:bCs/>
        </w:rPr>
        <w:t xml:space="preserve">resultados reportados por los pacientes (PROM)</w:t>
      </w:r>
      <w:r>
        <w:t xml:space="preserve"> </w:t>
      </w:r>
      <w:r>
        <w:t xml:space="preserve">y las</w:t>
      </w:r>
      <w:r>
        <w:t xml:space="preserve"> </w:t>
      </w:r>
      <w:r>
        <w:rPr>
          <w:b/>
          <w:bCs/>
        </w:rPr>
        <w:t xml:space="preserve">experiencias reportadas por los pacientes (PREM)</w:t>
      </w:r>
      <w:r>
        <w:t xml:space="preserve">. Esta distinción permite</w:t>
      </w:r>
      <w:r>
        <w:t xml:space="preserve"> </w:t>
      </w:r>
      <w:r>
        <w:t xml:space="preserve">separar lo que ocurrió durante la atención de los resultados que la persona</w:t>
      </w:r>
      <w:r>
        <w:t xml:space="preserve"> </w:t>
      </w:r>
      <w:r>
        <w:t xml:space="preserve">percibe en relación con su salud y bienestar.</w:t>
      </w:r>
    </w:p>
    <w:p>
      <w:pPr>
        <w:pStyle w:val="BodyText"/>
      </w:pPr>
      <w:r>
        <w:t xml:space="preserve">Para ENUS 2026, PaRIS aporta principalmente dos elementos. El primero es la</w:t>
      </w:r>
      <w:r>
        <w:t xml:space="preserve"> </w:t>
      </w:r>
      <w:r>
        <w:t xml:space="preserve">importancia de construir indicadores estandarizados que permitan comparar</w:t>
      </w:r>
      <w:r>
        <w:t xml:space="preserve"> </w:t>
      </w:r>
      <w:r>
        <w:t xml:space="preserve">resultados entre territorios y a través del tiempo. El segundo es la conveniencia</w:t>
      </w:r>
      <w:r>
        <w:t xml:space="preserve"> </w:t>
      </w:r>
      <w:r>
        <w:t xml:space="preserve">de distinguir entre</w:t>
      </w:r>
      <w:r>
        <w:t xml:space="preserve"> </w:t>
      </w:r>
      <w:r>
        <w:rPr>
          <w:b/>
          <w:bCs/>
        </w:rPr>
        <w:t xml:space="preserve">experiencia de atención</w:t>
      </w:r>
      <w:r>
        <w:t xml:space="preserve"> </w:t>
      </w:r>
      <w:r>
        <w:t xml:space="preserve">y</w:t>
      </w:r>
      <w:r>
        <w:t xml:space="preserve"> </w:t>
      </w:r>
      <w:r>
        <w:rPr>
          <w:b/>
          <w:bCs/>
        </w:rPr>
        <w:t xml:space="preserve">resultados de salud reportados</w:t>
      </w:r>
      <w:r>
        <w:rPr>
          <w:b/>
          <w:bCs/>
        </w:rPr>
        <w:t xml:space="preserve"> </w:t>
      </w:r>
      <w:r>
        <w:rPr>
          <w:b/>
          <w:bCs/>
        </w:rPr>
        <w:t xml:space="preserve">por las personas</w:t>
      </w:r>
      <w:r>
        <w:t xml:space="preserve">, evitando que ambos conceptos se mezclen en un mismo indicador.</w:t>
      </w:r>
    </w:p>
    <w:bookmarkEnd w:id="43"/>
    <w:bookmarkStart w:id="44" w:name="X140dbfadb0326b75808cf6f58c01238bb3e27e3"/>
    <w:p>
      <w:pPr>
        <w:pStyle w:val="Heading3"/>
      </w:pPr>
      <w:r>
        <w:rPr>
          <w:rStyle w:val="SectionNumber"/>
        </w:rPr>
        <w:t xml:space="preserve">1.8.4</w:t>
      </w:r>
      <w:r>
        <w:tab/>
      </w:r>
      <w:r>
        <w:t xml:space="preserve">Elementos comunes de los referentes internacionales</w:t>
      </w:r>
    </w:p>
    <w:p>
      <w:pPr>
        <w:pStyle w:val="FirstParagraph"/>
      </w:pPr>
      <w:r>
        <w:t xml:space="preserve">Aunque CAHPS, el marco de</w:t>
      </w:r>
      <w:r>
        <w:t xml:space="preserve"> </w:t>
      </w:r>
      <w:r>
        <w:rPr>
          <w:i/>
          <w:iCs/>
        </w:rPr>
        <w:t xml:space="preserve">responsiveness</w:t>
      </w:r>
      <w:r>
        <w:t xml:space="preserve"> </w:t>
      </w:r>
      <w:r>
        <w:t xml:space="preserve">de la OMS y PaRIS tienen objetivos,</w:t>
      </w:r>
      <w:r>
        <w:t xml:space="preserve"> </w:t>
      </w:r>
      <w:r>
        <w:t xml:space="preserve">poblaciones y contextos diferentes, presentan algunos elementos comunes que</w:t>
      </w:r>
      <w:r>
        <w:t xml:space="preserve"> </w:t>
      </w:r>
      <w:r>
        <w:t xml:space="preserve">resultan relevantes para ENUS 2026:</w:t>
      </w:r>
    </w:p>
    <w:p>
      <w:pPr>
        <w:numPr>
          <w:ilvl w:val="0"/>
          <w:numId w:val="1005"/>
        </w:numPr>
      </w:pPr>
      <w:r>
        <w:rPr>
          <w:b/>
          <w:bCs/>
        </w:rPr>
        <w:t xml:space="preserve">La persona usuaria es una fuente directa de información sobre la calidad de</w:t>
      </w:r>
      <w:r>
        <w:rPr>
          <w:b/>
          <w:bCs/>
        </w:rPr>
        <w:t xml:space="preserve"> </w:t>
      </w:r>
      <w:r>
        <w:rPr>
          <w:b/>
          <w:bCs/>
        </w:rPr>
        <w:t xml:space="preserve">la atención.</w:t>
      </w:r>
      <w:r>
        <w:t xml:space="preserve"> </w:t>
      </w:r>
      <w:r>
        <w:t xml:space="preserve">Determinados aspectos de la atención no pueden conocerse</w:t>
      </w:r>
      <w:r>
        <w:t xml:space="preserve"> </w:t>
      </w:r>
      <w:r>
        <w:t xml:space="preserve">únicamente mediante registros clínicos o administrativos.</w:t>
      </w:r>
    </w:p>
    <w:p>
      <w:pPr>
        <w:numPr>
          <w:ilvl w:val="0"/>
          <w:numId w:val="1005"/>
        </w:numPr>
      </w:pPr>
      <w:r>
        <w:rPr>
          <w:b/>
          <w:bCs/>
        </w:rPr>
        <w:t xml:space="preserve">La experiencia debe distinguirse de la satisfacción.</w:t>
      </w:r>
      <w:r>
        <w:t xml:space="preserve"> </w:t>
      </w:r>
      <w:r>
        <w:t xml:space="preserve">La experiencia se</w:t>
      </w:r>
      <w:r>
        <w:t xml:space="preserve"> </w:t>
      </w:r>
      <w:r>
        <w:t xml:space="preserve">centra principalmente en hechos y situaciones ocurridas durante la atención,</w:t>
      </w:r>
      <w:r>
        <w:t xml:space="preserve"> </w:t>
      </w:r>
      <w:r>
        <w:t xml:space="preserve">mientras que la satisfacción corresponde a una valoración global de esa</w:t>
      </w:r>
      <w:r>
        <w:t xml:space="preserve"> </w:t>
      </w:r>
      <w:r>
        <w:t xml:space="preserve">experiencia.</w:t>
      </w:r>
    </w:p>
    <w:p>
      <w:pPr>
        <w:numPr>
          <w:ilvl w:val="0"/>
          <w:numId w:val="1005"/>
        </w:numPr>
      </w:pPr>
      <w:r>
        <w:rPr>
          <w:b/>
          <w:bCs/>
        </w:rPr>
        <w:t xml:space="preserve">La experiencia es multidimensional.</w:t>
      </w:r>
      <w:r>
        <w:t xml:space="preserve"> </w:t>
      </w:r>
      <w:r>
        <w:t xml:space="preserve">Aspectos como comunicación, acceso,</w:t>
      </w:r>
      <w:r>
        <w:t xml:space="preserve"> </w:t>
      </w:r>
      <w:r>
        <w:t xml:space="preserve">oportunidad, trato, participación y coordinación pueden medirse por separado</w:t>
      </w:r>
      <w:r>
        <w:t xml:space="preserve"> </w:t>
      </w:r>
      <w:r>
        <w:t xml:space="preserve">y posteriormente integrarse en un sistema de indicadores.</w:t>
      </w:r>
    </w:p>
    <w:p>
      <w:pPr>
        <w:numPr>
          <w:ilvl w:val="0"/>
          <w:numId w:val="1005"/>
        </w:numPr>
      </w:pPr>
      <w:r>
        <w:rPr>
          <w:b/>
          <w:bCs/>
        </w:rPr>
        <w:t xml:space="preserve">La estandarización es necesaria para la comparación.</w:t>
      </w:r>
      <w:r>
        <w:t xml:space="preserve"> </w:t>
      </w:r>
      <w:r>
        <w:t xml:space="preserve">Mantener definiciones,</w:t>
      </w:r>
      <w:r>
        <w:t xml:space="preserve"> </w:t>
      </w:r>
      <w:r>
        <w:t xml:space="preserve">preguntas e indicadores centrales permite interpretar los cambios observados</w:t>
      </w:r>
      <w:r>
        <w:t xml:space="preserve"> </w:t>
      </w:r>
      <w:r>
        <w:t xml:space="preserve">entre mediciones como cambios en la experiencia y no como efectos derivados de</w:t>
      </w:r>
      <w:r>
        <w:t xml:space="preserve"> </w:t>
      </w:r>
      <w:r>
        <w:t xml:space="preserve">modificaciones en el instrumento.</w:t>
      </w:r>
    </w:p>
    <w:p>
      <w:pPr>
        <w:numPr>
          <w:ilvl w:val="0"/>
          <w:numId w:val="1005"/>
        </w:numPr>
      </w:pPr>
      <w:r>
        <w:rPr>
          <w:b/>
          <w:bCs/>
        </w:rPr>
        <w:t xml:space="preserve">La información debe estar orientada a la mejora.</w:t>
      </w:r>
      <w:r>
        <w:t xml:space="preserve"> </w:t>
      </w:r>
      <w:r>
        <w:t xml:space="preserve">Estos instrumentos no se</w:t>
      </w:r>
      <w:r>
        <w:t xml:space="preserve"> </w:t>
      </w:r>
      <w:r>
        <w:t xml:space="preserve">limitan a producir un resultado agregado; buscan identificar dimensiones en las</w:t>
      </w:r>
      <w:r>
        <w:t xml:space="preserve"> </w:t>
      </w:r>
      <w:r>
        <w:t xml:space="preserve">que existen diferencias entre proveedores, territorios o grupos de población.</w:t>
      </w:r>
    </w:p>
    <w:p>
      <w:pPr>
        <w:pStyle w:val="FirstParagraph"/>
      </w:pPr>
      <w:r>
        <w:t xml:space="preserve">Estos elementos constituyen referentes para la construcción del marco conceptual</w:t>
      </w:r>
      <w:r>
        <w:t xml:space="preserve"> </w:t>
      </w:r>
      <w:r>
        <w:t xml:space="preserve">de ENUS 2026, pero no determinan por sí mismos el diseño de la operación. La</w:t>
      </w:r>
      <w:r>
        <w:t xml:space="preserve"> </w:t>
      </w:r>
      <w:r>
        <w:t xml:space="preserve">definición de las dimensiones, el instrumento, la población objetivo, el mecanismo</w:t>
      </w:r>
      <w:r>
        <w:t xml:space="preserve"> </w:t>
      </w:r>
      <w:r>
        <w:t xml:space="preserve">de captación, el diseño muestral, la ponderación y los procedimientos de estimación</w:t>
      </w:r>
      <w:r>
        <w:t xml:space="preserve"> </w:t>
      </w:r>
      <w:r>
        <w:t xml:space="preserve">se establecen de acuerdo con las características del sistema de salud colombiano</w:t>
      </w:r>
      <w:r>
        <w:t xml:space="preserve"> </w:t>
      </w:r>
      <w:r>
        <w:t xml:space="preserve">y se desarrollan en los capítulos correspondientes de este documento.</w:t>
      </w:r>
    </w:p>
    <w:bookmarkEnd w:id="44"/>
    <w:bookmarkEnd w:id="45"/>
    <w:bookmarkEnd w:id="46"/>
    <w:bookmarkStart w:id="49" w:name="sec-objetivo"/>
    <w:p>
      <w:pPr>
        <w:pStyle w:val="Heading1"/>
      </w:pPr>
      <w:r>
        <w:rPr>
          <w:rStyle w:val="SectionNumber"/>
        </w:rPr>
        <w:t xml:space="preserve">2</w:t>
      </w:r>
      <w:r>
        <w:tab/>
      </w:r>
      <w:r>
        <w:t xml:space="preserve">Objetivo de la ENUS 2026</w:t>
      </w:r>
    </w:p>
    <w:bookmarkStart w:id="47" w:name="objetivo-general"/>
    <w:p>
      <w:pPr>
        <w:pStyle w:val="Heading2"/>
      </w:pPr>
      <w:r>
        <w:rPr>
          <w:rStyle w:val="SectionNumber"/>
        </w:rPr>
        <w:t xml:space="preserve">2.1</w:t>
      </w:r>
      <w:r>
        <w:tab/>
      </w:r>
      <w:r>
        <w:t xml:space="preserve">Objetivo general</w:t>
      </w:r>
    </w:p>
    <w:p>
      <w:pPr>
        <w:pStyle w:val="FirstParagraph"/>
      </w:pPr>
      <w:r>
        <w:t xml:space="preserve">Medir la</w:t>
      </w:r>
      <w:r>
        <w:t xml:space="preserve"> </w:t>
      </w:r>
      <w:r>
        <w:rPr>
          <w:i/>
          <w:iCs/>
        </w:rPr>
        <w:t xml:space="preserve">satisfacción y la experiencia de las personas usuarias</w:t>
      </w:r>
      <w:r>
        <w:t xml:space="preserve"> </w:t>
      </w:r>
      <w:r>
        <w:t xml:space="preserve">del Sistema General de Seguridad Social en Salud (SGSSS) con los servicios de salud utilizados, mediante una operación estadística de recolección continua, para producir información periódica, comparable y estadísticamente sustentada que contribuya al seguimiento, la evaluación y el mejoramiento de la calidad de los servicios de salud.</w:t>
      </w:r>
    </w:p>
    <w:bookmarkEnd w:id="47"/>
    <w:bookmarkStart w:id="48" w:name="objetivos-específicos"/>
    <w:p>
      <w:pPr>
        <w:pStyle w:val="Heading2"/>
      </w:pPr>
      <w:r>
        <w:rPr>
          <w:rStyle w:val="SectionNumber"/>
        </w:rPr>
        <w:t xml:space="preserve">2.2</w:t>
      </w:r>
      <w:r>
        <w:tab/>
      </w:r>
      <w:r>
        <w:t xml:space="preserve">Objetivos específicos</w:t>
      </w:r>
    </w:p>
    <w:p>
      <w:pPr>
        <w:numPr>
          <w:ilvl w:val="0"/>
          <w:numId w:val="1006"/>
        </w:numPr>
      </w:pPr>
      <w:r>
        <w:rPr>
          <w:i/>
          <w:iCs/>
        </w:rPr>
        <w:t xml:space="preserve">Medir la satisfacción de las personas usuarias</w:t>
      </w:r>
      <w:r>
        <w:t xml:space="preserve"> </w:t>
      </w:r>
      <w:r>
        <w:t xml:space="preserve">con los servicios de salud utilizados, como valoración general de la atención recibida.</w:t>
      </w:r>
    </w:p>
    <w:p>
      <w:pPr>
        <w:numPr>
          <w:ilvl w:val="0"/>
          <w:numId w:val="1006"/>
        </w:numPr>
      </w:pPr>
      <w:r>
        <w:rPr>
          <w:i/>
          <w:iCs/>
        </w:rPr>
        <w:t xml:space="preserve">Medir las principales dimensiones de la experiencia del usuario</w:t>
      </w:r>
      <w:r>
        <w:t xml:space="preserve"> </w:t>
      </w:r>
      <w:r>
        <w:t xml:space="preserve">en la interacción con los servicios de salud, considerando aspectos relacionados con la accesibilidad, oportunidad, trato digno, comunicación y resolutividad.</w:t>
      </w:r>
    </w:p>
    <w:p>
      <w:pPr>
        <w:numPr>
          <w:ilvl w:val="0"/>
          <w:numId w:val="1006"/>
        </w:numPr>
      </w:pPr>
      <w:r>
        <w:rPr>
          <w:i/>
          <w:iCs/>
        </w:rPr>
        <w:t xml:space="preserve">Producir información periódica y oportuna</w:t>
      </w:r>
      <w:r>
        <w:t xml:space="preserve"> </w:t>
      </w:r>
      <w:r>
        <w:t xml:space="preserve">sobre la satisfacción y la experiencia de las personas usuarias mediante un esquema de recolección continua que permita identificar cambios en los principales indicadores con menor rezago temporal.</w:t>
      </w:r>
    </w:p>
    <w:p>
      <w:pPr>
        <w:numPr>
          <w:ilvl w:val="0"/>
          <w:numId w:val="1006"/>
        </w:numPr>
      </w:pPr>
      <w:r>
        <w:rPr>
          <w:i/>
          <w:iCs/>
        </w:rPr>
        <w:t xml:space="preserve">Minimizar el potencial sesgo de recuerdo</w:t>
      </w:r>
      <w:r>
        <w:t xml:space="preserve"> </w:t>
      </w:r>
      <w:r>
        <w:t xml:space="preserve">mediante la recolección de información en proximidad temporal a la utilización del servicio de salud, favoreciendo un reporte más cercano a la experiencia efectivamente vivida por la persona usuaria.</w:t>
      </w:r>
    </w:p>
    <w:p>
      <w:pPr>
        <w:numPr>
          <w:ilvl w:val="0"/>
          <w:numId w:val="1006"/>
        </w:numPr>
      </w:pPr>
      <w:r>
        <w:rPr>
          <w:i/>
          <w:iCs/>
        </w:rPr>
        <w:t xml:space="preserve">Producir estimaciones para los principales dominios de interés</w:t>
      </w:r>
      <w:r>
        <w:t xml:space="preserve"> </w:t>
      </w:r>
      <w:r>
        <w:t xml:space="preserve">de la operación, incluyendo características sociodemográficas, de afiliación, territoriales y relacionadas con el tipo de servicio utilizado, siempre que los niveles de precisión y confiabilidad estadística permitan sustentar dichas desagregaciones.</w:t>
      </w:r>
    </w:p>
    <w:p>
      <w:pPr>
        <w:numPr>
          <w:ilvl w:val="0"/>
          <w:numId w:val="1006"/>
        </w:numPr>
      </w:pPr>
      <w:r>
        <w:rPr>
          <w:i/>
          <w:iCs/>
        </w:rPr>
        <w:t xml:space="preserve">Mantener la comparabilidad temporal de los principales indicadores</w:t>
      </w:r>
      <w:r>
        <w:t xml:space="preserve"> </w:t>
      </w:r>
      <w:r>
        <w:t xml:space="preserve">de satisfacción y experiencia del usuario con las mediciones anteriores, preservando la continuidad conceptual y metodológica cuando resulte pertinente y documentando los cambios que puedan afectar la interpretación de las series.</w:t>
      </w:r>
    </w:p>
    <w:p>
      <w:pPr>
        <w:numPr>
          <w:ilvl w:val="0"/>
          <w:numId w:val="1006"/>
        </w:numPr>
      </w:pPr>
      <w:r>
        <w:rPr>
          <w:i/>
          <w:iCs/>
        </w:rPr>
        <w:t xml:space="preserve">Proporcionar información estadística pertinente para el seguimiento de la satisfacción y experiencia de los usuarios</w:t>
      </w:r>
      <w:r>
        <w:t xml:space="preserve">, que contribuya a la evaluación y al mejoramiento de las políticas, estrategias y acciones relacionadas con la calidad de los servicios de salud.</w:t>
      </w:r>
    </w:p>
    <w:bookmarkEnd w:id="48"/>
    <w:bookmarkEnd w:id="49"/>
    <w:bookmarkStart w:id="58" w:name="sec-alcance"/>
    <w:p>
      <w:pPr>
        <w:pStyle w:val="Heading1"/>
      </w:pPr>
      <w:r>
        <w:rPr>
          <w:rStyle w:val="SectionNumber"/>
        </w:rPr>
        <w:t xml:space="preserve">3</w:t>
      </w:r>
      <w:r>
        <w:tab/>
      </w:r>
      <w:r>
        <w:t xml:space="preserve">Alcance de la operación estadística</w:t>
      </w:r>
    </w:p>
    <w:p>
      <w:pPr>
        <w:pStyle w:val="FirstParagraph"/>
      </w:pPr>
      <w:r>
        <w:t xml:space="preserve">El alcance de ENUS 2026 delimita los fenómenos objeto de medición, la población a la que se refieren los resultados, las unidades de observación, la cobertura territorial y temporal, los servicios de salud considerados y los principales dominios de análisis. Estas definiciones establecen el ámbito de interpretación de los resultados y los límites de la información que puede producir la operación estadística.</w:t>
      </w:r>
    </w:p>
    <w:bookmarkStart w:id="50" w:name="sec-marco-conceptual"/>
    <w:p>
      <w:pPr>
        <w:pStyle w:val="Heading2"/>
      </w:pPr>
      <w:r>
        <w:rPr>
          <w:rStyle w:val="SectionNumber"/>
        </w:rPr>
        <w:t xml:space="preserve">3.1</w:t>
      </w:r>
      <w:r>
        <w:tab/>
      </w:r>
      <w:r>
        <w:t xml:space="preserve">Fenómenos objeto de medición</w:t>
      </w:r>
    </w:p>
    <w:p>
      <w:pPr>
        <w:pStyle w:val="FirstParagraph"/>
      </w:pPr>
      <w:r>
        <w:t xml:space="preserve">ENUS 2026 mide dos fenómenos relacionados pero conceptualmente diferenciados: la</w:t>
      </w:r>
      <w:r>
        <w:t xml:space="preserve"> </w:t>
      </w:r>
      <w:r>
        <w:rPr>
          <w:i/>
          <w:iCs/>
        </w:rPr>
        <w:t xml:space="preserve">satisfacción de las personas usuarias con los servicios de salud utilizados</w:t>
      </w:r>
      <w:r>
        <w:t xml:space="preserve"> </w:t>
      </w:r>
      <w:r>
        <w:t xml:space="preserve">y la</w:t>
      </w:r>
      <w:r>
        <w:t xml:space="preserve"> </w:t>
      </w:r>
      <w:r>
        <w:rPr>
          <w:i/>
          <w:iCs/>
        </w:rPr>
        <w:t xml:space="preserve">experiencia de las personas usuarias durante su interacción con dichos servicios</w:t>
      </w:r>
      <w:r>
        <w:t xml:space="preserve">.</w:t>
      </w:r>
    </w:p>
    <w:p>
      <w:pPr>
        <w:pStyle w:val="BodyText"/>
      </w:pPr>
      <w:r>
        <w:t xml:space="preserve">La</w:t>
      </w:r>
      <w:r>
        <w:t xml:space="preserve"> </w:t>
      </w:r>
      <w:r>
        <w:rPr>
          <w:i/>
          <w:iCs/>
        </w:rPr>
        <w:t xml:space="preserve">satisfacción</w:t>
      </w:r>
      <w:r>
        <w:t xml:space="preserve"> </w:t>
      </w:r>
      <w:r>
        <w:t xml:space="preserve">corresponde a la valoración general que realiza la persona usuaria sobre el servicio recibido, expresando su grado de conformidad con la atención proporcionada; es una medida global y retrospectiva, en continuidad con la serie histórica de mediciones del SGSSS (</w:t>
      </w:r>
      <w:r>
        <w:t xml:space="preserve">1</w:t>
      </w:r>
      <w:r>
        <w:t xml:space="preserve">).</w:t>
      </w:r>
    </w:p>
    <w:p>
      <w:pPr>
        <w:pStyle w:val="BodyText"/>
      </w:pPr>
      <w:r>
        <w:t xml:space="preserve">La</w:t>
      </w:r>
      <w:r>
        <w:t xml:space="preserve"> </w:t>
      </w:r>
      <w:r>
        <w:rPr>
          <w:i/>
          <w:iCs/>
        </w:rPr>
        <w:t xml:space="preserve">experiencia del usuario</w:t>
      </w:r>
      <w:r>
        <w:t xml:space="preserve"> </w:t>
      </w:r>
      <w:r>
        <w:t xml:space="preserve">comprende, en cambio, hechos concretos ocurridos durante la interacción con los servicios de salud —distintos de esa valoración global—. Los atributos observados en la aplicación de recolección de ENUS 2026 son el acceso (correspondiente a la accesibilidad exigida por el SOGCS), el tiempo de espera (correspondiente a la oportunidad exigida por el SOGCS,</w:t>
      </w:r>
      <w:r>
        <w:t xml:space="preserve"> </w:t>
      </w:r>
      <w:r>
        <w:t xml:space="preserve">1</w:t>
      </w:r>
      <w:r>
        <w:t xml:space="preserve">), la humanización del trato y la entrega de medicamentos.</w:t>
      </w:r>
    </w:p>
    <w:p>
      <w:pPr>
        <w:pStyle w:val="BodyText"/>
      </w:pPr>
      <w:r>
        <w:t xml:space="preserve">Ambos fenómenos se miden de manera complementaria: la satisfacción proporciona una valoración global de la atención recibida, mientras que los atributos de experiencia permiten caracterizar los aspectos concretos de la interacción que contribuyen a dicha valoración. Este enfoque combinado —valoración global junto con hechos concretos— sigue el mismo patrón que utilizan los referentes internacionales identificados en los antecedentes de este documento, en particular CAHPS (</w:t>
      </w:r>
      <w:r>
        <w:t xml:space="preserve">1</w:t>
      </w:r>
      <w:r>
        <w:t xml:space="preserve">).</w:t>
      </w:r>
    </w:p>
    <w:p>
      <w:pPr>
        <w:pStyle w:val="BodyText"/>
      </w:pPr>
      <w:r>
        <w:t xml:space="preserve">ENUS 2026 mide percepciones y valoraciones reportadas directamente por las personas usuarias. Por tanto, sus resultados no constituyen mediciones directas de resultados clínicos, desenlaces en salud, efectividad de los tratamientos ni de la calidad técnica de la atención, salvo en aquellos aspectos que sean explícitamente operacionalizados mediante el instrumento.</w:t>
      </w:r>
    </w:p>
    <w:bookmarkEnd w:id="50"/>
    <w:bookmarkStart w:id="51" w:name="sec-poblacion-objetivo"/>
    <w:p>
      <w:pPr>
        <w:pStyle w:val="Heading2"/>
      </w:pPr>
      <w:r>
        <w:rPr>
          <w:rStyle w:val="SectionNumber"/>
        </w:rPr>
        <w:t xml:space="preserve">3.2</w:t>
      </w:r>
      <w:r>
        <w:tab/>
      </w:r>
      <w:r>
        <w:t xml:space="preserve">Población objetivo</w:t>
      </w:r>
    </w:p>
    <w:p>
      <w:pPr>
        <w:pStyle w:val="FirstParagraph"/>
      </w:pPr>
      <w:r>
        <w:t xml:space="preserve">La población objetivo de ENUS 2026 está constituida por las</w:t>
      </w:r>
      <w:r>
        <w:t xml:space="preserve"> </w:t>
      </w:r>
      <w:r>
        <w:rPr>
          <w:i/>
          <w:iCs/>
        </w:rPr>
        <w:t xml:space="preserve">personas afiliadas al Sistema General de Seguridad Social en Salud (SGSSS) que hayan utilizado, durante alguno de los trimestres del año de referencia, al menos uno de los servicios de salud incluidos en el ámbito de medición de la encuesta</w:t>
      </w:r>
      <w:r>
        <w:t xml:space="preserve">.</w:t>
      </w:r>
    </w:p>
    <w:p>
      <w:pPr>
        <w:pStyle w:val="BodyText"/>
      </w:pPr>
      <w:r>
        <w:t xml:space="preserve">La población comprende las personas afiliadas a los regímenes considerados por el SGSSS, independientemente de su sexo, edad, territorio de residencia u otras características sociodemográficas. La utilización de un servicio de salud durante el año de referencia constituye la condición que vincula a la persona con el fenómeno objeto de medición, dado que las preguntas de satisfacción y experiencia se refieren a una atención o servicio efectivamente utilizado.</w:t>
      </w:r>
    </w:p>
    <w:p>
      <w:pPr>
        <w:pStyle w:val="BodyText"/>
      </w:pPr>
      <w:r>
        <w:t xml:space="preserve">Para efectos de la operación estadística, la identificación de las personas elegibles se realiza de manera continua durante el año, tomando como periodo de referencia para la utilización del servicio cada trimestre calendario. En consecuencia, para cada trimestre se consideran las personas que cumplen simultáneamente las siguientes condiciones:</w:t>
      </w:r>
    </w:p>
    <w:p>
      <w:pPr>
        <w:numPr>
          <w:ilvl w:val="0"/>
          <w:numId w:val="1007"/>
        </w:numPr>
      </w:pPr>
      <w:r>
        <w:rPr>
          <w:i/>
          <w:iCs/>
        </w:rPr>
        <w:t xml:space="preserve">Afiliación al SGSSS:</w:t>
      </w:r>
      <w:r>
        <w:t xml:space="preserve"> </w:t>
      </w:r>
      <w:r>
        <w:t xml:space="preserve">encontrarse afiliadas al Sistema General de Seguridad Social en Salud durante el periodo correspondiente a la utilización del servicio.</w:t>
      </w:r>
    </w:p>
    <w:p>
      <w:pPr>
        <w:numPr>
          <w:ilvl w:val="0"/>
          <w:numId w:val="1007"/>
        </w:numPr>
      </w:pPr>
      <w:r>
        <w:rPr>
          <w:i/>
          <w:iCs/>
        </w:rPr>
        <w:t xml:space="preserve">Utilización de servicios de salud:</w:t>
      </w:r>
      <w:r>
        <w:t xml:space="preserve"> </w:t>
      </w:r>
      <w:r>
        <w:t xml:space="preserve">haber utilizado al menos uno de los servicios de salud incluidos en el ámbito de ENUS 2026.</w:t>
      </w:r>
    </w:p>
    <w:p>
      <w:pPr>
        <w:numPr>
          <w:ilvl w:val="0"/>
          <w:numId w:val="1007"/>
        </w:numPr>
      </w:pPr>
      <w:r>
        <w:rPr>
          <w:i/>
          <w:iCs/>
        </w:rPr>
        <w:t xml:space="preserve">Periodo de referencia:</w:t>
      </w:r>
      <w:r>
        <w:t xml:space="preserve"> </w:t>
      </w:r>
      <w:r>
        <w:t xml:space="preserve">que la utilización del servicio haya ocurrido durante el trimestre correspondiente.</w:t>
      </w:r>
    </w:p>
    <w:p>
      <w:pPr>
        <w:pStyle w:val="FirstParagraph"/>
      </w:pPr>
      <w:r>
        <w:t xml:space="preserve">Los cuatro trimestres conforman el periodo anual de referencia de la operación. De esta manera, la recolección se desarrolla de forma continua a lo largo del año, mientras que la producción principal de resultados corresponde al</w:t>
      </w:r>
      <w:r>
        <w:t xml:space="preserve"> </w:t>
      </w:r>
      <w:r>
        <w:rPr>
          <w:i/>
          <w:iCs/>
        </w:rPr>
        <w:t xml:space="preserve">año de referencia</w:t>
      </w:r>
      <w:r>
        <w:t xml:space="preserve">, integrando la información recolectada durante sus respectivos periodos trimestrales.</w:t>
      </w:r>
    </w:p>
    <w:p>
      <w:pPr>
        <w:pStyle w:val="BodyText"/>
      </w:pPr>
      <w:r>
        <w:t xml:space="preserve">La identificación y selección de las personas pertenecientes a la población objetivo se realizará mediante los mecanismos de captación y verificación definidos para la operación estadística. Estos mecanismos podrán apoyarse en diferentes fuentes de información y herramientas tecnológicas y podrán modificarse durante el ciclo de vida de la encuesta sin alterar la definición conceptual de la población objetivo.</w:t>
      </w:r>
    </w:p>
    <w:p>
      <w:pPr>
        <w:pStyle w:val="BodyText"/>
      </w:pPr>
      <w:r>
        <w:t xml:space="preserve">La población efectivamente observada estará constituida por las personas de la población objetivo que sean captadas o seleccionadas mediante los procedimientos establecidos y que proporcionen información válida para la estimación de los indicadores.</w:t>
      </w:r>
    </w:p>
    <w:p>
      <w:pPr>
        <w:pStyle w:val="BodyText"/>
      </w:pPr>
      <w:r>
        <w:t xml:space="preserve">La definición de la población objetivo, los criterios de elegibilidad y los procedimientos de selección deberán garantizar que la información recolectada durante los cuatro trimestres permita producir estimaciones anuales representativas de la población objetivo del año correspondiente.</w:t>
      </w:r>
    </w:p>
    <w:bookmarkEnd w:id="51"/>
    <w:bookmarkStart w:id="52" w:name="unidad-de-observación"/>
    <w:p>
      <w:pPr>
        <w:pStyle w:val="Heading2"/>
      </w:pPr>
      <w:r>
        <w:rPr>
          <w:rStyle w:val="SectionNumber"/>
        </w:rPr>
        <w:t xml:space="preserve">3.3</w:t>
      </w:r>
      <w:r>
        <w:tab/>
      </w:r>
      <w:r>
        <w:t xml:space="preserve">Unidad de observación</w:t>
      </w:r>
    </w:p>
    <w:p>
      <w:pPr>
        <w:pStyle w:val="FirstParagraph"/>
      </w:pPr>
      <w:r>
        <w:t xml:space="preserve">La unidad de observación de ENUS 2026 es la persona afiliada al SGSSS que haya utilizado un servicio de salud incluido en el ámbito de la operación durante el periodo de referencia.</w:t>
      </w:r>
    </w:p>
    <w:p>
      <w:pPr>
        <w:pStyle w:val="BodyText"/>
      </w:pPr>
      <w:r>
        <w:t xml:space="preserve">La información recolectada corresponde a la satisfacción y experiencia reportadas por la persona respecto del servicio utilizado. Las EPS, IPS, gestores farmacéuticos y demás actores relacionados con la prestación de los servicios no constituyen unidades de observación.</w:t>
      </w:r>
    </w:p>
    <w:bookmarkEnd w:id="52"/>
    <w:bookmarkStart w:id="53" w:name="cobertura-territorial"/>
    <w:p>
      <w:pPr>
        <w:pStyle w:val="Heading2"/>
      </w:pPr>
      <w:r>
        <w:rPr>
          <w:rStyle w:val="SectionNumber"/>
        </w:rPr>
        <w:t xml:space="preserve">3.4</w:t>
      </w:r>
      <w:r>
        <w:tab/>
      </w:r>
      <w:r>
        <w:t xml:space="preserve">Cobertura territorial</w:t>
      </w:r>
    </w:p>
    <w:p>
      <w:pPr>
        <w:pStyle w:val="FirstParagraph"/>
      </w:pPr>
      <w:r>
        <w:t xml:space="preserve">ENUS 2026 tendrá cobertura nacional, con una distribución de la muestra que garantizará una cuota mínima de participación para cada región definida en la operación.</w:t>
      </w:r>
    </w:p>
    <w:p>
      <w:pPr>
        <w:pStyle w:val="BodyText"/>
      </w:pPr>
      <w:r>
        <w:t xml:space="preserve">La región constituye el nivel territorial mínimo previsto para la producción de resultados. La participación efectiva de los usuarios podrá permitir desagregaciones territoriales adicionales dentro de cada región, siempre que se alcance un número suficiente de observaciones y condiciones adecuadas de calidad estadística para su interpretación.</w:t>
      </w:r>
    </w:p>
    <w:bookmarkEnd w:id="53"/>
    <w:bookmarkStart w:id="54" w:name="Xfe14bab46cfed9899c18f7cf0a7e883fa421736"/>
    <w:p>
      <w:pPr>
        <w:pStyle w:val="Heading2"/>
      </w:pPr>
      <w:r>
        <w:rPr>
          <w:rStyle w:val="SectionNumber"/>
        </w:rPr>
        <w:t xml:space="preserve">3.5</w:t>
      </w:r>
      <w:r>
        <w:tab/>
      </w:r>
      <w:r>
        <w:t xml:space="preserve">Cobertura temporal y periodo de referencia</w:t>
      </w:r>
    </w:p>
    <w:p>
      <w:pPr>
        <w:pStyle w:val="FirstParagraph"/>
      </w:pPr>
      <w:r>
        <w:t xml:space="preserve">ENUS 2026 adopta un esquema de</w:t>
      </w:r>
      <w:r>
        <w:t xml:space="preserve"> </w:t>
      </w:r>
      <w:r>
        <w:rPr>
          <w:i/>
          <w:iCs/>
        </w:rPr>
        <w:t xml:space="preserve">recolección continua durante el año</w:t>
      </w:r>
      <w:r>
        <w:t xml:space="preserve">, organizado en cuatro periodos trimestrales de referencia.</w:t>
      </w:r>
    </w:p>
    <w:p>
      <w:pPr>
        <w:pStyle w:val="BodyText"/>
      </w:pPr>
      <w:r>
        <w:t xml:space="preserve">El periodo de referencia corresponde al</w:t>
      </w:r>
      <w:r>
        <w:t xml:space="preserve"> </w:t>
      </w:r>
      <w:r>
        <w:rPr>
          <w:i/>
          <w:iCs/>
        </w:rPr>
        <w:t xml:space="preserve">trimestre en el que la persona utilizó el servicio de salud</w:t>
      </w:r>
      <w:r>
        <w:t xml:space="preserve"> </w:t>
      </w:r>
      <w:r>
        <w:t xml:space="preserve">objeto de la medición. La satisfacción y experiencia reportadas se refieren a dicha utilización.</w:t>
      </w:r>
    </w:p>
    <w:p>
      <w:pPr>
        <w:pStyle w:val="BodyText"/>
      </w:pPr>
      <w:r>
        <w:t xml:space="preserve">La recolección continua permite aproximar el momento de la encuesta al momento de utilización del servicio, reduciendo el potencial efecto del recuerdo retrospectivo.</w:t>
      </w:r>
    </w:p>
    <w:p>
      <w:pPr>
        <w:pStyle w:val="BodyText"/>
      </w:pPr>
      <w:r>
        <w:t xml:space="preserve">Los resultados de ENUS 2026 se producirán con</w:t>
      </w:r>
      <w:r>
        <w:t xml:space="preserve"> </w:t>
      </w:r>
      <w:r>
        <w:rPr>
          <w:i/>
          <w:iCs/>
        </w:rPr>
        <w:t xml:space="preserve">periodicidad anual</w:t>
      </w:r>
      <w:r>
        <w:t xml:space="preserve">, integrando la información recolectada durante los cuatro trimestres del año de referencia.</w:t>
      </w:r>
    </w:p>
    <w:bookmarkEnd w:id="54"/>
    <w:bookmarkStart w:id="55" w:name="servicios-de-salud-objeto-de-medición"/>
    <w:p>
      <w:pPr>
        <w:pStyle w:val="Heading2"/>
      </w:pPr>
      <w:r>
        <w:rPr>
          <w:rStyle w:val="SectionNumber"/>
        </w:rPr>
        <w:t xml:space="preserve">3.6</w:t>
      </w:r>
      <w:r>
        <w:tab/>
      </w:r>
      <w:r>
        <w:t xml:space="preserve">Servicios de salud objeto de medición</w:t>
      </w:r>
    </w:p>
    <w:p>
      <w:pPr>
        <w:pStyle w:val="FirstParagraph"/>
      </w:pPr>
      <w:r>
        <w:t xml:space="preserve">ENUS 2026 mide la satisfacción y experiencia de las personas usuarias frente a los</w:t>
      </w:r>
      <w:r>
        <w:t xml:space="preserve"> </w:t>
      </w:r>
      <w:r>
        <w:rPr>
          <w:i/>
          <w:iCs/>
        </w:rPr>
        <w:t xml:space="preserve">servicios de salud incluidos en el ámbito de la operación</w:t>
      </w:r>
      <w:r>
        <w:t xml:space="preserve">.</w:t>
      </w:r>
    </w:p>
    <w:p>
      <w:pPr>
        <w:pStyle w:val="BodyText"/>
      </w:pPr>
      <w:r>
        <w:t xml:space="preserve">La medición se realiza de acuerdo con el tipo de servicio utilizado, de manera que el instrumento permita recoger las características específicas de la interacción de la persona con el sistema de salud.</w:t>
      </w:r>
    </w:p>
    <w:p>
      <w:pPr>
        <w:pStyle w:val="BodyText"/>
      </w:pPr>
      <w:r>
        <w:t xml:space="preserve">La clasificación de los servicios considerados y la asignación de las preguntas correspondientes hacen parte de la estructura del instrumento de recolección.</w:t>
      </w:r>
    </w:p>
    <w:bookmarkEnd w:id="55"/>
    <w:bookmarkStart w:id="56" w:name="dominios-de-análisis"/>
    <w:p>
      <w:pPr>
        <w:pStyle w:val="Heading2"/>
      </w:pPr>
      <w:r>
        <w:rPr>
          <w:rStyle w:val="SectionNumber"/>
        </w:rPr>
        <w:t xml:space="preserve">3.7</w:t>
      </w:r>
      <w:r>
        <w:tab/>
      </w:r>
      <w:r>
        <w:t xml:space="preserve">Dominios de análisis</w:t>
      </w:r>
    </w:p>
    <w:p>
      <w:pPr>
        <w:pStyle w:val="FirstParagraph"/>
      </w:pPr>
      <w:r>
        <w:t xml:space="preserve">ENUS 2026 contempla la producción de resultados para el</w:t>
      </w:r>
      <w:r>
        <w:t xml:space="preserve"> </w:t>
      </w:r>
      <w:r>
        <w:rPr>
          <w:i/>
          <w:iCs/>
        </w:rPr>
        <w:t xml:space="preserve">total nacional y para las regiones definidas en la operación</w:t>
      </w:r>
      <w:r>
        <w:t xml:space="preserve">, de acuerdo con las cuotas mínimas de participación establecidas para cada una.</w:t>
      </w:r>
    </w:p>
    <w:p>
      <w:pPr>
        <w:pStyle w:val="BodyText"/>
      </w:pPr>
      <w:r>
        <w:t xml:space="preserve">La información recolectada permitirá explorar desagregaciones adicionales según características de las personas usuarias, de su afiliación y del servicio utilizado. La disponibilidad de estas desagregaciones dependerá de la participación efectiva alcanzada en las categorías correspondientes y de las condiciones de calidad requeridas para su presentación e interpretación.</w:t>
      </w:r>
    </w:p>
    <w:p>
      <w:pPr>
        <w:pStyle w:val="BodyText"/>
      </w:pPr>
      <w:r>
        <w:t xml:space="preserve">Los principales resultados corresponderán a indicadores de</w:t>
      </w:r>
      <w:r>
        <w:t xml:space="preserve"> </w:t>
      </w:r>
      <w:r>
        <w:rPr>
          <w:i/>
          <w:iCs/>
        </w:rPr>
        <w:t xml:space="preserve">satisfacción y experiencia del usuario</w:t>
      </w:r>
      <w:r>
        <w:t xml:space="preserve">, tanto de manera general como para las dimensiones consideradas en el instrumento, de acuerdo con el tipo de servicio evaluado.</w:t>
      </w:r>
    </w:p>
    <w:bookmarkEnd w:id="56"/>
    <w:bookmarkStart w:id="57" w:name="límites-del-alcance"/>
    <w:p>
      <w:pPr>
        <w:pStyle w:val="Heading2"/>
      </w:pPr>
      <w:r>
        <w:rPr>
          <w:rStyle w:val="SectionNumber"/>
        </w:rPr>
        <w:t xml:space="preserve">3.8</w:t>
      </w:r>
      <w:r>
        <w:tab/>
      </w:r>
      <w:r>
        <w:t xml:space="preserve">Límites del alcance</w:t>
      </w:r>
    </w:p>
    <w:p>
      <w:pPr>
        <w:pStyle w:val="FirstParagraph"/>
      </w:pPr>
      <w:r>
        <w:t xml:space="preserve">El alcance de ENUS 2026 está determinado por la población objetivo, los servicios de salud incluidos, el instrumento de recolección y el diseño de la operación estadística.</w:t>
      </w:r>
    </w:p>
    <w:p>
      <w:pPr>
        <w:pStyle w:val="BodyText"/>
      </w:pPr>
      <w:r>
        <w:t xml:space="preserve">Los resultados corresponden a la</w:t>
      </w:r>
      <w:r>
        <w:t xml:space="preserve"> </w:t>
      </w:r>
      <w:r>
        <w:rPr>
          <w:i/>
          <w:iCs/>
        </w:rPr>
        <w:t xml:space="preserve">satisfacción y experiencia reportadas por las personas participantes</w:t>
      </w:r>
      <w:r>
        <w:t xml:space="preserve"> </w:t>
      </w:r>
      <w:r>
        <w:t xml:space="preserve">respecto de los servicios de salud utilizados. No constituyen una medición integral del desempeño del SGSSS ni sustituyen otras fuentes de información requeridas para evaluar resultados clínicos, desenlaces en salud, efectividad de tratamientos o calidad técnica de la atención.</w:t>
      </w:r>
    </w:p>
    <w:p>
      <w:pPr>
        <w:pStyle w:val="BodyText"/>
      </w:pPr>
      <w:r>
        <w:t xml:space="preserve">La cobertura mínima por región se establece mediante cuotas de participación. Las desagregaciones adicionales estarán condicionadas por la participación efectiva alcanzada y por criterios de suficiencia y calidad de la información.</w:t>
      </w:r>
    </w:p>
    <w:p>
      <w:pPr>
        <w:pStyle w:val="BodyText"/>
      </w:pPr>
      <w:r>
        <w:t xml:space="preserve">La Resolución 1642 de 2026 habilita la desagregación de los resultados de ENUS por EPS, institución prestadora, departamento, distrito y municipio, entre otros niveles</w:t>
      </w:r>
      <w:r>
        <w:t xml:space="preserve"> </w:t>
      </w:r>
      <w:r>
        <w:t xml:space="preserve">(</w:t>
      </w:r>
      <w:hyperlink w:anchor="ref-Resolucion1642_2026">
        <w:r>
          <w:rPr>
            <w:rStyle w:val="Hyperlink"/>
          </w:rPr>
          <w:t xml:space="preserve">Ministerio de Salud y Protección Social 2026</w:t>
        </w:r>
      </w:hyperlink>
      <w:r>
        <w:t xml:space="preserve">)</w:t>
      </w:r>
      <w:r>
        <w:t xml:space="preserve">. Esta habilitación normativa no debe confundirse con una garantía de precisión estadística en esos niveles: el diseño muestral de la operación solo asegura la precisión nominal a nivel de región; las desagregaciones por EPS, institución prestadora o municipio dependerán de la participación efectivamente alcanzada en cada categoría y podrán no ser publicables si no cumplen los criterios de suficiencia y calidad establecidos.</w:t>
      </w:r>
    </w:p>
    <w:p>
      <w:pPr>
        <w:pStyle w:val="BodyText"/>
      </w:pPr>
      <w:r>
        <w:t xml:space="preserve">Dado el carácter no probabilístico de la operación, las desagregaciones y resultados deberán interpretarse de acuerdo con el alcance del diseño de selección y con las condiciones bajo las cuales se obtuvo la información.</w:t>
      </w:r>
    </w:p>
    <w:bookmarkEnd w:id="57"/>
    <w:bookmarkEnd w:id="58"/>
    <w:bookmarkStart w:id="72" w:name="sec-diseno-muestral"/>
    <w:p>
      <w:pPr>
        <w:pStyle w:val="Heading1"/>
      </w:pPr>
      <w:r>
        <w:rPr>
          <w:rStyle w:val="SectionNumber"/>
        </w:rPr>
        <w:t xml:space="preserve">4</w:t>
      </w:r>
      <w:r>
        <w:tab/>
      </w:r>
      <w:r>
        <w:t xml:space="preserve">Diseño muestral</w:t>
      </w:r>
    </w:p>
    <w:p>
      <w:pPr>
        <w:pStyle w:val="FirstParagraph"/>
      </w:pPr>
      <w:r>
        <w:t xml:space="preserve">Este capítulo documenta formalmente el mecanismo mediante el cual se compone la muestra de usuarios de ENUS 2026: la naturaleza del diseño, la determinación del tamaño de muestra, la estructura de cuotas que distribuye ese tamaño entre los dominios de análisis y las celdas demográficas, y la distinción conceptual entre cuota, estrato, dominio y variable de calibración. Retoma la cadena de población desarrollada en el capítulo anterior (</w:t>
      </w:r>
      <w:r>
        <w:t xml:space="preserve">3.2</w:t>
      </w:r>
      <w:r>
        <w:t xml:space="preserve">) y la extiende hasta la conformación de la base analítica.</w:t>
      </w:r>
    </w:p>
    <w:bookmarkStart w:id="59" w:name="naturaleza-del-diseño"/>
    <w:p>
      <w:pPr>
        <w:pStyle w:val="Heading2"/>
      </w:pPr>
      <w:r>
        <w:rPr>
          <w:rStyle w:val="SectionNumber"/>
        </w:rPr>
        <w:t xml:space="preserve">4.1</w:t>
      </w:r>
      <w:r>
        <w:tab/>
      </w:r>
      <w:r>
        <w:t xml:space="preserve">Naturaleza del diseño</w:t>
      </w:r>
    </w:p>
    <w:p>
      <w:pPr>
        <w:pStyle w:val="FirstParagraph"/>
      </w:pPr>
      <w:r>
        <w:t xml:space="preserve">ENUS 2026 utiliza un</w:t>
      </w:r>
      <w:r>
        <w:t xml:space="preserve"> </w:t>
      </w:r>
      <w:r>
        <w:rPr>
          <w:i/>
          <w:iCs/>
        </w:rPr>
        <w:t xml:space="preserve">diseño de muestreo no probabilístico por cuotas</w:t>
      </w:r>
      <w:r>
        <w:t xml:space="preserve"> </w:t>
      </w:r>
      <w:r>
        <w:t xml:space="preserve">para la selección y composición de la muestra.</w:t>
      </w:r>
    </w:p>
    <w:p>
      <w:pPr>
        <w:pStyle w:val="BodyText"/>
      </w:pPr>
      <w:r>
        <w:t xml:space="preserve">La inclusión de las personas participantes no se basa en un mecanismo de selección aleatoria con probabilidades de inclusión conocidas. La participación se estructura mediante cuotas previamente definidas, orientadas a garantizar una composición mínima de la muestra en las regiones establecidas para la operación.</w:t>
      </w:r>
    </w:p>
    <w:p>
      <w:pPr>
        <w:pStyle w:val="BodyText"/>
      </w:pPr>
      <w:r>
        <w:t xml:space="preserve">En consecuencia, ENUS 2026 no corresponde a un diseño probabilístico y los procedimientos de estimación y análisis deben considerar las implicaciones derivadas de la ausencia de probabilidades de inclusión conocidas.</w:t>
      </w:r>
    </w:p>
    <w:p>
      <w:pPr>
        <w:pStyle w:val="BodyText"/>
      </w:pPr>
      <w:r>
        <w:t xml:space="preserve">Los mecanismos, canales y herramientas utilizados para la captación de participantes constituyen componentes operativos de la recolección y podrán modificarse durante el desarrollo de la operación sin alterar la naturaleza del diseño estadístico.</w:t>
      </w:r>
    </w:p>
    <w:p>
      <w:pPr>
        <w:pStyle w:val="BodyText"/>
      </w:pPr>
      <w:r>
        <w:t xml:space="preserve">De manera general, la operación comprende la siguiente secuencia:</w:t>
      </w:r>
    </w:p>
    <w:p>
      <w:pPr>
        <w:pStyle w:val="BlockText"/>
      </w:pPr>
      <w:r>
        <w:rPr>
          <w:i/>
          <w:iCs/>
        </w:rPr>
        <w:t xml:space="preserve">población objetivo → identificación de personas elegibles → captación → asignación a cuotas → participación → validación de la información → conformación de la base analítica → producción de resultados.</w:t>
      </w:r>
    </w:p>
    <w:p>
      <w:pPr>
        <w:pStyle w:val="FirstParagraph"/>
      </w:pPr>
      <w:r>
        <w:t xml:space="preserve">Los procedimientos específicos asociados con cada etapa se desarrollan en los capítulos correspondientes de diseño, recolección, procesamiento y estimación.</w:t>
      </w:r>
    </w:p>
    <w:bookmarkEnd w:id="59"/>
    <w:bookmarkStart w:id="64" w:name="sec-tamano-muestra"/>
    <w:p>
      <w:pPr>
        <w:pStyle w:val="Heading2"/>
      </w:pPr>
      <w:r>
        <w:rPr>
          <w:rStyle w:val="SectionNumber"/>
        </w:rPr>
        <w:t xml:space="preserve">4.2</w:t>
      </w:r>
      <w:r>
        <w:tab/>
      </w:r>
      <w:r>
        <w:t xml:space="preserve">Determinación del tamaño de muestra</w:t>
      </w:r>
    </w:p>
    <w:p>
      <w:pPr>
        <w:pStyle w:val="FirstParagraph"/>
      </w:pPr>
      <w:r>
        <w:t xml:space="preserve">El tamaño de muestra de ENUS 2026 se establece como un</w:t>
      </w:r>
      <w:r>
        <w:t xml:space="preserve"> </w:t>
      </w:r>
      <w:r>
        <w:rPr>
          <w:i/>
          <w:iCs/>
        </w:rPr>
        <w:t xml:space="preserve">tamaño objetivo de participación</w:t>
      </w:r>
      <w:r>
        <w:t xml:space="preserve"> </w:t>
      </w:r>
      <w:r>
        <w:t xml:space="preserve">para la operación y se define a partir de la población afiliada al SGSSS registrada en la Base de Datos Única de Afiliados (BDUA), con corte a marzo de 2026 (</w:t>
      </w:r>
      <m:oMath>
        <m:r>
          <m:t>N</m:t>
        </m:r>
        <m:r>
          <m:rPr>
            <m:sty m:val="p"/>
          </m:rPr>
          <m:t>=</m:t>
        </m:r>
        <m:r>
          <m:t>50</m:t>
        </m:r>
        <m:r>
          <m:rPr>
            <m:sty m:val="p"/>
          </m:rPr>
          <m:t>,</m:t>
        </m:r>
        <m:r>
          <m:t>168</m:t>
        </m:r>
        <m:r>
          <m:rPr>
            <m:sty m:val="p"/>
          </m:rPr>
          <m:t>,</m:t>
        </m:r>
        <m:r>
          <m:t>746</m:t>
        </m:r>
      </m:oMath>
      <w:r>
        <w:t xml:space="preserve"> </w:t>
      </w:r>
      <w:r>
        <w:t xml:space="preserve">personas).</w:t>
      </w:r>
    </w:p>
    <w:p>
      <w:pPr>
        <w:pStyle w:val="BodyText"/>
      </w:pPr>
      <w:r>
        <w:t xml:space="preserve">Este corte se utiliza como referencia para establecer el tamaño objetivo de la operación y la distribución de las cuotas regionales. Su utilización tiene carácter de parámetro de diseño y no implica que la BDUA constituya, por sí misma, un marco de selección probabilística.</w:t>
      </w:r>
    </w:p>
    <w:p>
      <w:pPr>
        <w:pStyle w:val="BodyText"/>
      </w:pPr>
      <w:r>
        <w:t xml:space="preserve">El tamaño objetivo se determina considerando los niveles de precisión deseados para los principales indicadores y las condiciones previstas para la distribución de la participación entre las regiones. Dado el carácter no probabilístico del diseño, estos tamaños no corresponden a tamaños de muestra probabilísticos asociados a probabilidades de inclusión conocidas ni permiten, por sí mismos, derivar márgenes de error bajo el enfoque clásico de muestreo probabilístico.</w:t>
      </w:r>
    </w:p>
    <w:p>
      <w:pPr>
        <w:pStyle w:val="BodyText"/>
      </w:pPr>
      <w:r>
        <w:t xml:space="preserve">La información de afiliación utilizada para la ponderación y calibración se actualizará con periodicidad trimestral, de acuerdo con el periodo de referencia correspondiente. Esta actualización permite que los procedimientos de ajuste de la composición de la muestra utilicen información poblacional consistente con el periodo de referencia, sin modificar el tamaño objetivo establecido para la operación.</w:t>
      </w:r>
    </w:p>
    <w:p>
      <w:pPr>
        <w:pStyle w:val="BodyText"/>
      </w:pPr>
      <w:r>
        <w:t xml:space="preserve">El procedimiento detallado para determinar el tamaño objetivo, distribuir las cuotas regionales y evaluar la suficiencia de la participación alcanzada se desarrolla en las secciones correspondientes al diseño de cuotas y a la ponderación y calibración.</w:t>
      </w:r>
    </w:p>
    <w:bookmarkStart w:id="60" w:name="fórmula"/>
    <w:p>
      <w:pPr>
        <w:pStyle w:val="Heading3"/>
      </w:pPr>
      <w:r>
        <w:rPr>
          <w:rStyle w:val="SectionNumber"/>
        </w:rPr>
        <w:t xml:space="preserve">4.2.1</w:t>
      </w:r>
      <w:r>
        <w:tab/>
      </w:r>
      <w:r>
        <w:t xml:space="preserve">Fórmula</w:t>
      </w:r>
    </w:p>
    <w:p>
      <w:pPr>
        <w:pStyle w:val="FirstParagraph"/>
      </w:pPr>
      <w:r>
        <w:t xml:space="preserve">Para una proporción de referencia</w:t>
      </w:r>
      <w:r>
        <w:t xml:space="preserve"> </w:t>
      </w:r>
      <m:oMath>
        <m:r>
          <m:t>P</m:t>
        </m:r>
      </m:oMath>
      <w:r>
        <w:t xml:space="preserve">, un nivel de confianza</w:t>
      </w:r>
      <w:r>
        <w:t xml:space="preserve"> </w:t>
      </w:r>
      <m:oMath>
        <m:r>
          <m:t>1</m:t>
        </m:r>
        <m:r>
          <m:rPr>
            <m:sty m:val="p"/>
          </m:rPr>
          <m:t>−</m:t>
        </m:r>
        <m:r>
          <m:t>α</m:t>
        </m:r>
      </m:oMath>
      <w:r>
        <w:t xml:space="preserve"> </w:t>
      </w:r>
      <w:r>
        <w:t xml:space="preserve">y un margen de error relativo</w:t>
      </w:r>
      <w:r>
        <w:t xml:space="preserve"> </w:t>
      </w:r>
      <m:oMath>
        <m:r>
          <m:t>M</m:t>
        </m:r>
        <m:r>
          <m:t>E</m:t>
        </m:r>
        <m:r>
          <m:t>R</m:t>
        </m:r>
      </m:oMath>
      <w:r>
        <w:t xml:space="preserve">, el tamaño de muestra bajo muestreo aleatorio simple es:</w:t>
      </w:r>
    </w:p>
    <w:p>
      <w:pPr>
        <w:pStyle w:val="BodyText"/>
      </w:pPr>
      <m:oMathPara>
        <m:oMathParaPr>
          <m:jc m:val="center"/>
        </m:oMathParaPr>
        <m:oMath>
          <m:sSub>
            <m:e>
              <m:r>
                <m:t>n</m:t>
              </m:r>
            </m:e>
            <m:sub>
              <m:r>
                <m:t>M</m:t>
              </m:r>
              <m:r>
                <m:t>A</m:t>
              </m:r>
              <m:r>
                <m:t>S</m:t>
              </m:r>
            </m:sub>
          </m:sSub>
          <m:r>
            <m:rPr>
              <m:sty m:val="p"/>
            </m:rPr>
            <m:t>=</m:t>
          </m:r>
          <m:f>
            <m:fPr>
              <m:type m:val="bar"/>
            </m:fPr>
            <m:num>
              <m:sSubSup>
                <m:e>
                  <m:r>
                    <m:t>Z</m:t>
                  </m:r>
                </m:e>
                <m:sub>
                  <m:r>
                    <m:t>1</m:t>
                  </m:r>
                  <m:r>
                    <m:rPr>
                      <m:sty m:val="p"/>
                    </m:rPr>
                    <m:t>−</m:t>
                  </m:r>
                  <m:r>
                    <m:t>α</m:t>
                  </m:r>
                  <m:r>
                    <m:rPr>
                      <m:sty m:val="p"/>
                    </m:rPr>
                    <m:t>/</m:t>
                  </m:r>
                  <m:r>
                    <m:t>2</m:t>
                  </m:r>
                </m:sub>
                <m:sup>
                  <m:r>
                    <m:t>2</m:t>
                  </m:r>
                </m:sup>
              </m:sSubSup>
              <m:r>
                <m:t> </m:t>
              </m:r>
              <m:r>
                <m:rPr>
                  <m:sty m:val="p"/>
                </m:rPr>
                <m:t>(</m:t>
              </m:r>
              <m:r>
                <m:t>1</m:t>
              </m:r>
              <m:r>
                <m:rPr>
                  <m:sty m:val="p"/>
                </m:rPr>
                <m:t>−</m:t>
              </m:r>
              <m:r>
                <m:t>P</m:t>
              </m:r>
              <m:r>
                <m:rPr>
                  <m:sty m:val="p"/>
                </m:rPr>
                <m:t>)</m:t>
              </m:r>
            </m:num>
            <m:den>
              <m:r>
                <m:t>M</m:t>
              </m:r>
              <m:r>
                <m:t>E</m:t>
              </m:r>
              <m:sSup>
                <m:e>
                  <m:r>
                    <m:t>R</m:t>
                  </m:r>
                </m:e>
                <m:sup>
                  <m:r>
                    <m:t>2</m:t>
                  </m:r>
                </m:sup>
              </m:sSup>
              <m:r>
                <m:t> </m:t>
              </m:r>
              <m:r>
                <m:t>P</m:t>
              </m:r>
            </m:den>
          </m:f>
        </m:oMath>
      </m:oMathPara>
    </w:p>
    <w:p>
      <w:pPr>
        <w:pStyle w:val="FirstParagraph"/>
      </w:pPr>
      <w:r>
        <w:t xml:space="preserve">Este tamaño se ajusta por el efecto de diseño (</w:t>
      </w:r>
      <m:oMath>
        <m:r>
          <m:t>D</m:t>
        </m:r>
        <m:r>
          <m:t>E</m:t>
        </m:r>
        <m:r>
          <m:t>F</m:t>
        </m:r>
        <m:r>
          <m:t>F</m:t>
        </m:r>
      </m:oMath>
      <w:r>
        <w:t xml:space="preserve">), que representa la pérdida de eficiencia del diseño complejo frente a un muestreo aleatorio simple:</w:t>
      </w:r>
    </w:p>
    <w:p>
      <w:pPr>
        <w:pStyle w:val="BodyText"/>
      </w:pPr>
      <m:oMathPara>
        <m:oMathParaPr>
          <m:jc m:val="center"/>
        </m:oMathParaPr>
        <m:oMath>
          <m:sSub>
            <m:e>
              <m:r>
                <m:t>n</m:t>
              </m:r>
            </m:e>
            <m:sub>
              <m:r>
                <m:t>D</m:t>
              </m:r>
              <m:r>
                <m:t>E</m:t>
              </m:r>
              <m:r>
                <m:t>F</m:t>
              </m:r>
              <m:r>
                <m:t>F</m:t>
              </m:r>
            </m:sub>
          </m:sSub>
          <m:r>
            <m:rPr>
              <m:sty m:val="p"/>
            </m:rPr>
            <m:t>=</m:t>
          </m:r>
          <m:sSub>
            <m:e>
              <m:r>
                <m:t>n</m:t>
              </m:r>
            </m:e>
            <m:sub>
              <m:r>
                <m:t>M</m:t>
              </m:r>
              <m:r>
                <m:t>A</m:t>
              </m:r>
              <m:r>
                <m:t>S</m:t>
              </m:r>
            </m:sub>
          </m:sSub>
          <m:r>
            <m:rPr>
              <m:sty m:val="p"/>
            </m:rPr>
            <m:t>×</m:t>
          </m:r>
          <m:r>
            <m:t>D</m:t>
          </m:r>
          <m:r>
            <m:t>E</m:t>
          </m:r>
          <m:r>
            <m:t>F</m:t>
          </m:r>
          <m:r>
            <m:t>F</m:t>
          </m:r>
        </m:oMath>
      </m:oMathPara>
    </w:p>
    <w:p>
      <w:pPr>
        <w:pStyle w:val="FirstParagraph"/>
      </w:pPr>
      <w:r>
        <w:t xml:space="preserve">y se corrige por población finita cuando el tamaño del dominio</w:t>
      </w:r>
      <w:r>
        <w:t xml:space="preserve"> </w:t>
      </w:r>
      <m:oMath>
        <m:r>
          <m:t>N</m:t>
        </m:r>
      </m:oMath>
      <w:r>
        <w:t xml:space="preserve"> </w:t>
      </w:r>
      <w:r>
        <w:t xml:space="preserve">lo amerita:</w:t>
      </w:r>
    </w:p>
    <w:p>
      <w:pPr>
        <w:pStyle w:val="BodyText"/>
      </w:pPr>
      <m:oMathPara>
        <m:oMathParaPr>
          <m:jc m:val="center"/>
        </m:oMathParaPr>
        <m:oMath>
          <m:sSub>
            <m:e>
              <m:r>
                <m:t>n</m:t>
              </m:r>
            </m:e>
            <m:sub>
              <m:r>
                <m:t>a</m:t>
              </m:r>
              <m:r>
                <m:t>j</m:t>
              </m:r>
              <m:r>
                <m:t>u</m:t>
              </m:r>
              <m:r>
                <m:t>s</m:t>
              </m:r>
              <m:r>
                <m:t>t</m:t>
              </m:r>
              <m:r>
                <m:t>a</m:t>
              </m:r>
              <m:r>
                <m:t>d</m:t>
              </m:r>
              <m:r>
                <m:t>o</m:t>
              </m:r>
            </m:sub>
          </m:sSub>
          <m:r>
            <m:rPr>
              <m:sty m:val="p"/>
            </m:rPr>
            <m:t>=</m:t>
          </m:r>
          <m:f>
            <m:fPr>
              <m:type m:val="bar"/>
            </m:fPr>
            <m:num>
              <m:sSub>
                <m:e>
                  <m:r>
                    <m:t>n</m:t>
                  </m:r>
                </m:e>
                <m:sub>
                  <m:r>
                    <m:t>D</m:t>
                  </m:r>
                  <m:r>
                    <m:t>E</m:t>
                  </m:r>
                  <m:r>
                    <m:t>F</m:t>
                  </m:r>
                  <m:r>
                    <m:t>F</m:t>
                  </m:r>
                </m:sub>
              </m:sSub>
            </m:num>
            <m:den>
              <m:r>
                <m:t>1</m:t>
              </m:r>
              <m:r>
                <m:rPr>
                  <m:sty m:val="p"/>
                </m:rPr>
                <m:t>+</m:t>
              </m:r>
              <m:sSub>
                <m:e>
                  <m:r>
                    <m:t>n</m:t>
                  </m:r>
                </m:e>
                <m:sub>
                  <m:r>
                    <m:t>D</m:t>
                  </m:r>
                  <m:r>
                    <m:t>E</m:t>
                  </m:r>
                  <m:r>
                    <m:t>F</m:t>
                  </m:r>
                  <m:r>
                    <m:t>F</m:t>
                  </m:r>
                </m:sub>
              </m:sSub>
              <m:r>
                <m:rPr>
                  <m:sty m:val="p"/>
                </m:rPr>
                <m:t>/</m:t>
              </m:r>
              <m:r>
                <m:t>N</m:t>
              </m:r>
            </m:den>
          </m:f>
        </m:oMath>
      </m:oMathPara>
    </w:p>
    <w:p>
      <w:pPr>
        <w:pStyle w:val="FirstParagraph"/>
      </w:pPr>
      <w:r>
        <w:t xml:space="preserve">Finalmente, se aplica un factor operativo</w:t>
      </w:r>
      <w:r>
        <w:t xml:space="preserve"> </w:t>
      </w:r>
      <m:oMath>
        <m:r>
          <m:t>f</m:t>
        </m:r>
      </m:oMath>
      <w:r>
        <w:t xml:space="preserve"> </w:t>
      </w:r>
      <w:r>
        <w:t xml:space="preserve">que ajusta anticipadamente por no respuesta, imposibilidad de contacto y registros inválidos, para obtener el tamaño de muestra efectivo —la meta de captación de la cuota—:</w:t>
      </w:r>
    </w:p>
    <w:p>
      <w:pPr>
        <w:pStyle w:val="BodyText"/>
      </w:pPr>
      <m:oMathPara>
        <m:oMathParaPr>
          <m:jc m:val="center"/>
        </m:oMathParaPr>
        <m:oMath>
          <m:sSub>
            <m:e>
              <m:r>
                <m:t>n</m:t>
              </m:r>
            </m:e>
            <m:sub>
              <m:r>
                <m:t>e</m:t>
              </m:r>
              <m:r>
                <m:t>f</m:t>
              </m:r>
              <m:r>
                <m:t>e</m:t>
              </m:r>
              <m:r>
                <m:t>c</m:t>
              </m:r>
              <m:r>
                <m:t>t</m:t>
              </m:r>
              <m:r>
                <m:t>i</m:t>
              </m:r>
              <m:r>
                <m:t>v</m:t>
              </m:r>
              <m:r>
                <m:t>o</m:t>
              </m:r>
            </m:sub>
          </m:sSub>
          <m:r>
            <m:rPr>
              <m:sty m:val="p"/>
            </m:rPr>
            <m:t>=</m:t>
          </m:r>
          <m:sSub>
            <m:e>
              <m:r>
                <m:t>n</m:t>
              </m:r>
            </m:e>
            <m:sub>
              <m:r>
                <m:t>a</m:t>
              </m:r>
              <m:r>
                <m:t>j</m:t>
              </m:r>
              <m:r>
                <m:t>u</m:t>
              </m:r>
              <m:r>
                <m:t>s</m:t>
              </m:r>
              <m:r>
                <m:t>t</m:t>
              </m:r>
              <m:r>
                <m:t>a</m:t>
              </m:r>
              <m:r>
                <m:t>d</m:t>
              </m:r>
              <m:r>
                <m:t>o</m:t>
              </m:r>
            </m:sub>
          </m:sSub>
          <m:r>
            <m:rPr>
              <m:sty m:val="p"/>
            </m:rPr>
            <m:t>×</m:t>
          </m:r>
          <m:r>
            <m:t>f</m:t>
          </m:r>
        </m:oMath>
      </m:oMathPara>
    </w:p>
    <w:bookmarkEnd w:id="60"/>
    <w:bookmarkStart w:id="61" w:name="parámetros-de-diseño"/>
    <w:p>
      <w:pPr>
        <w:pStyle w:val="Heading3"/>
      </w:pPr>
      <w:r>
        <w:rPr>
          <w:rStyle w:val="SectionNumber"/>
        </w:rPr>
        <w:t xml:space="preserve">4.2.2</w:t>
      </w:r>
      <w:r>
        <w:tab/>
      </w:r>
      <w:r>
        <w:t xml:space="preserve">Parámetros de diseño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Símbolo</w:t>
            </w:r>
          </w:p>
        </w:tc>
        <w:tc>
          <w:tcPr/>
          <w:p>
            <w:pPr>
              <w:pStyle w:val="Compact"/>
            </w:pPr>
            <w:r>
              <w:t xml:space="preserve">Valor</w:t>
            </w:r>
          </w:p>
        </w:tc>
      </w:tr>
      <w:tr>
        <w:tc>
          <w:tcPr/>
          <w:p>
            <w:pPr>
              <w:pStyle w:val="Compact"/>
            </w:pPr>
            <w:r>
              <w:t xml:space="preserve">Proporción de referencia (máxima varianza)</w:t>
            </w:r>
          </w:p>
        </w:tc>
        <w:tc>
          <w:tcPr/>
          <w:p>
            <w:pPr>
              <w:pStyle w:val="Compact"/>
            </w:pPr>
            <m:oMath>
              <m:r>
                <m:t>P</m:t>
              </m:r>
            </m:oMath>
          </w:p>
        </w:tc>
        <w:tc>
          <w:tcPr/>
          <w:p>
            <w:pPr>
              <w:pStyle w:val="Compact"/>
            </w:pPr>
            <w:r>
              <w:t xml:space="preserve">0,50</w:t>
            </w:r>
          </w:p>
        </w:tc>
      </w:tr>
      <w:tr>
        <w:tc>
          <w:tcPr/>
          <w:p>
            <w:pPr>
              <w:pStyle w:val="Compact"/>
            </w:pPr>
            <w:r>
              <w:t xml:space="preserve">Nivel de confianza</w:t>
            </w:r>
          </w:p>
        </w:tc>
        <w:tc>
          <w:tcPr/>
          <w:p>
            <w:pPr>
              <w:pStyle w:val="Compact"/>
            </w:pPr>
            <m:oMath>
              <m:r>
                <m:t>1</m:t>
              </m:r>
              <m:r>
                <m:rPr>
                  <m:sty m:val="p"/>
                </m:rPr>
                <m:t>−</m:t>
              </m:r>
              <m:r>
                <m:t>α</m:t>
              </m:r>
            </m:oMath>
          </w:p>
        </w:tc>
        <w:tc>
          <w:tcPr/>
          <w:p>
            <w:pPr>
              <w:pStyle w:val="Compact"/>
            </w:pPr>
            <w:r>
              <w:t xml:space="preserve">95 %</w:t>
            </w:r>
          </w:p>
        </w:tc>
      </w:tr>
      <w:tr>
        <w:tc>
          <w:tcPr/>
          <w:p>
            <w:pPr>
              <w:pStyle w:val="Compact"/>
            </w:pPr>
            <w:r>
              <w:t xml:space="preserve">Longitud total del intervalo de confianza</w:t>
            </w:r>
          </w:p>
        </w:tc>
        <w:tc>
          <w:tcPr/>
          <w:p>
            <w:pPr>
              <w:pStyle w:val="Compact"/>
            </w:pPr>
            <w:r>
              <w:t xml:space="preserve">—</w:t>
            </w:r>
          </w:p>
        </w:tc>
        <w:tc>
          <w:tcPr/>
          <w:p>
            <w:pPr>
              <w:pStyle w:val="Compact"/>
            </w:pPr>
            <w:r>
              <w:t xml:space="preserve">0,04</w:t>
            </w:r>
          </w:p>
        </w:tc>
      </w:tr>
      <w:tr>
        <w:tc>
          <w:tcPr/>
          <w:p>
            <w:pPr>
              <w:pStyle w:val="Compact"/>
            </w:pPr>
            <w:r>
              <w:t xml:space="preserve">Margen de error absoluto</w:t>
            </w:r>
          </w:p>
        </w:tc>
        <w:tc>
          <w:tcPr/>
          <w:p>
            <w:pPr>
              <w:pStyle w:val="Compact"/>
            </w:pPr>
            <m:oMath>
              <m:r>
                <m:t>M</m:t>
              </m:r>
              <m:r>
                <m:t>E</m:t>
              </m:r>
              <m:r>
                <m:rPr>
                  <m:sty m:val="p"/>
                </m:rPr>
                <m:t>=</m:t>
              </m:r>
              <m:sSub>
                <m:e>
                  <m:r>
                    <m:t>Z</m:t>
                  </m:r>
                </m:e>
                <m:sub>
                  <m:r>
                    <m:t>1</m:t>
                  </m:r>
                  <m:r>
                    <m:rPr>
                      <m:sty m:val="p"/>
                    </m:rPr>
                    <m:t>−</m:t>
                  </m:r>
                  <m:r>
                    <m:t>α</m:t>
                  </m:r>
                  <m:r>
                    <m:rPr>
                      <m:sty m:val="p"/>
                    </m:rPr>
                    <m:t>/</m:t>
                  </m:r>
                  <m:r>
                    <m:t>2</m:t>
                  </m:r>
                </m:sub>
              </m:sSub>
              <m:r>
                <m:rPr>
                  <m:sty m:val="p"/>
                </m:rPr>
                <m:t>×</m:t>
              </m:r>
              <m:r>
                <m:rPr>
                  <m:sty m:val="p"/>
                </m:rPr>
                <m:t>(</m:t>
              </m:r>
              <m:r>
                <m:rPr>
                  <m:nor/>
                  <m:sty m:val="p"/>
                </m:rPr>
                <m:t>longitud</m:t>
              </m:r>
              <m:r>
                <m:rPr>
                  <m:sty m:val="p"/>
                </m:rPr>
                <m:t>/</m:t>
              </m:r>
              <m:r>
                <m:t>2</m:t>
              </m:r>
              <m:r>
                <m:rPr>
                  <m:sty m:val="p"/>
                </m:rPr>
                <m:t>)</m:t>
              </m:r>
            </m:oMath>
          </w:p>
        </w:tc>
        <w:tc>
          <w:tcPr/>
          <w:p>
            <w:pPr>
              <w:pStyle w:val="Compact"/>
            </w:pPr>
            <w:r>
              <w:t xml:space="preserve">0,0392</w:t>
            </w:r>
          </w:p>
        </w:tc>
      </w:tr>
      <w:tr>
        <w:tc>
          <w:tcPr/>
          <w:p>
            <w:pPr>
              <w:pStyle w:val="Compact"/>
            </w:pPr>
            <w:r>
              <w:t xml:space="preserve">Margen de error relativo</w:t>
            </w:r>
          </w:p>
        </w:tc>
        <w:tc>
          <w:tcPr/>
          <w:p>
            <w:pPr>
              <w:pStyle w:val="Compact"/>
            </w:pPr>
            <m:oMath>
              <m:r>
                <m:t>M</m:t>
              </m:r>
              <m:r>
                <m:t>E</m:t>
              </m:r>
              <m:r>
                <m:t>R</m:t>
              </m:r>
              <m:r>
                <m:rPr>
                  <m:sty m:val="p"/>
                </m:rPr>
                <m:t>=</m:t>
              </m:r>
              <m:r>
                <m:t>M</m:t>
              </m:r>
              <m:r>
                <m:t>E</m:t>
              </m:r>
              <m:r>
                <m:rPr>
                  <m:sty m:val="p"/>
                </m:rPr>
                <m:t>/</m:t>
              </m:r>
              <m:r>
                <m:t>P</m:t>
              </m:r>
            </m:oMath>
          </w:p>
        </w:tc>
        <w:tc>
          <w:tcPr/>
          <w:p>
            <w:pPr>
              <w:pStyle w:val="Compact"/>
            </w:pPr>
            <w:r>
              <w:t xml:space="preserve">7,84 %</w:t>
            </w:r>
          </w:p>
        </w:tc>
      </w:tr>
      <w:tr>
        <w:tc>
          <w:tcPr/>
          <w:p>
            <w:pPr>
              <w:pStyle w:val="Compact"/>
            </w:pPr>
            <w:r>
              <w:t xml:space="preserve">Efecto de diseño aplicado</w:t>
            </w:r>
          </w:p>
        </w:tc>
        <w:tc>
          <w:tcPr/>
          <w:p>
            <w:pPr>
              <w:pStyle w:val="Compact"/>
            </w:pPr>
            <m:oMath>
              <m:r>
                <m:t>D</m:t>
              </m:r>
              <m:r>
                <m:t>E</m:t>
              </m:r>
              <m:r>
                <m:t>F</m:t>
              </m:r>
              <m:r>
                <m:t>F</m:t>
              </m:r>
            </m:oMath>
          </w:p>
        </w:tc>
        <w:tc>
          <w:tcPr/>
          <w:p>
            <w:pPr>
              <w:pStyle w:val="Compact"/>
            </w:pPr>
            <w:r>
              <w:t xml:space="preserve">1,5</w:t>
            </w:r>
          </w:p>
        </w:tc>
      </w:tr>
      <w:tr>
        <w:tc>
          <w:tcPr/>
          <w:p>
            <w:pPr>
              <w:pStyle w:val="Compact"/>
            </w:pPr>
            <w:r>
              <w:t xml:space="preserve">Factor operativo (ajuste por no respuesta)</w:t>
            </w:r>
          </w:p>
        </w:tc>
        <w:tc>
          <w:tcPr/>
          <w:p>
            <w:pPr>
              <w:pStyle w:val="Compact"/>
            </w:pPr>
            <m:oMath>
              <m:r>
                <m:t>f</m:t>
              </m:r>
            </m:oMath>
          </w:p>
        </w:tc>
        <w:tc>
          <w:tcPr/>
          <w:p>
            <w:pPr>
              <w:pStyle w:val="Compact"/>
            </w:pPr>
            <w:r>
              <w:t xml:space="preserve">1,4</w:t>
            </w:r>
          </w:p>
        </w:tc>
      </w:tr>
    </w:tbl>
    <w:p>
      <w:pPr>
        <w:pStyle w:val="BodyText"/>
      </w:pPr>
      <w:r>
        <w:t xml:space="preserve">Con estos parámetros,</w:t>
      </w:r>
      <w:r>
        <w:t xml:space="preserve"> </w:t>
      </w:r>
      <m:oMath>
        <m:sSub>
          <m:e>
            <m:r>
              <m:t>n</m:t>
            </m:r>
          </m:e>
          <m:sub>
            <m:r>
              <m:t>M</m:t>
            </m:r>
            <m:r>
              <m:t>A</m:t>
            </m:r>
            <m:r>
              <m:t>S</m:t>
            </m:r>
          </m:sub>
        </m:sSub>
        <m:r>
          <m:rPr>
            <m:sty m:val="p"/>
          </m:rPr>
          <m:t>≈</m:t>
        </m:r>
        <m:r>
          <m:t>625</m:t>
        </m:r>
      </m:oMath>
      <w:r>
        <w:t xml:space="preserve"> </w:t>
      </w:r>
      <w:r>
        <w:t xml:space="preserve">y</w:t>
      </w:r>
      <w:r>
        <w:t xml:space="preserve"> </w:t>
      </w:r>
      <m:oMath>
        <m:sSub>
          <m:e>
            <m:r>
              <m:t>n</m:t>
            </m:r>
          </m:e>
          <m:sub>
            <m:r>
              <m:t>D</m:t>
            </m:r>
            <m:r>
              <m:t>E</m:t>
            </m:r>
            <m:r>
              <m:t>F</m:t>
            </m:r>
            <m:r>
              <m:t>F</m:t>
            </m:r>
          </m:sub>
        </m:sSub>
        <m:r>
          <m:rPr>
            <m:sty m:val="p"/>
          </m:rPr>
          <m:t>=</m:t>
        </m:r>
        <m:r>
          <m:t>625</m:t>
        </m:r>
        <m:r>
          <m:rPr>
            <m:sty m:val="p"/>
          </m:rPr>
          <m:t>×</m:t>
        </m:r>
        <m:r>
          <m:t>1</m:t>
        </m:r>
        <m:r>
          <m:rPr>
            <m:sty m:val="p"/>
          </m:rPr>
          <m:t>,</m:t>
        </m:r>
        <m:r>
          <m:t>5</m:t>
        </m:r>
        <m:r>
          <m:rPr>
            <m:sty m:val="p"/>
          </m:rPr>
          <m:t>≈</m:t>
        </m:r>
        <m:r>
          <m:t>938</m:t>
        </m:r>
      </m:oMath>
      <w:r>
        <w:t xml:space="preserve">. Para la generalidad de los dominios —cuyo tamaño poblacional es del orden de cientos de miles a decenas de millones— la corrección por población finita es despreciable y</w:t>
      </w:r>
      <w:r>
        <w:t xml:space="preserve"> </w:t>
      </w:r>
      <m:oMath>
        <m:sSub>
          <m:e>
            <m:r>
              <m:t>n</m:t>
            </m:r>
          </m:e>
          <m:sub>
            <m:r>
              <m:t>a</m:t>
            </m:r>
            <m:r>
              <m:t>j</m:t>
            </m:r>
            <m:r>
              <m:t>u</m:t>
            </m:r>
            <m:r>
              <m:t>s</m:t>
            </m:r>
            <m:r>
              <m:t>t</m:t>
            </m:r>
            <m:r>
              <m:t>a</m:t>
            </m:r>
            <m:r>
              <m:t>d</m:t>
            </m:r>
            <m:r>
              <m:t>o</m:t>
            </m:r>
          </m:sub>
        </m:sSub>
        <m:r>
          <m:rPr>
            <m:sty m:val="p"/>
          </m:rPr>
          <m:t>≈</m:t>
        </m:r>
        <m:r>
          <m:t>938</m:t>
        </m:r>
      </m:oMath>
      <w:r>
        <w:t xml:space="preserve">; solo en el dominio más pequeño (Orinoquía-Amazonía, régimen contributivo,</w:t>
      </w:r>
      <w:r>
        <w:t xml:space="preserve"> </w:t>
      </w:r>
      <m:oMath>
        <m:r>
          <m:t>N</m:t>
        </m:r>
        <m:r>
          <m:rPr>
            <m:sty m:val="p"/>
          </m:rPr>
          <m:t>≈</m:t>
        </m:r>
        <m:r>
          <m:t>331</m:t>
        </m:r>
        <m:r>
          <m:t> </m:t>
        </m:r>
        <m:r>
          <m:t>029</m:t>
        </m:r>
      </m:oMath>
      <w:r>
        <w:t xml:space="preserve">) la corrección reduce el resultado a 935. El tamaño efectivo por dominio es entonces</w:t>
      </w:r>
      <w:r>
        <w:t xml:space="preserve"> </w:t>
      </w:r>
      <m:oMath>
        <m:sSub>
          <m:e>
            <m:r>
              <m:t>n</m:t>
            </m:r>
          </m:e>
          <m:sub>
            <m:r>
              <m:t>e</m:t>
            </m:r>
            <m:r>
              <m:t>f</m:t>
            </m:r>
            <m:r>
              <m:t>e</m:t>
            </m:r>
            <m:r>
              <m:t>c</m:t>
            </m:r>
            <m:r>
              <m:t>t</m:t>
            </m:r>
            <m:r>
              <m:t>i</m:t>
            </m:r>
            <m:r>
              <m:t>v</m:t>
            </m:r>
            <m:r>
              <m:t>o</m:t>
            </m:r>
          </m:sub>
        </m:sSub>
        <m:r>
          <m:rPr>
            <m:sty m:val="p"/>
          </m:rPr>
          <m:t>=</m:t>
        </m:r>
        <m:sSub>
          <m:e>
            <m:r>
              <m:t>n</m:t>
            </m:r>
          </m:e>
          <m:sub>
            <m:r>
              <m:t>a</m:t>
            </m:r>
            <m:r>
              <m:t>j</m:t>
            </m:r>
            <m:r>
              <m:t>u</m:t>
            </m:r>
            <m:r>
              <m:t>s</m:t>
            </m:r>
            <m:r>
              <m:t>t</m:t>
            </m:r>
            <m:r>
              <m:t>a</m:t>
            </m:r>
            <m:r>
              <m:t>d</m:t>
            </m:r>
            <m:r>
              <m:t>o</m:t>
            </m:r>
          </m:sub>
        </m:sSub>
        <m:r>
          <m:rPr>
            <m:sty m:val="p"/>
          </m:rPr>
          <m:t>×</m:t>
        </m:r>
        <m:r>
          <m:t>1</m:t>
        </m:r>
        <m:r>
          <m:rPr>
            <m:sty m:val="p"/>
          </m:rPr>
          <m:t>,</m:t>
        </m:r>
        <m:r>
          <m:t>4</m:t>
        </m:r>
      </m:oMath>
      <w:r>
        <w:t xml:space="preserve">, es decir, del orden de 1 309 a 1 313 encuestas por dominio.</w:t>
      </w:r>
    </w:p>
    <w:p>
      <w:pPr>
        <w:pStyle w:val="BodyText"/>
      </w:pPr>
      <w:r>
        <w:t xml:space="preserve">Este resultado debe leerse como el</w:t>
      </w:r>
      <w:r>
        <w:t xml:space="preserve"> </w:t>
      </w:r>
      <w:r>
        <w:rPr>
          <w:b/>
          <w:bCs/>
        </w:rPr>
        <w:t xml:space="preserve">tamaño objetivo (meta) de cada cuota</w:t>
      </w:r>
      <w:r>
        <w:t xml:space="preserve">, y no como el resultado de un cálculo de precisión bajo selección aleatoria: la fórmula se utiliza para fijar una meta de captación con una precisión nominal deseada, no para certificar que esa precisión se alcanza mediante un mecanismo probabilístico —lo cual sería inconsistente con la naturaleza del diseño (</w:t>
      </w:r>
      <w:r>
        <w:t xml:space="preserve">4</w:t>
      </w:r>
      <w:r>
        <w:t xml:space="preserve">).</w:t>
      </w:r>
    </w:p>
    <w:bookmarkEnd w:id="61"/>
    <w:bookmarkStart w:id="62" w:name="resultado-por-nivel-de-dominio"/>
    <w:p>
      <w:pPr>
        <w:pStyle w:val="Heading3"/>
      </w:pPr>
      <w:r>
        <w:rPr>
          <w:rStyle w:val="SectionNumber"/>
        </w:rPr>
        <w:t xml:space="preserve">4.2.3</w:t>
      </w:r>
      <w:r>
        <w:tab/>
      </w:r>
      <w:r>
        <w:t xml:space="preserve">Resultado por nivel de dominio</w:t>
      </w:r>
    </w:p>
    <w:p>
      <w:pPr>
        <w:pStyle w:val="FirstParagraph"/>
      </w:pPr>
      <w:r>
        <w:t xml:space="preserve">La fórmula se evalúa, con los mismos parámetros, sobre cuatro niveles de dominio: nacional, región (6 categorías), régimen (2 categorías) y región × régimen (12 categorías). El resultado es prácticamente el mismo (≈1 313 encuestas) en todos los dominios, salvo en los de menor tamaño poblacional:</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Dominio</w:t>
            </w:r>
          </w:p>
        </w:tc>
        <w:tc>
          <w:tcPr/>
          <w:p>
            <w:pPr>
              <w:pStyle w:val="Compact"/>
            </w:pPr>
            <w:r>
              <w:t xml:space="preserve">Nivel</w:t>
            </w:r>
          </w:p>
        </w:tc>
        <w:tc>
          <w:tcPr/>
          <w:p>
            <w:pPr>
              <w:pStyle w:val="Compact"/>
              <w:jc w:val="right"/>
            </w:pPr>
            <m:oMath>
              <m:r>
                <m:t>N</m:t>
              </m:r>
            </m:oMath>
          </w:p>
        </w:tc>
        <w:tc>
          <w:tcPr/>
          <w:p>
            <w:pPr>
              <w:pStyle w:val="Compact"/>
              <w:jc w:val="right"/>
            </w:pPr>
            <m:oMath>
              <m:sSub>
                <m:e>
                  <m:r>
                    <m:t>n</m:t>
                  </m:r>
                </m:e>
                <m:sub>
                  <m:r>
                    <m:t>D</m:t>
                  </m:r>
                  <m:r>
                    <m:t>E</m:t>
                  </m:r>
                  <m:r>
                    <m:t>F</m:t>
                  </m:r>
                  <m:r>
                    <m:t>F</m:t>
                  </m:r>
                </m:sub>
              </m:sSub>
            </m:oMath>
          </w:p>
        </w:tc>
        <w:tc>
          <w:tcPr/>
          <w:p>
            <w:pPr>
              <w:pStyle w:val="Compact"/>
              <w:jc w:val="right"/>
            </w:pPr>
            <m:oMath>
              <m:sSub>
                <m:e>
                  <m:r>
                    <m:t>n</m:t>
                  </m:r>
                </m:e>
                <m:sub>
                  <m:r>
                    <m:t>e</m:t>
                  </m:r>
                  <m:r>
                    <m:t>f</m:t>
                  </m:r>
                  <m:r>
                    <m:t>e</m:t>
                  </m:r>
                  <m:r>
                    <m:t>c</m:t>
                  </m:r>
                  <m:r>
                    <m:t>t</m:t>
                  </m:r>
                  <m:r>
                    <m:t>i</m:t>
                  </m:r>
                  <m:r>
                    <m:t>v</m:t>
                  </m:r>
                  <m:r>
                    <m:t>o</m:t>
                  </m:r>
                </m:sub>
              </m:sSub>
            </m:oMath>
          </w:p>
        </w:tc>
      </w:tr>
      <w:tr>
        <w:tc>
          <w:tcPr/>
          <w:p>
            <w:pPr>
              <w:pStyle w:val="Compact"/>
            </w:pPr>
            <w:r>
              <w:t xml:space="preserve">Nacional</w:t>
            </w:r>
          </w:p>
        </w:tc>
        <w:tc>
          <w:tcPr/>
          <w:p>
            <w:pPr>
              <w:pStyle w:val="Compact"/>
            </w:pPr>
            <w:r>
              <w:t xml:space="preserve">Nacional</w:t>
            </w:r>
          </w:p>
        </w:tc>
        <w:tc>
          <w:tcPr/>
          <w:p>
            <w:pPr>
              <w:pStyle w:val="Compact"/>
              <w:jc w:val="right"/>
            </w:pPr>
            <w:r>
              <w:t xml:space="preserve">50 168 746</w:t>
            </w:r>
          </w:p>
        </w:tc>
        <w:tc>
          <w:tcPr/>
          <w:p>
            <w:pPr>
              <w:pStyle w:val="Compact"/>
              <w:jc w:val="right"/>
            </w:pPr>
            <w:r>
              <w:t xml:space="preserve">938</w:t>
            </w:r>
          </w:p>
        </w:tc>
        <w:tc>
          <w:tcPr/>
          <w:p>
            <w:pPr>
              <w:pStyle w:val="Compact"/>
              <w:jc w:val="right"/>
            </w:pPr>
            <w:r>
              <w:t xml:space="preserve">1 313,2</w:t>
            </w:r>
          </w:p>
        </w:tc>
      </w:tr>
      <w:tr>
        <w:tc>
          <w:tcPr/>
          <w:p>
            <w:pPr>
              <w:pStyle w:val="Compact"/>
            </w:pPr>
            <w:r>
              <w:t xml:space="preserve">Bogotá</w:t>
            </w:r>
          </w:p>
        </w:tc>
        <w:tc>
          <w:tcPr/>
          <w:p>
            <w:pPr>
              <w:pStyle w:val="Compact"/>
            </w:pPr>
            <w:r>
              <w:t xml:space="preserve">Región</w:t>
            </w:r>
          </w:p>
        </w:tc>
        <w:tc>
          <w:tcPr/>
          <w:p>
            <w:pPr>
              <w:pStyle w:val="Compact"/>
              <w:jc w:val="right"/>
            </w:pPr>
            <w:r>
              <w:t xml:space="preserve">7 780 253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Caribe</w:t>
            </w:r>
          </w:p>
        </w:tc>
        <w:tc>
          <w:tcPr/>
          <w:p>
            <w:pPr>
              <w:pStyle w:val="Compact"/>
            </w:pPr>
            <w:r>
              <w:t xml:space="preserve">Región</w:t>
            </w:r>
          </w:p>
        </w:tc>
        <w:tc>
          <w:tcPr/>
          <w:p>
            <w:pPr>
              <w:pStyle w:val="Compact"/>
              <w:jc w:val="right"/>
            </w:pPr>
            <w:r>
              <w:t xml:space="preserve">11 666 255</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Central</w:t>
            </w:r>
          </w:p>
        </w:tc>
        <w:tc>
          <w:tcPr/>
          <w:p>
            <w:pPr>
              <w:pStyle w:val="Compact"/>
            </w:pPr>
            <w:r>
              <w:t xml:space="preserve">Región</w:t>
            </w:r>
          </w:p>
        </w:tc>
        <w:tc>
          <w:tcPr/>
          <w:p>
            <w:pPr>
              <w:pStyle w:val="Compact"/>
              <w:jc w:val="right"/>
            </w:pPr>
            <w:r>
              <w:t xml:space="preserve">12 414 228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Oriental</w:t>
            </w:r>
          </w:p>
        </w:tc>
        <w:tc>
          <w:tcPr/>
          <w:p>
            <w:pPr>
              <w:pStyle w:val="Compact"/>
            </w:pPr>
            <w:r>
              <w:t xml:space="preserve">Región</w:t>
            </w:r>
          </w:p>
        </w:tc>
        <w:tc>
          <w:tcPr/>
          <w:p>
            <w:pPr>
              <w:pStyle w:val="Compact"/>
              <w:jc w:val="right"/>
            </w:pPr>
            <w:r>
              <w:t xml:space="preserve">9 033 646</w:t>
            </w:r>
          </w:p>
        </w:tc>
        <w:tc>
          <w:tcPr/>
          <w:p>
            <w:pPr>
              <w:pStyle w:val="Compact"/>
              <w:jc w:val="right"/>
            </w:pPr>
            <w:r>
              <w:t xml:space="preserve">938</w:t>
            </w:r>
          </w:p>
        </w:tc>
        <w:tc>
          <w:tcPr/>
          <w:p>
            <w:pPr>
              <w:pStyle w:val="Compact"/>
              <w:jc w:val="right"/>
            </w:pPr>
            <w:r>
              <w:t xml:space="preserve">1 313,2</w:t>
            </w:r>
          </w:p>
        </w:tc>
      </w:tr>
      <w:tr>
        <w:tc>
          <w:tcPr/>
          <w:p>
            <w:pPr>
              <w:pStyle w:val="Compact"/>
            </w:pPr>
            <w:r>
              <w:t xml:space="preserve">Pacífica</w:t>
            </w:r>
          </w:p>
        </w:tc>
        <w:tc>
          <w:tcPr/>
          <w:p>
            <w:pPr>
              <w:pStyle w:val="Compact"/>
            </w:pPr>
            <w:r>
              <w:t xml:space="preserve">Región</w:t>
            </w:r>
          </w:p>
        </w:tc>
        <w:tc>
          <w:tcPr/>
          <w:p>
            <w:pPr>
              <w:pStyle w:val="Compact"/>
              <w:jc w:val="right"/>
            </w:pPr>
            <w:r>
              <w:t xml:space="preserve">7 846 342</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Orinoquía-Amazonía</w:t>
            </w:r>
          </w:p>
        </w:tc>
        <w:tc>
          <w:tcPr/>
          <w:p>
            <w:pPr>
              <w:pStyle w:val="Compact"/>
            </w:pPr>
            <w:r>
              <w:t xml:space="preserve">Región</w:t>
            </w:r>
          </w:p>
        </w:tc>
        <w:tc>
          <w:tcPr/>
          <w:p>
            <w:pPr>
              <w:pStyle w:val="Compact"/>
              <w:jc w:val="right"/>
            </w:pPr>
            <w:r>
              <w:t xml:space="preserve">1 428 022</w:t>
            </w:r>
          </w:p>
        </w:tc>
        <w:tc>
          <w:tcPr/>
          <w:p>
            <w:pPr>
              <w:pStyle w:val="Compact"/>
              <w:jc w:val="right"/>
            </w:pPr>
            <w:r>
              <w:t xml:space="preserve">937</w:t>
            </w:r>
          </w:p>
        </w:tc>
        <w:tc>
          <w:tcPr/>
          <w:p>
            <w:pPr>
              <w:pStyle w:val="Compact"/>
              <w:jc w:val="right"/>
            </w:pPr>
            <w:r>
              <w:t xml:space="preserve">1 311,8</w:t>
            </w:r>
          </w:p>
        </w:tc>
      </w:tr>
      <w:tr>
        <w:tc>
          <w:tcPr/>
          <w:p>
            <w:pPr>
              <w:pStyle w:val="Compact"/>
            </w:pPr>
            <w:r>
              <w:t xml:space="preserve">Contributivo</w:t>
            </w:r>
          </w:p>
        </w:tc>
        <w:tc>
          <w:tcPr/>
          <w:p>
            <w:pPr>
              <w:pStyle w:val="Compact"/>
            </w:pPr>
            <w:r>
              <w:t xml:space="preserve">Régimen</w:t>
            </w:r>
          </w:p>
        </w:tc>
        <w:tc>
          <w:tcPr/>
          <w:p>
            <w:pPr>
              <w:pStyle w:val="Compact"/>
              <w:jc w:val="right"/>
            </w:pPr>
            <w:r>
              <w:t xml:space="preserve">23 224 623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Subsidiado</w:t>
            </w:r>
          </w:p>
        </w:tc>
        <w:tc>
          <w:tcPr/>
          <w:p>
            <w:pPr>
              <w:pStyle w:val="Compact"/>
            </w:pPr>
            <w:r>
              <w:t xml:space="preserve">Régimen</w:t>
            </w:r>
          </w:p>
        </w:tc>
        <w:tc>
          <w:tcPr/>
          <w:p>
            <w:pPr>
              <w:pStyle w:val="Compact"/>
              <w:jc w:val="right"/>
            </w:pPr>
            <w:r>
              <w:t xml:space="preserve">26 944 123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Bogotá × Contributivo</w:t>
            </w:r>
          </w:p>
        </w:tc>
        <w:tc>
          <w:tcPr/>
          <w:p>
            <w:pPr>
              <w:pStyle w:val="Compact"/>
            </w:pPr>
            <w:r>
              <w:t xml:space="preserve">Región × Régimen</w:t>
            </w:r>
          </w:p>
        </w:tc>
        <w:tc>
          <w:tcPr/>
          <w:p>
            <w:pPr>
              <w:pStyle w:val="Compact"/>
              <w:jc w:val="right"/>
            </w:pPr>
            <w:r>
              <w:t xml:space="preserve">5 969 975</w:t>
            </w:r>
          </w:p>
        </w:tc>
        <w:tc>
          <w:tcPr/>
          <w:p>
            <w:pPr>
              <w:pStyle w:val="Compact"/>
              <w:jc w:val="right"/>
            </w:pPr>
            <w:r>
              <w:t xml:space="preserve">938</w:t>
            </w:r>
          </w:p>
        </w:tc>
        <w:tc>
          <w:tcPr/>
          <w:p>
            <w:pPr>
              <w:pStyle w:val="Compact"/>
              <w:jc w:val="right"/>
            </w:pPr>
            <w:r>
              <w:t xml:space="preserve">1 313,2</w:t>
            </w:r>
          </w:p>
        </w:tc>
      </w:tr>
      <w:tr>
        <w:tc>
          <w:tcPr/>
          <w:p>
            <w:pPr>
              <w:pStyle w:val="Compact"/>
            </w:pPr>
            <w:r>
              <w:t xml:space="preserve">Bogotá × Subsidiado</w:t>
            </w:r>
          </w:p>
        </w:tc>
        <w:tc>
          <w:tcPr/>
          <w:p>
            <w:pPr>
              <w:pStyle w:val="Compact"/>
            </w:pPr>
            <w:r>
              <w:t xml:space="preserve">Región × Régimen</w:t>
            </w:r>
          </w:p>
        </w:tc>
        <w:tc>
          <w:tcPr/>
          <w:p>
            <w:pPr>
              <w:pStyle w:val="Compact"/>
              <w:jc w:val="right"/>
            </w:pPr>
            <w:r>
              <w:t xml:space="preserve">1 810 278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Caribe × Contributivo</w:t>
            </w:r>
          </w:p>
        </w:tc>
        <w:tc>
          <w:tcPr/>
          <w:p>
            <w:pPr>
              <w:pStyle w:val="Compact"/>
            </w:pPr>
            <w:r>
              <w:t xml:space="preserve">Región × Régimen</w:t>
            </w:r>
          </w:p>
        </w:tc>
        <w:tc>
          <w:tcPr/>
          <w:p>
            <w:pPr>
              <w:pStyle w:val="Compact"/>
              <w:jc w:val="right"/>
            </w:pPr>
            <w:r>
              <w:t xml:space="preserve">3 319 849</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Caribe × Subsidiado</w:t>
            </w:r>
          </w:p>
        </w:tc>
        <w:tc>
          <w:tcPr/>
          <w:p>
            <w:pPr>
              <w:pStyle w:val="Compact"/>
            </w:pPr>
            <w:r>
              <w:t xml:space="preserve">Región × Régimen</w:t>
            </w:r>
          </w:p>
        </w:tc>
        <w:tc>
          <w:tcPr/>
          <w:p>
            <w:pPr>
              <w:pStyle w:val="Compact"/>
              <w:jc w:val="right"/>
            </w:pPr>
            <w:r>
              <w:t xml:space="preserve">8 346 406</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Central × Contributivo</w:t>
            </w:r>
          </w:p>
        </w:tc>
        <w:tc>
          <w:tcPr/>
          <w:p>
            <w:pPr>
              <w:pStyle w:val="Compact"/>
            </w:pPr>
            <w:r>
              <w:t xml:space="preserve">Región × Régimen</w:t>
            </w:r>
          </w:p>
        </w:tc>
        <w:tc>
          <w:tcPr/>
          <w:p>
            <w:pPr>
              <w:pStyle w:val="Compact"/>
              <w:jc w:val="right"/>
            </w:pPr>
            <w:r>
              <w:t xml:space="preserve">6 354 613</w:t>
            </w:r>
          </w:p>
        </w:tc>
        <w:tc>
          <w:tcPr/>
          <w:p>
            <w:pPr>
              <w:pStyle w:val="Compact"/>
              <w:jc w:val="right"/>
            </w:pPr>
            <w:r>
              <w:t xml:space="preserve">938</w:t>
            </w:r>
          </w:p>
        </w:tc>
        <w:tc>
          <w:tcPr/>
          <w:p>
            <w:pPr>
              <w:pStyle w:val="Compact"/>
              <w:jc w:val="right"/>
            </w:pPr>
            <w:r>
              <w:t xml:space="preserve">1 313,2</w:t>
            </w:r>
          </w:p>
        </w:tc>
      </w:tr>
      <w:tr>
        <w:tc>
          <w:tcPr/>
          <w:p>
            <w:pPr>
              <w:pStyle w:val="Compact"/>
            </w:pPr>
            <w:r>
              <w:t xml:space="preserve">Central × Subsidiado</w:t>
            </w:r>
          </w:p>
        </w:tc>
        <w:tc>
          <w:tcPr/>
          <w:p>
            <w:pPr>
              <w:pStyle w:val="Compact"/>
            </w:pPr>
            <w:r>
              <w:t xml:space="preserve">Región × Régimen</w:t>
            </w:r>
          </w:p>
        </w:tc>
        <w:tc>
          <w:tcPr/>
          <w:p>
            <w:pPr>
              <w:pStyle w:val="Compact"/>
              <w:jc w:val="right"/>
            </w:pPr>
            <w:r>
              <w:t xml:space="preserve">6 059 615</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Oriental × Contributivo</w:t>
            </w:r>
          </w:p>
        </w:tc>
        <w:tc>
          <w:tcPr/>
          <w:p>
            <w:pPr>
              <w:pStyle w:val="Compact"/>
            </w:pPr>
            <w:r>
              <w:t xml:space="preserve">Región × Régimen</w:t>
            </w:r>
          </w:p>
        </w:tc>
        <w:tc>
          <w:tcPr/>
          <w:p>
            <w:pPr>
              <w:pStyle w:val="Compact"/>
              <w:jc w:val="right"/>
            </w:pPr>
            <w:r>
              <w:t xml:space="preserve">4 174 548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Oriental × Subsidiado</w:t>
            </w:r>
          </w:p>
        </w:tc>
        <w:tc>
          <w:tcPr/>
          <w:p>
            <w:pPr>
              <w:pStyle w:val="Compact"/>
            </w:pPr>
            <w:r>
              <w:t xml:space="preserve">Región × Régimen</w:t>
            </w:r>
          </w:p>
        </w:tc>
        <w:tc>
          <w:tcPr/>
          <w:p>
            <w:pPr>
              <w:pStyle w:val="Compact"/>
              <w:jc w:val="right"/>
            </w:pPr>
            <w:r>
              <w:t xml:space="preserve">4 859 098</w:t>
            </w:r>
          </w:p>
        </w:tc>
        <w:tc>
          <w:tcPr/>
          <w:p>
            <w:pPr>
              <w:pStyle w:val="Compact"/>
              <w:jc w:val="right"/>
            </w:pPr>
            <w:r>
              <w:t xml:space="preserve">938</w:t>
            </w:r>
          </w:p>
        </w:tc>
        <w:tc>
          <w:tcPr/>
          <w:p>
            <w:pPr>
              <w:pStyle w:val="Compact"/>
              <w:jc w:val="right"/>
            </w:pPr>
            <w:r>
              <w:t xml:space="preserve">1 313,2</w:t>
            </w:r>
          </w:p>
        </w:tc>
      </w:tr>
      <w:tr>
        <w:tc>
          <w:tcPr/>
          <w:p>
            <w:pPr>
              <w:pStyle w:val="Compact"/>
            </w:pPr>
            <w:r>
              <w:t xml:space="preserve">Orinoquía-Amazonía × Contributivo</w:t>
            </w:r>
          </w:p>
        </w:tc>
        <w:tc>
          <w:tcPr/>
          <w:p>
            <w:pPr>
              <w:pStyle w:val="Compact"/>
            </w:pPr>
            <w:r>
              <w:t xml:space="preserve">Región × Régimen</w:t>
            </w:r>
          </w:p>
        </w:tc>
        <w:tc>
          <w:tcPr/>
          <w:p>
            <w:pPr>
              <w:pStyle w:val="Compact"/>
              <w:jc w:val="right"/>
            </w:pPr>
            <w:r>
              <w:t xml:space="preserve">331 029</w:t>
            </w:r>
          </w:p>
        </w:tc>
        <w:tc>
          <w:tcPr/>
          <w:p>
            <w:pPr>
              <w:pStyle w:val="Compact"/>
              <w:jc w:val="right"/>
            </w:pPr>
            <w:r>
              <w:t xml:space="preserve">935</w:t>
            </w:r>
          </w:p>
        </w:tc>
        <w:tc>
          <w:tcPr/>
          <w:p>
            <w:pPr>
              <w:pStyle w:val="Compact"/>
              <w:jc w:val="right"/>
            </w:pPr>
            <w:r>
              <w:t xml:space="preserve">1 309,0</w:t>
            </w:r>
          </w:p>
        </w:tc>
      </w:tr>
      <w:tr>
        <w:tc>
          <w:tcPr/>
          <w:p>
            <w:pPr>
              <w:pStyle w:val="Compact"/>
            </w:pPr>
            <w:r>
              <w:t xml:space="preserve">Orinoquía-Amazonía × Subsidiado</w:t>
            </w:r>
          </w:p>
        </w:tc>
        <w:tc>
          <w:tcPr/>
          <w:p>
            <w:pPr>
              <w:pStyle w:val="Compact"/>
            </w:pPr>
            <w:r>
              <w:t xml:space="preserve">Región × Régimen</w:t>
            </w:r>
          </w:p>
        </w:tc>
        <w:tc>
          <w:tcPr/>
          <w:p>
            <w:pPr>
              <w:pStyle w:val="Compact"/>
              <w:jc w:val="right"/>
            </w:pPr>
            <w:r>
              <w:t xml:space="preserve">1 096 993</w:t>
            </w:r>
          </w:p>
        </w:tc>
        <w:tc>
          <w:tcPr/>
          <w:p>
            <w:pPr>
              <w:pStyle w:val="Compact"/>
              <w:jc w:val="right"/>
            </w:pPr>
            <w:r>
              <w:t xml:space="preserve">937</w:t>
            </w:r>
          </w:p>
        </w:tc>
        <w:tc>
          <w:tcPr/>
          <w:p>
            <w:pPr>
              <w:pStyle w:val="Compact"/>
              <w:jc w:val="right"/>
            </w:pPr>
            <w:r>
              <w:t xml:space="preserve">1 311,8</w:t>
            </w:r>
          </w:p>
        </w:tc>
      </w:tr>
      <w:tr>
        <w:tc>
          <w:tcPr/>
          <w:p>
            <w:pPr>
              <w:pStyle w:val="Compact"/>
            </w:pPr>
            <w:r>
              <w:t xml:space="preserve">Pacífica × Contributivo</w:t>
            </w:r>
          </w:p>
        </w:tc>
        <w:tc>
          <w:tcPr/>
          <w:p>
            <w:pPr>
              <w:pStyle w:val="Compact"/>
            </w:pPr>
            <w:r>
              <w:t xml:space="preserve">Región × Régimen</w:t>
            </w:r>
          </w:p>
        </w:tc>
        <w:tc>
          <w:tcPr/>
          <w:p>
            <w:pPr>
              <w:pStyle w:val="Compact"/>
              <w:jc w:val="right"/>
            </w:pPr>
            <w:r>
              <w:t xml:space="preserve">3 074 609</w:t>
            </w:r>
          </w:p>
        </w:tc>
        <w:tc>
          <w:tcPr/>
          <w:p>
            <w:pPr>
              <w:pStyle w:val="Compact"/>
              <w:jc w:val="right"/>
            </w:pPr>
            <w:r>
              <w:t xml:space="preserve">938</w:t>
            </w:r>
          </w:p>
        </w:tc>
        <w:tc>
          <w:tcPr/>
          <w:p>
            <w:pPr>
              <w:pStyle w:val="Compact"/>
              <w:jc w:val="right"/>
            </w:pPr>
            <w:r>
              <w:t xml:space="preserve">1 313,2</w:t>
            </w:r>
          </w:p>
        </w:tc>
      </w:tr>
      <w:tr>
        <w:tc>
          <w:tcPr/>
          <w:p>
            <w:pPr>
              <w:pStyle w:val="Compact"/>
            </w:pPr>
            <w:r>
              <w:t xml:space="preserve">Pacífica × Subsidiado</w:t>
            </w:r>
          </w:p>
        </w:tc>
        <w:tc>
          <w:tcPr/>
          <w:p>
            <w:pPr>
              <w:pStyle w:val="Compact"/>
            </w:pPr>
            <w:r>
              <w:t xml:space="preserve">Región × Régimen</w:t>
            </w:r>
          </w:p>
        </w:tc>
        <w:tc>
          <w:tcPr/>
          <w:p>
            <w:pPr>
              <w:pStyle w:val="Compact"/>
              <w:jc w:val="right"/>
            </w:pPr>
            <w:r>
              <w:t xml:space="preserve">4 771 733</w:t>
            </w:r>
          </w:p>
        </w:tc>
        <w:tc>
          <w:tcPr/>
          <w:p>
            <w:pPr>
              <w:pStyle w:val="Compact"/>
              <w:jc w:val="right"/>
            </w:pPr>
            <w:r>
              <w:t xml:space="preserve">938</w:t>
            </w:r>
          </w:p>
        </w:tc>
        <w:tc>
          <w:tcPr/>
          <w:p>
            <w:pPr>
              <w:pStyle w:val="Compact"/>
              <w:jc w:val="right"/>
            </w:pPr>
            <w:r>
              <w:t xml:space="preserve">1 313,2</w:t>
            </w:r>
          </w:p>
        </w:tc>
      </w:tr>
    </w:tbl>
    <w:bookmarkEnd w:id="62"/>
    <w:bookmarkStart w:id="63" w:name="X823e265342f637b97a1105eff9c7f3bc84c6b21"/>
    <w:p>
      <w:pPr>
        <w:pStyle w:val="Heading3"/>
      </w:pPr>
      <w:r>
        <w:rPr>
          <w:rStyle w:val="SectionNumber"/>
        </w:rPr>
        <w:t xml:space="preserve">4.2.4</w:t>
      </w:r>
      <w:r>
        <w:tab/>
      </w:r>
      <w:r>
        <w:t xml:space="preserve">Tamaño adoptado: por qué la suma regional y no el cálculo nacional ni el cruce región × régimen</w:t>
      </w:r>
    </w:p>
    <w:p>
      <w:pPr>
        <w:pStyle w:val="FirstParagraph"/>
      </w:pPr>
      <w:r>
        <w:t xml:space="preserve">El resultado a nivel</w:t>
      </w:r>
      <w:r>
        <w:t xml:space="preserve"> </w:t>
      </w:r>
      <w:r>
        <w:rPr>
          <w:b/>
          <w:bCs/>
        </w:rPr>
        <w:t xml:space="preserve">nacional</w:t>
      </w:r>
      <w:r>
        <w:t xml:space="preserve"> </w:t>
      </w:r>
      <w:r>
        <w:t xml:space="preserve">de la tabla anterior (1 313 encuestas) no es el tamaño adoptado para la operación: ese valor solo garantizaría la precisión nominal para una estimación agregada del país completo, sin desagregación. El objetivo de generar información con desagregación regional (</w:t>
      </w:r>
      <w:r>
        <w:t xml:space="preserve">3</w:t>
      </w:r>
      <w:r>
        <w:t xml:space="preserve">) exige que</w:t>
      </w:r>
      <w:r>
        <w:t xml:space="preserve"> </w:t>
      </w:r>
      <w:r>
        <w:rPr>
          <w:b/>
          <w:bCs/>
        </w:rPr>
        <w:t xml:space="preserve">cada una de las seis regiones</w:t>
      </w:r>
      <w:r>
        <w:t xml:space="preserve">, individualmente, alcance esa misma precisión. Por ello, el tamaño de muestra adoptado es la</w:t>
      </w:r>
      <w:r>
        <w:t xml:space="preserve"> </w:t>
      </w:r>
      <w:r>
        <w:rPr>
          <w:b/>
          <w:bCs/>
        </w:rPr>
        <w:t xml:space="preserve">suma de los seis tamaños regionales</w:t>
      </w:r>
      <w:r>
        <w:t xml:space="preserve">, asignados en cantidad igual e independiente:</w:t>
      </w:r>
    </w:p>
    <w:p>
      <w:pPr>
        <w:pStyle w:val="BodyText"/>
      </w:pPr>
      <m:oMathPara>
        <m:oMathParaPr>
          <m:jc m:val="center"/>
        </m:oMathParaPr>
        <m:oMath>
          <m:sSub>
            <m:e>
              <m:r>
                <m:t>n</m:t>
              </m:r>
            </m:e>
            <m:sub>
              <m:r>
                <m:t>n</m:t>
              </m:r>
              <m:r>
                <m:t>a</m:t>
              </m:r>
              <m:r>
                <m:t>c</m:t>
              </m:r>
              <m:r>
                <m:t>i</m:t>
              </m:r>
              <m:r>
                <m:t>o</m:t>
              </m:r>
              <m:r>
                <m:t>n</m:t>
              </m:r>
              <m:r>
                <m:t>a</m:t>
              </m:r>
              <m:r>
                <m:t>l</m:t>
              </m:r>
            </m:sub>
          </m:sSub>
          <m:r>
            <m:rPr>
              <m:sty m:val="p"/>
            </m:rPr>
            <m:t>=</m:t>
          </m:r>
          <m:nary>
            <m:naryPr>
              <m:chr m:val="∑"/>
              <m:limLoc m:val="undOvr"/>
              <m:subHide m:val="off"/>
              <m:supHide m:val="off"/>
            </m:naryPr>
            <m:sub>
              <m:r>
                <m:t>r</m:t>
              </m:r>
              <m:r>
                <m:rPr>
                  <m:sty m:val="p"/>
                </m:rPr>
                <m:t>=</m:t>
              </m:r>
              <m:r>
                <m:t>1</m:t>
              </m:r>
            </m:sub>
            <m:sup>
              <m:r>
                <m:t>6</m:t>
              </m:r>
            </m:sup>
            <m:e>
              <m:sSub>
                <m:e>
                  <m:r>
                    <m:t>n</m:t>
                  </m:r>
                </m:e>
                <m:sub>
                  <m:r>
                    <m:t>e</m:t>
                  </m:r>
                  <m:r>
                    <m:t>f</m:t>
                  </m:r>
                  <m:r>
                    <m:t>e</m:t>
                  </m:r>
                  <m:r>
                    <m:t>c</m:t>
                  </m:r>
                  <m:r>
                    <m:t>t</m:t>
                  </m:r>
                  <m:r>
                    <m:t>i</m:t>
                  </m:r>
                  <m:r>
                    <m:t>v</m:t>
                  </m:r>
                  <m:r>
                    <m:t>o</m:t>
                  </m:r>
                </m:sub>
              </m:sSub>
            </m:e>
          </m:nary>
          <m:r>
            <m:rPr>
              <m:sty m:val="p"/>
            </m:rPr>
            <m:t>(</m:t>
          </m:r>
          <m:r>
            <m:t>r</m:t>
          </m:r>
          <m:r>
            <m:rPr>
              <m:sty m:val="p"/>
            </m:rPr>
            <m:t>)</m:t>
          </m:r>
          <m:r>
            <m:rPr>
              <m:sty m:val="p"/>
            </m:rPr>
            <m:t>≈</m:t>
          </m:r>
          <m:r>
            <m:t>6</m:t>
          </m:r>
          <m:r>
            <m:rPr>
              <m:sty m:val="p"/>
            </m:rPr>
            <m:t>×</m:t>
          </m:r>
          <m:r>
            <m:t>1</m:t>
          </m:r>
          <m:r>
            <m:t> </m:t>
          </m:r>
          <m:r>
            <m:t>313</m:t>
          </m:r>
          <m:r>
            <m:rPr>
              <m:sty m:val="p"/>
            </m:rPr>
            <m:t>≈</m:t>
          </m:r>
          <m:r>
            <m:t>7</m:t>
          </m:r>
          <m:r>
            <m:t> </m:t>
          </m:r>
          <m:r>
            <m:t>876</m:t>
          </m:r>
          <m:r>
            <m:rPr>
              <m:nor/>
              <m:sty m:val="p"/>
            </m:rPr>
            <m:t> encuestas</m:t>
          </m:r>
        </m:oMath>
      </m:oMathPara>
    </w:p>
    <w:p>
      <w:pPr>
        <w:pStyle w:val="FirstParagraph"/>
      </w:pPr>
      <w:r>
        <w:t xml:space="preserve">Esta suma —no el valor nacional agregado ni el cruce región × régimen— es el tamaño de muestra que se asigna operativamente. El cruce región × régimen, por su parte, tampoco se adopta como nivel de meta independiente: si cada una de las 12 celdas de región × régimen se fijara con su propia meta de ≈1 313 encuestas, el tamaño total requerido casi se duplicaría (≈15 750 encuestas). En lugar de ello, el régimen se distribuye proporcionalmente</w:t>
      </w:r>
      <w:r>
        <w:t xml:space="preserve"> </w:t>
      </w:r>
      <w:r>
        <w:rPr>
          <w:b/>
          <w:bCs/>
        </w:rPr>
        <w:t xml:space="preserve">dentro</w:t>
      </w:r>
      <w:r>
        <w:t xml:space="preserve"> </w:t>
      </w:r>
      <w:r>
        <w:t xml:space="preserve">del presupuesto ya fijado por región (ver</w:t>
      </w:r>
      <w:r>
        <w:t xml:space="preserve"> </w:t>
      </w:r>
      <w:r>
        <w:t xml:space="preserve">4</w:t>
      </w:r>
      <w:r>
        <w:t xml:space="preserve">), lo que preserva la precisión regional objetivo sin duplicar el tamaño total, a costa de que las combinaciones región × régimen menos pobladas (por ejemplo, Bogotá × Subsidiado o Orinoquía-Amazonía × Contributivo) queden con una precisión nominal menor a la de la tabla anterior.</w:t>
      </w:r>
    </w:p>
    <w:bookmarkEnd w:id="63"/>
    <w:bookmarkEnd w:id="64"/>
    <w:bookmarkStart w:id="68" w:name="Xbbedcf0996d08a6d3657c7eb24877b60e594678"/>
    <w:p>
      <w:pPr>
        <w:pStyle w:val="Heading2"/>
      </w:pPr>
      <w:r>
        <w:rPr>
          <w:rStyle w:val="SectionNumber"/>
        </w:rPr>
        <w:t xml:space="preserve">4.3</w:t>
      </w:r>
      <w:r>
        <w:tab/>
      </w:r>
      <w:r>
        <w:t xml:space="preserve">Asignación del tamaño de muestra por cuotas</w:t>
      </w:r>
    </w:p>
    <w:p>
      <w:pPr>
        <w:pStyle w:val="FirstParagraph"/>
      </w:pPr>
      <w:r>
        <w:t xml:space="preserve">El tamaño ya fijado por región (</w:t>
      </w:r>
      <w:r>
        <w:t xml:space="preserve">4</w:t>
      </w:r>
      <w:r>
        <w:t xml:space="preserve">) se reparte en un único paso entre las celdas formadas por régimen de afiliación (2 categorías), sexo (2 categorías), grupo de edad en rangos de 10 años (7 categorías: 00-09, 10-19, 20-29, 30-39, 40-49, 50-59, 60 o más) y zona (urbano/rural) —56 celdas por región, 336 en total—, de forma proporcional al peso poblacional de cada celda en la BDUA de marzo de 2026, con un</w:t>
      </w:r>
      <w:r>
        <w:t xml:space="preserve"> </w:t>
      </w:r>
      <w:r>
        <w:rPr>
          <w:b/>
          <w:bCs/>
        </w:rPr>
        <w:t xml:space="preserve">mínimo garantizado de 10 encuestas por celda</w:t>
      </w:r>
      <w:r>
        <w:t xml:space="preserve">:</w:t>
      </w:r>
    </w:p>
    <w:p>
      <w:pPr>
        <w:pStyle w:val="BodyText"/>
      </w:pPr>
      <m:oMathPara>
        <m:oMathParaPr>
          <m:jc m:val="center"/>
        </m:oMathParaPr>
        <m:oMath>
          <m:sSub>
            <m:e>
              <m:r>
                <m:t>n</m:t>
              </m:r>
            </m:e>
            <m:sub>
              <m:r>
                <m:t>c</m:t>
              </m:r>
              <m:r>
                <m:t>e</m:t>
              </m:r>
              <m:r>
                <m:t>l</m:t>
              </m:r>
              <m:r>
                <m:t>d</m:t>
              </m:r>
              <m:r>
                <m:t>a</m:t>
              </m:r>
            </m:sub>
          </m:sSub>
          <m:r>
            <m:rPr>
              <m:sty m:val="p"/>
            </m:rPr>
            <m:t>=</m:t>
          </m:r>
          <m:r>
            <m:rPr>
              <m:sty m:val="p"/>
            </m:rPr>
            <m:t>max</m:t>
          </m:r>
          <m:d>
            <m:dPr>
              <m:begChr m:val="{"/>
              <m:sepChr m:val=""/>
              <m:endChr m:val="}"/>
              <m:grow/>
            </m:dPr>
            <m:e>
              <m:sSub>
                <m:e>
                  <m:r>
                    <m:t>n</m:t>
                  </m:r>
                </m:e>
                <m:sub>
                  <m:r>
                    <m:t>r</m:t>
                  </m:r>
                  <m:r>
                    <m:t>e</m:t>
                  </m:r>
                  <m:r>
                    <m:t>g</m:t>
                  </m:r>
                  <m:r>
                    <m:t>i</m:t>
                  </m:r>
                  <m:r>
                    <m:t>ó</m:t>
                  </m:r>
                  <m:r>
                    <m:t>n</m:t>
                  </m:r>
                </m:sub>
              </m:sSub>
              <m:r>
                <m:rPr>
                  <m:sty m:val="p"/>
                </m:rPr>
                <m:t>×</m:t>
              </m:r>
              <m:f>
                <m:fPr>
                  <m:type m:val="bar"/>
                </m:fPr>
                <m:num>
                  <m:sSub>
                    <m:e>
                      <m:r>
                        <m:t>N</m:t>
                      </m:r>
                    </m:e>
                    <m:sub>
                      <m:r>
                        <m:t>c</m:t>
                      </m:r>
                      <m:r>
                        <m:t>e</m:t>
                      </m:r>
                      <m:r>
                        <m:t>l</m:t>
                      </m:r>
                      <m:r>
                        <m:t>d</m:t>
                      </m:r>
                      <m:r>
                        <m:t>a</m:t>
                      </m:r>
                    </m:sub>
                  </m:sSub>
                </m:num>
                <m:den>
                  <m:sSub>
                    <m:e>
                      <m:r>
                        <m:t>N</m:t>
                      </m:r>
                    </m:e>
                    <m:sub>
                      <m:r>
                        <m:t>r</m:t>
                      </m:r>
                      <m:r>
                        <m:t>e</m:t>
                      </m:r>
                      <m:r>
                        <m:t>g</m:t>
                      </m:r>
                      <m:r>
                        <m:t>i</m:t>
                      </m:r>
                      <m:r>
                        <m:t>ó</m:t>
                      </m:r>
                      <m:r>
                        <m:t>n</m:t>
                      </m:r>
                    </m:sub>
                  </m:sSub>
                </m:den>
              </m:f>
              <m:r>
                <m:t> </m:t>
              </m:r>
              <m:r>
                <m:rPr>
                  <m:sty m:val="p"/>
                </m:rPr>
                <m:t>;</m:t>
              </m:r>
              <m:r>
                <m:t> </m:t>
              </m:r>
              <m:r>
                <m:t>10</m:t>
              </m:r>
            </m:e>
          </m:d>
        </m:oMath>
      </m:oMathPara>
    </w:p>
    <w:p>
      <w:pPr>
        <w:pStyle w:val="FirstParagraph"/>
      </w:pPr>
      <w:r>
        <w:t xml:space="preserve">Cuando la suma de los mínimos garantizados dentro de una región excede el tamaño regional disponible, se aplica un reajuste proporcional entre las celdas restantes. El cuadre exacto entre la suma de las 56 celdas y el tamaño ya asignado a la región se garantiza mediante el método del resto mayor: el remanente entero, tras asignar la parte base de cada celda, se reparte una unidad a la vez a las celdas con mayor parte fraccionaria pendiente, hasta agotar el tamaño regional.</w:t>
      </w:r>
    </w:p>
    <w:p>
      <w:pPr>
        <w:pStyle w:val="BodyText"/>
      </w:pPr>
      <w:r>
        <w:t xml:space="preserve">De las 336 celdas resultantes a nivel nacional, 17 quedan fijadas exactamente en el mínimo garantizado de 10 encuestas (las combinaciones menos pobladas, típicamente zona rural en grupos de edad extremos), mientras que la celda de mayor tamaño alcanza 72 encuestas. Un umbral mínimo por celda es, en sí mismo, una sobrerrepresentación deliberada de los subgrupos demográficos menos numerosos respecto a su peso poblacional real, adoptada para preservar la posibilidad de análisis desagregado; su efecto sobre los pesos analíticos se corrige en la etapa de calibración (ver capítulo de ponderación y calibración).</w:t>
      </w:r>
    </w:p>
    <w:bookmarkStart w:id="65" w:name="resultado-agregado-por-región-y-régimen"/>
    <w:p>
      <w:pPr>
        <w:pStyle w:val="Heading3"/>
      </w:pPr>
      <w:r>
        <w:rPr>
          <w:rStyle w:val="SectionNumber"/>
        </w:rPr>
        <w:t xml:space="preserve">4.3.1</w:t>
      </w:r>
      <w:r>
        <w:tab/>
      </w:r>
      <w:r>
        <w:t xml:space="preserve">Resultado agregado por región y régimen</w:t>
      </w:r>
    </w:p>
    <w:p>
      <w:pPr>
        <w:pStyle w:val="FirstParagraph"/>
      </w:pPr>
      <w:r>
        <w:t xml:space="preserve">La agregación de las 56 celdas de cada región por régimen produce la siguiente meta de cuota, consistente con el tamaño regional ya fijado y con el peso poblacional de cada régimen dentro de cada región: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Región</w:t>
            </w:r>
          </w:p>
        </w:tc>
        <w:tc>
          <w:tcPr/>
          <w:p>
            <w:pPr>
              <w:pStyle w:val="Compact"/>
              <w:jc w:val="right"/>
            </w:pPr>
            <w:r>
              <w:t xml:space="preserve">Contributivo</w:t>
            </w:r>
          </w:p>
        </w:tc>
        <w:tc>
          <w:tcPr/>
          <w:p>
            <w:pPr>
              <w:pStyle w:val="Compact"/>
              <w:jc w:val="right"/>
            </w:pPr>
            <w:r>
              <w:t xml:space="preserve">Subsidiado</w:t>
            </w:r>
          </w:p>
        </w:tc>
        <w:tc>
          <w:tcPr/>
          <w:p>
            <w:pPr>
              <w:pStyle w:val="Compact"/>
              <w:jc w:val="right"/>
            </w:pPr>
            <w:r>
              <w:t xml:space="preserve">Total región</w:t>
            </w:r>
          </w:p>
        </w:tc>
      </w:tr>
      <w:tr>
        <w:tc>
          <w:tcPr/>
          <w:p>
            <w:pPr>
              <w:pStyle w:val="Compact"/>
            </w:pPr>
            <w:r>
              <w:t xml:space="preserve">Bogotá</w:t>
            </w:r>
          </w:p>
        </w:tc>
        <w:tc>
          <w:tcPr/>
          <w:p>
            <w:pPr>
              <w:pStyle w:val="Compact"/>
              <w:jc w:val="right"/>
            </w:pPr>
            <w:r>
              <w:t xml:space="preserve">855</w:t>
            </w:r>
          </w:p>
        </w:tc>
        <w:tc>
          <w:tcPr/>
          <w:p>
            <w:pPr>
              <w:pStyle w:val="Compact"/>
              <w:jc w:val="right"/>
            </w:pPr>
            <w:r>
              <w:t xml:space="preserve">458</w:t>
            </w:r>
          </w:p>
        </w:tc>
        <w:tc>
          <w:tcPr/>
          <w:p>
            <w:pPr>
              <w:pStyle w:val="Compact"/>
              <w:jc w:val="right"/>
            </w:pPr>
            <w:r>
              <w:t xml:space="preserve">1 313</w:t>
            </w:r>
          </w:p>
        </w:tc>
      </w:tr>
      <w:tr>
        <w:tc>
          <w:tcPr/>
          <w:p>
            <w:pPr>
              <w:pStyle w:val="Compact"/>
            </w:pPr>
            <w:r>
              <w:t xml:space="preserve">Caribe</w:t>
            </w:r>
          </w:p>
        </w:tc>
        <w:tc>
          <w:tcPr/>
          <w:p>
            <w:pPr>
              <w:pStyle w:val="Compact"/>
              <w:jc w:val="right"/>
            </w:pPr>
            <w:r>
              <w:t xml:space="preserve">494</w:t>
            </w:r>
          </w:p>
        </w:tc>
        <w:tc>
          <w:tcPr/>
          <w:p>
            <w:pPr>
              <w:pStyle w:val="Compact"/>
              <w:jc w:val="right"/>
            </w:pPr>
            <w:r>
              <w:t xml:space="preserve">819</w:t>
            </w:r>
          </w:p>
        </w:tc>
        <w:tc>
          <w:tcPr/>
          <w:p>
            <w:pPr>
              <w:pStyle w:val="Compact"/>
              <w:jc w:val="right"/>
            </w:pPr>
            <w:r>
              <w:t xml:space="preserve">1 313</w:t>
            </w:r>
          </w:p>
        </w:tc>
      </w:tr>
      <w:tr>
        <w:tc>
          <w:tcPr/>
          <w:p>
            <w:pPr>
              <w:pStyle w:val="Compact"/>
            </w:pPr>
            <w:r>
              <w:t xml:space="preserve">Central</w:t>
            </w:r>
          </w:p>
        </w:tc>
        <w:tc>
          <w:tcPr/>
          <w:p>
            <w:pPr>
              <w:pStyle w:val="Compact"/>
              <w:jc w:val="right"/>
            </w:pPr>
            <w:r>
              <w:t xml:space="preserve">663</w:t>
            </w:r>
          </w:p>
        </w:tc>
        <w:tc>
          <w:tcPr/>
          <w:p>
            <w:pPr>
              <w:pStyle w:val="Compact"/>
              <w:jc w:val="right"/>
            </w:pPr>
            <w:r>
              <w:t xml:space="preserve">650</w:t>
            </w:r>
          </w:p>
        </w:tc>
        <w:tc>
          <w:tcPr/>
          <w:p>
            <w:pPr>
              <w:pStyle w:val="Compact"/>
              <w:jc w:val="right"/>
            </w:pPr>
            <w:r>
              <w:t xml:space="preserve">1 313</w:t>
            </w:r>
          </w:p>
        </w:tc>
      </w:tr>
      <w:tr>
        <w:tc>
          <w:tcPr/>
          <w:p>
            <w:pPr>
              <w:pStyle w:val="Compact"/>
            </w:pPr>
            <w:r>
              <w:t xml:space="preserve">Oriental</w:t>
            </w:r>
          </w:p>
        </w:tc>
        <w:tc>
          <w:tcPr/>
          <w:p>
            <w:pPr>
              <w:pStyle w:val="Compact"/>
              <w:jc w:val="right"/>
            </w:pPr>
            <w:r>
              <w:t xml:space="preserve">629</w:t>
            </w:r>
          </w:p>
        </w:tc>
        <w:tc>
          <w:tcPr/>
          <w:p>
            <w:pPr>
              <w:pStyle w:val="Compact"/>
              <w:jc w:val="right"/>
            </w:pPr>
            <w:r>
              <w:t xml:space="preserve">684</w:t>
            </w:r>
          </w:p>
        </w:tc>
        <w:tc>
          <w:tcPr/>
          <w:p>
            <w:pPr>
              <w:pStyle w:val="Compact"/>
              <w:jc w:val="right"/>
            </w:pPr>
            <w:r>
              <w:t xml:space="preserve">1 313</w:t>
            </w:r>
          </w:p>
        </w:tc>
      </w:tr>
      <w:tr>
        <w:tc>
          <w:tcPr/>
          <w:p>
            <w:pPr>
              <w:pStyle w:val="Compact"/>
            </w:pPr>
            <w:r>
              <w:t xml:space="preserve">Orinoquía-Amazonía</w:t>
            </w:r>
          </w:p>
        </w:tc>
        <w:tc>
          <w:tcPr/>
          <w:p>
            <w:pPr>
              <w:pStyle w:val="Compact"/>
              <w:jc w:val="right"/>
            </w:pPr>
            <w:r>
              <w:t xml:space="preserve">453</w:t>
            </w:r>
          </w:p>
        </w:tc>
        <w:tc>
          <w:tcPr/>
          <w:p>
            <w:pPr>
              <w:pStyle w:val="Compact"/>
              <w:jc w:val="right"/>
            </w:pPr>
            <w:r>
              <w:t xml:space="preserve">858</w:t>
            </w:r>
          </w:p>
        </w:tc>
        <w:tc>
          <w:tcPr/>
          <w:p>
            <w:pPr>
              <w:pStyle w:val="Compact"/>
              <w:jc w:val="right"/>
            </w:pPr>
            <w:r>
              <w:t xml:space="preserve">1 311</w:t>
            </w:r>
          </w:p>
        </w:tc>
      </w:tr>
      <w:tr>
        <w:tc>
          <w:tcPr/>
          <w:p>
            <w:pPr>
              <w:pStyle w:val="Compact"/>
            </w:pPr>
            <w:r>
              <w:t xml:space="preserve">Pacífica</w:t>
            </w:r>
          </w:p>
        </w:tc>
        <w:tc>
          <w:tcPr/>
          <w:p>
            <w:pPr>
              <w:pStyle w:val="Compact"/>
              <w:jc w:val="right"/>
            </w:pPr>
            <w:r>
              <w:t xml:space="preserve">575</w:t>
            </w:r>
          </w:p>
        </w:tc>
        <w:tc>
          <w:tcPr/>
          <w:p>
            <w:pPr>
              <w:pStyle w:val="Compact"/>
              <w:jc w:val="right"/>
            </w:pPr>
            <w:r>
              <w:t xml:space="preserve">738</w:t>
            </w:r>
          </w:p>
        </w:tc>
        <w:tc>
          <w:tcPr/>
          <w:p>
            <w:pPr>
              <w:pStyle w:val="Compact"/>
              <w:jc w:val="right"/>
            </w:pPr>
            <w:r>
              <w:t xml:space="preserve">1 313</w:t>
            </w:r>
          </w:p>
        </w:tc>
      </w:tr>
      <w:tr>
        <w:tc>
          <w:tcPr/>
          <w:p>
            <w:pPr>
              <w:pStyle w:val="Compact"/>
            </w:pPr>
            <w:r>
              <w:rPr>
                <w:b/>
                <w:bCs/>
              </w:rPr>
              <w:t xml:space="preserve">Total nacional</w:t>
            </w:r>
          </w:p>
        </w:tc>
        <w:tc>
          <w:tcPr/>
          <w:p>
            <w:pPr>
              <w:pStyle w:val="Compact"/>
              <w:jc w:val="right"/>
            </w:pPr>
            <w:r>
              <w:rPr>
                <w:b/>
                <w:bCs/>
              </w:rPr>
              <w:t xml:space="preserve">3 669</w:t>
            </w:r>
          </w:p>
        </w:tc>
        <w:tc>
          <w:tcPr/>
          <w:p>
            <w:pPr>
              <w:pStyle w:val="Compact"/>
              <w:jc w:val="right"/>
            </w:pPr>
            <w:r>
              <w:rPr>
                <w:b/>
                <w:bCs/>
              </w:rPr>
              <w:t xml:space="preserve">4 207</w:t>
            </w:r>
          </w:p>
        </w:tc>
        <w:tc>
          <w:tcPr/>
          <w:p>
            <w:pPr>
              <w:pStyle w:val="Compact"/>
              <w:jc w:val="right"/>
            </w:pPr>
            <w:r>
              <w:rPr>
                <w:b/>
                <w:bCs/>
              </w:rPr>
              <w:t xml:space="preserve">7 876</w:t>
            </w:r>
          </w:p>
        </w:tc>
      </w:tr>
    </w:tbl>
    <w:bookmarkEnd w:id="65"/>
    <w:bookmarkStart w:id="66" w:name="Xe90ea22e3cb015c0052d92fd35c2988f1b6e5c2"/>
    <w:p>
      <w:pPr>
        <w:pStyle w:val="Heading3"/>
      </w:pPr>
      <w:r>
        <w:rPr>
          <w:rStyle w:val="SectionNumber"/>
        </w:rPr>
        <w:t xml:space="preserve">4.3.2</w:t>
      </w:r>
      <w:r>
        <w:tab/>
      </w:r>
      <w:r>
        <w:t xml:space="preserve">Resultado agregado por sexo, grupo de edad y zona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Sexo</w:t>
            </w:r>
          </w:p>
        </w:tc>
        <w:tc>
          <w:tcPr/>
          <w:p>
            <w:pPr>
              <w:pStyle w:val="Compact"/>
              <w:jc w:val="right"/>
            </w:pPr>
            <m:oMath>
              <m:r>
                <m:t>n</m:t>
              </m:r>
            </m:oMath>
          </w:p>
        </w:tc>
        <w:tc>
          <w:tcPr/>
          <w:p>
            <w:pPr>
              <w:pStyle w:val="Compact"/>
              <w:jc w:val="right"/>
            </w:pPr>
            <w:r>
              <w:t xml:space="preserve">%</w:t>
            </w:r>
          </w:p>
        </w:tc>
      </w:tr>
      <w:tr>
        <w:tc>
          <w:tcPr/>
          <w:p>
            <w:pPr>
              <w:pStyle w:val="Compact"/>
            </w:pPr>
            <w:r>
              <w:t xml:space="preserve">Femenino</w:t>
            </w:r>
          </w:p>
        </w:tc>
        <w:tc>
          <w:tcPr/>
          <w:p>
            <w:pPr>
              <w:pStyle w:val="Compact"/>
              <w:jc w:val="right"/>
            </w:pPr>
            <w:r>
              <w:t xml:space="preserve">3 993</w:t>
            </w:r>
          </w:p>
        </w:tc>
        <w:tc>
          <w:tcPr/>
          <w:p>
            <w:pPr>
              <w:pStyle w:val="Compact"/>
              <w:jc w:val="right"/>
            </w:pPr>
            <w:r>
              <w:t xml:space="preserve">50,7 %</w:t>
            </w:r>
          </w:p>
        </w:tc>
      </w:tr>
      <w:tr>
        <w:tc>
          <w:tcPr/>
          <w:p>
            <w:pPr>
              <w:pStyle w:val="Compact"/>
            </w:pPr>
            <w:r>
              <w:t xml:space="preserve">Masculino</w:t>
            </w:r>
          </w:p>
        </w:tc>
        <w:tc>
          <w:tcPr/>
          <w:p>
            <w:pPr>
              <w:pStyle w:val="Compact"/>
              <w:jc w:val="right"/>
            </w:pPr>
            <w:r>
              <w:t xml:space="preserve">3 883</w:t>
            </w:r>
          </w:p>
        </w:tc>
        <w:tc>
          <w:tcPr/>
          <w:p>
            <w:pPr>
              <w:pStyle w:val="Compact"/>
              <w:jc w:val="right"/>
            </w:pPr>
            <w:r>
              <w:t xml:space="preserve">49,3 %</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 de edad</w:t>
            </w:r>
          </w:p>
        </w:tc>
        <w:tc>
          <w:tcPr/>
          <w:p>
            <w:pPr>
              <w:pStyle w:val="Compact"/>
              <w:jc w:val="right"/>
            </w:pPr>
            <m:oMath>
              <m:r>
                <m:t>n</m:t>
              </m:r>
            </m:oMath>
          </w:p>
        </w:tc>
        <w:tc>
          <w:tcPr/>
          <w:p>
            <w:pPr>
              <w:pStyle w:val="Compact"/>
              <w:jc w:val="right"/>
            </w:pPr>
            <w:r>
              <w:t xml:space="preserve">%</w:t>
            </w:r>
          </w:p>
        </w:tc>
      </w:tr>
      <w:tr>
        <w:tc>
          <w:tcPr/>
          <w:p>
            <w:pPr>
              <w:pStyle w:val="Compact"/>
            </w:pPr>
            <w:r>
              <w:t xml:space="preserve">00-09</w:t>
            </w:r>
          </w:p>
        </w:tc>
        <w:tc>
          <w:tcPr/>
          <w:p>
            <w:pPr>
              <w:pStyle w:val="Compact"/>
              <w:jc w:val="right"/>
            </w:pPr>
            <w:r>
              <w:t xml:space="preserve">1 014</w:t>
            </w:r>
          </w:p>
        </w:tc>
        <w:tc>
          <w:tcPr/>
          <w:p>
            <w:pPr>
              <w:pStyle w:val="Compact"/>
              <w:jc w:val="right"/>
            </w:pPr>
            <w:r>
              <w:t xml:space="preserve">12,9 %</w:t>
            </w:r>
          </w:p>
        </w:tc>
      </w:tr>
      <w:tr>
        <w:tc>
          <w:tcPr/>
          <w:p>
            <w:pPr>
              <w:pStyle w:val="Compact"/>
            </w:pPr>
            <w:r>
              <w:t xml:space="preserve">10-19</w:t>
            </w:r>
          </w:p>
        </w:tc>
        <w:tc>
          <w:tcPr/>
          <w:p>
            <w:pPr>
              <w:pStyle w:val="Compact"/>
              <w:jc w:val="right"/>
            </w:pPr>
            <w:r>
              <w:t xml:space="preserve">1 163</w:t>
            </w:r>
          </w:p>
        </w:tc>
        <w:tc>
          <w:tcPr/>
          <w:p>
            <w:pPr>
              <w:pStyle w:val="Compact"/>
              <w:jc w:val="right"/>
            </w:pPr>
            <w:r>
              <w:t xml:space="preserve">14,8 %</w:t>
            </w:r>
          </w:p>
        </w:tc>
      </w:tr>
      <w:tr>
        <w:tc>
          <w:tcPr/>
          <w:p>
            <w:pPr>
              <w:pStyle w:val="Compact"/>
            </w:pPr>
            <w:r>
              <w:t xml:space="preserve">20-29</w:t>
            </w:r>
          </w:p>
        </w:tc>
        <w:tc>
          <w:tcPr/>
          <w:p>
            <w:pPr>
              <w:pStyle w:val="Compact"/>
              <w:jc w:val="right"/>
            </w:pPr>
            <w:r>
              <w:t xml:space="preserve">1 203</w:t>
            </w:r>
          </w:p>
        </w:tc>
        <w:tc>
          <w:tcPr/>
          <w:p>
            <w:pPr>
              <w:pStyle w:val="Compact"/>
              <w:jc w:val="right"/>
            </w:pPr>
            <w:r>
              <w:t xml:space="preserve">15,3 %</w:t>
            </w:r>
          </w:p>
        </w:tc>
      </w:tr>
      <w:tr>
        <w:tc>
          <w:tcPr/>
          <w:p>
            <w:pPr>
              <w:pStyle w:val="Compact"/>
            </w:pPr>
            <w:r>
              <w:t xml:space="preserve">30-39</w:t>
            </w:r>
          </w:p>
        </w:tc>
        <w:tc>
          <w:tcPr/>
          <w:p>
            <w:pPr>
              <w:pStyle w:val="Compact"/>
              <w:jc w:val="right"/>
            </w:pPr>
            <w:r>
              <w:t xml:space="preserve">1 203</w:t>
            </w:r>
          </w:p>
        </w:tc>
        <w:tc>
          <w:tcPr/>
          <w:p>
            <w:pPr>
              <w:pStyle w:val="Compact"/>
              <w:jc w:val="right"/>
            </w:pPr>
            <w:r>
              <w:t xml:space="preserve">15,3 %</w:t>
            </w:r>
          </w:p>
        </w:tc>
      </w:tr>
      <w:tr>
        <w:tc>
          <w:tcPr/>
          <w:p>
            <w:pPr>
              <w:pStyle w:val="Compact"/>
            </w:pPr>
            <w:r>
              <w:t xml:space="preserve">40-49</w:t>
            </w:r>
          </w:p>
        </w:tc>
        <w:tc>
          <w:tcPr/>
          <w:p>
            <w:pPr>
              <w:pStyle w:val="Compact"/>
              <w:jc w:val="right"/>
            </w:pPr>
            <w:r>
              <w:t xml:space="preserve">1 086</w:t>
            </w:r>
          </w:p>
        </w:tc>
        <w:tc>
          <w:tcPr/>
          <w:p>
            <w:pPr>
              <w:pStyle w:val="Compact"/>
              <w:jc w:val="right"/>
            </w:pPr>
            <w:r>
              <w:t xml:space="preserve">13,8 %</w:t>
            </w:r>
          </w:p>
        </w:tc>
      </w:tr>
      <w:tr>
        <w:tc>
          <w:tcPr/>
          <w:p>
            <w:pPr>
              <w:pStyle w:val="Compact"/>
            </w:pPr>
            <w:r>
              <w:t xml:space="preserve">50-59</w:t>
            </w:r>
          </w:p>
        </w:tc>
        <w:tc>
          <w:tcPr/>
          <w:p>
            <w:pPr>
              <w:pStyle w:val="Compact"/>
              <w:jc w:val="right"/>
            </w:pPr>
            <w:r>
              <w:t xml:space="preserve">975</w:t>
            </w:r>
          </w:p>
        </w:tc>
        <w:tc>
          <w:tcPr/>
          <w:p>
            <w:pPr>
              <w:pStyle w:val="Compact"/>
              <w:jc w:val="right"/>
            </w:pPr>
            <w:r>
              <w:t xml:space="preserve">12,4 %</w:t>
            </w:r>
          </w:p>
        </w:tc>
      </w:tr>
      <w:tr>
        <w:tc>
          <w:tcPr/>
          <w:p>
            <w:pPr>
              <w:pStyle w:val="Compact"/>
            </w:pPr>
            <w:r>
              <w:t xml:space="preserve">60 o más</w:t>
            </w:r>
          </w:p>
        </w:tc>
        <w:tc>
          <w:tcPr/>
          <w:p>
            <w:pPr>
              <w:pStyle w:val="Compact"/>
              <w:jc w:val="right"/>
            </w:pPr>
            <w:r>
              <w:t xml:space="preserve">1 232</w:t>
            </w:r>
          </w:p>
        </w:tc>
        <w:tc>
          <w:tcPr/>
          <w:p>
            <w:pPr>
              <w:pStyle w:val="Compact"/>
              <w:jc w:val="right"/>
            </w:pPr>
            <w:r>
              <w:t xml:space="preserve">15,6 %</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Zona</w:t>
            </w:r>
          </w:p>
        </w:tc>
        <w:tc>
          <w:tcPr/>
          <w:p>
            <w:pPr>
              <w:pStyle w:val="Compact"/>
              <w:jc w:val="right"/>
            </w:pPr>
            <m:oMath>
              <m:r>
                <m:t>n</m:t>
              </m:r>
            </m:oMath>
          </w:p>
        </w:tc>
        <w:tc>
          <w:tcPr/>
          <w:p>
            <w:pPr>
              <w:pStyle w:val="Compact"/>
              <w:jc w:val="right"/>
            </w:pPr>
            <w:r>
              <w:t xml:space="preserve">%</w:t>
            </w:r>
          </w:p>
        </w:tc>
      </w:tr>
      <w:tr>
        <w:tc>
          <w:tcPr/>
          <w:p>
            <w:pPr>
              <w:pStyle w:val="Compact"/>
            </w:pPr>
            <w:r>
              <w:t xml:space="preserve">Urbano</w:t>
            </w:r>
          </w:p>
        </w:tc>
        <w:tc>
          <w:tcPr/>
          <w:p>
            <w:pPr>
              <w:pStyle w:val="Compact"/>
              <w:jc w:val="right"/>
            </w:pPr>
            <w:r>
              <w:t xml:space="preserve">5 147</w:t>
            </w:r>
          </w:p>
        </w:tc>
        <w:tc>
          <w:tcPr/>
          <w:p>
            <w:pPr>
              <w:pStyle w:val="Compact"/>
              <w:jc w:val="right"/>
            </w:pPr>
            <w:r>
              <w:t xml:space="preserve">65,4 %</w:t>
            </w:r>
          </w:p>
        </w:tc>
      </w:tr>
      <w:tr>
        <w:tc>
          <w:tcPr/>
          <w:p>
            <w:pPr>
              <w:pStyle w:val="Compact"/>
            </w:pPr>
            <w:r>
              <w:t xml:space="preserve">Rural</w:t>
            </w:r>
          </w:p>
        </w:tc>
        <w:tc>
          <w:tcPr/>
          <w:p>
            <w:pPr>
              <w:pStyle w:val="Compact"/>
              <w:jc w:val="right"/>
            </w:pPr>
            <w:r>
              <w:t xml:space="preserve">2 729</w:t>
            </w:r>
          </w:p>
        </w:tc>
        <w:tc>
          <w:tcPr/>
          <w:p>
            <w:pPr>
              <w:pStyle w:val="Compact"/>
              <w:jc w:val="right"/>
            </w:pPr>
            <w:r>
              <w:t xml:space="preserve">34,6 %</w:t>
            </w:r>
          </w:p>
        </w:tc>
      </w:tr>
    </w:tbl>
    <w:p>
      <w:pPr>
        <w:pStyle w:val="BodyText"/>
      </w:pPr>
      <w:r>
        <w:t xml:space="preserve">La matriz completa de las 336 celdas (región × régimen × sexo × grupo de edad × zona), con su meta y mínimo garantizado, se entrega como anexo externo al documento (Anexo E — Matriz de cuotas), dividido en una hoja por cada una de las seis regiones.</w:t>
      </w:r>
    </w:p>
    <w:bookmarkEnd w:id="66"/>
    <w:bookmarkStart w:id="67" w:name="Xe714db1e952947ba46d7d4408b18ba60afd08d4"/>
    <w:p>
      <w:pPr>
        <w:pStyle w:val="Heading3"/>
      </w:pPr>
      <w:r>
        <w:rPr>
          <w:rStyle w:val="SectionNumber"/>
        </w:rPr>
        <w:t xml:space="preserve">4.3.3</w:t>
      </w:r>
      <w:r>
        <w:tab/>
      </w:r>
      <w:r>
        <w:t xml:space="preserve">Bloques de gestión institucional y módulo final: sin cuota de asignación previa</w:t>
      </w:r>
    </w:p>
    <w:p>
      <w:pPr>
        <w:pStyle w:val="FirstParagraph"/>
      </w:pPr>
      <w:r>
        <w:t xml:space="preserve">Las cajas de entidad prestadora (EPS/IPS/gestor) y de tipo de servicio recibido —que determinan el módulo final del cuestionario (</w:t>
      </w:r>
      <w:r>
        <w:t xml:space="preserve">??</w:t>
      </w:r>
      <w:r>
        <w:t xml:space="preserve">)— no reciben una cuota de asignación definida a priori. Las nueve rutas posibles del árbol de decisión se nutren del mismo universo de 7 876 encuestas ya asignado por región, régimen, sexo, edad y zona; el número de casos que finalmente recae en cada ruta depende de la regla con la que se asigna el módulo a cada usuario —regla que, según se documenta en el capítulo de reconciliación de estructuras (</w:t>
      </w:r>
      <w:r>
        <w:t xml:space="preserve">??</w:t>
      </w:r>
      <w:r>
        <w:t xml:space="preserve">), se resuelve antes del diligenciamiento del cuestionario y cuyo criterio operativo exacto no está documentado en los insumos técnicos disponibles—, no de una meta de cuota fijada por módulo. La correspondencia completa entre esta asignación y las cuotas demográficas se desarrolla en el capítulo de relación entre cuestionario y cuotas.</w:t>
      </w:r>
    </w:p>
    <w:bookmarkEnd w:id="67"/>
    <w:bookmarkEnd w:id="68"/>
    <w:bookmarkStart w:id="69" w:name="X7e6d607937ffb6faa7ffbca055dfc617974917d"/>
    <w:p>
      <w:pPr>
        <w:pStyle w:val="Heading2"/>
      </w:pPr>
      <w:r>
        <w:rPr>
          <w:rStyle w:val="SectionNumber"/>
        </w:rPr>
        <w:t xml:space="preserve">4.4</w:t>
      </w:r>
      <w:r>
        <w:tab/>
      </w:r>
      <w:r>
        <w:t xml:space="preserve">Diferenciación conceptual: cuota ≠ estrato ≠ dominio ≠ variable de calibración</w:t>
      </w:r>
    </w:p>
    <w:p>
      <w:pPr>
        <w:pStyle w:val="Compact"/>
        <w:numPr>
          <w:ilvl w:val="0"/>
          <w:numId w:val="1008"/>
        </w:numPr>
      </w:pPr>
      <w:r>
        <w:rPr>
          <w:b/>
          <w:bCs/>
        </w:rPr>
        <w:t xml:space="preserve">Cuota.</w:t>
      </w:r>
      <w:r>
        <w:t xml:space="preserve"> </w:t>
      </w:r>
      <w:r>
        <w:t xml:space="preserve">Meta de composición de la muestra, fijada ex ante para cada celda de región × régimen × sexo × grupo de edad × zona (</w:t>
      </w:r>
      <w:r>
        <w:t xml:space="preserve">4</w:t>
      </w:r>
      <w:r>
        <w:t xml:space="preserve">), sin mecanismo aleatorio de selección dentro de la celda. Su función es controlar la composición demográfica de la captación, no producir una estimación insesgada por sí misma.</w:t>
      </w:r>
    </w:p>
    <w:p>
      <w:pPr>
        <w:pStyle w:val="Compact"/>
        <w:numPr>
          <w:ilvl w:val="0"/>
          <w:numId w:val="1008"/>
        </w:numPr>
      </w:pPr>
      <w:r>
        <w:rPr>
          <w:b/>
          <w:bCs/>
        </w:rPr>
        <w:t xml:space="preserve">Estrato.</w:t>
      </w:r>
      <w:r>
        <w:t xml:space="preserve"> </w:t>
      </w:r>
      <w:r>
        <w:t xml:space="preserve">En el sentido probabilístico clásico, un estrato implica una partición de la población con selección aleatoria y probabilidad de inclusión conocida dentro de cada parte</w:t>
      </w:r>
      <w:r>
        <w:t xml:space="preserve"> </w:t>
      </w:r>
      <w:r>
        <w:t xml:space="preserve">(</w:t>
      </w:r>
      <w:hyperlink w:anchor="ref-Cochran1977">
        <w:r>
          <w:rPr>
            <w:rStyle w:val="Hyperlink"/>
          </w:rPr>
          <w:t xml:space="preserve">Cochran 1977</w:t>
        </w:r>
      </w:hyperlink>
      <w:r>
        <w:t xml:space="preserve">;</w:t>
      </w:r>
      <w:r>
        <w:t xml:space="preserve"> </w:t>
      </w:r>
      <w:hyperlink w:anchor="ref-Kish1965">
        <w:r>
          <w:rPr>
            <w:rStyle w:val="Hyperlink"/>
          </w:rPr>
          <w:t xml:space="preserve">Kish 1965</w:t>
        </w:r>
      </w:hyperlink>
      <w:r>
        <w:t xml:space="preserve">)</w:t>
      </w:r>
      <w:r>
        <w:t xml:space="preserve">. ENUS 2026 no tiene estratos en ese sentido formal: las celdas de cuota organizan la captación, pero no hay selección aleatoria dentro de ellas (</w:t>
      </w:r>
      <w:r>
        <w:t xml:space="preserve">4</w:t>
      </w:r>
      <w:r>
        <w:t xml:space="preserve">).</w:t>
      </w:r>
    </w:p>
    <w:p>
      <w:pPr>
        <w:pStyle w:val="Compact"/>
        <w:numPr>
          <w:ilvl w:val="0"/>
          <w:numId w:val="1008"/>
        </w:numPr>
      </w:pPr>
      <w:r>
        <w:rPr>
          <w:b/>
          <w:bCs/>
        </w:rPr>
        <w:t xml:space="preserve">Dominio.</w:t>
      </w:r>
      <w:r>
        <w:t xml:space="preserve"> </w:t>
      </w:r>
      <w:r>
        <w:t xml:space="preserve">Agregación utilizada para la producción y publicación de resultados (nacional, regional, por régimen, por sexo, etc.). Puede coincidir en las variables que definen la cuota, pero cumple una función de reporte y estimación, no de control de la captación.</w:t>
      </w:r>
    </w:p>
    <w:p>
      <w:pPr>
        <w:pStyle w:val="Compact"/>
        <w:numPr>
          <w:ilvl w:val="0"/>
          <w:numId w:val="1008"/>
        </w:numPr>
      </w:pPr>
      <w:r>
        <w:rPr>
          <w:b/>
          <w:bCs/>
        </w:rPr>
        <w:t xml:space="preserve">Variable de calibración.</w:t>
      </w:r>
      <w:r>
        <w:t xml:space="preserve"> </w:t>
      </w:r>
      <w:r>
        <w:t xml:space="preserve">Variable auxiliar utilizada en el ajuste posterior de los pesos contra los totales de referencia de la BDUA (capítulo de ponderación y calibración). Puede compartir las mismas variables que la cuota (sexo, edad, régimen, zona, región), pero cumple una función distinta: corrige desbalances remanentes en la muestra ya captada, mientras que la cuota controla la composición de la captación misma.</w:t>
      </w:r>
    </w:p>
    <w:bookmarkEnd w:id="69"/>
    <w:bookmarkStart w:id="70" w:name="papel-de-las-eps-e-ips-en-la-captación"/>
    <w:p>
      <w:pPr>
        <w:pStyle w:val="Heading2"/>
      </w:pPr>
      <w:r>
        <w:rPr>
          <w:rStyle w:val="SectionNumber"/>
        </w:rPr>
        <w:t xml:space="preserve">4.5</w:t>
      </w:r>
      <w:r>
        <w:tab/>
      </w:r>
      <w:r>
        <w:t xml:space="preserve">Papel de las EPS e IPS en la captación</w:t>
      </w:r>
    </w:p>
    <w:p>
      <w:pPr>
        <w:pStyle w:val="FirstParagraph"/>
      </w:pPr>
      <w:r>
        <w:t xml:space="preserve">El papel de las EPS, IPS y gestores farmacéuticos dentro de la operación —como dato de identificación del usuario y como variable de clasificación del módulo del cuestionario, sin selección institucional ni evidencia de un canal activo de reclutamiento— se documenta de forma completa en</w:t>
      </w:r>
      <w:r>
        <w:t xml:space="preserve"> </w:t>
      </w:r>
      <w:r>
        <w:t xml:space="preserve">??</w:t>
      </w:r>
      <w:r>
        <w:t xml:space="preserve"> </w:t>
      </w:r>
      <w:r>
        <w:t xml:space="preserve">y no se repite aquí.</w:t>
      </w:r>
    </w:p>
    <w:bookmarkEnd w:id="70"/>
    <w:bookmarkStart w:id="71" w:name="X86ea88ad69d9d484b2f5351ff8ff787dd8bdd7f"/>
    <w:p>
      <w:pPr>
        <w:pStyle w:val="Heading2"/>
      </w:pPr>
      <w:r>
        <w:rPr>
          <w:rStyle w:val="SectionNumber"/>
        </w:rPr>
        <w:t xml:space="preserve">4.6</w:t>
      </w:r>
      <w:r>
        <w:tab/>
      </w:r>
      <w:r>
        <w:t xml:space="preserve">Alcance inferencial y limitaciones generales</w:t>
      </w:r>
    </w:p>
    <w:p>
      <w:pPr>
        <w:pStyle w:val="FirstParagraph"/>
      </w:pPr>
      <w:r>
        <w:t xml:space="preserve">Dado que no existe un mecanismo aleatorio de inclusión a nivel de usuario, la probabilidad efectiva de que un usuario elegible (</w:t>
      </w:r>
      <w:r>
        <w:t xml:space="preserve">3.2</w:t>
      </w:r>
      <w:r>
        <w:t xml:space="preserve">) quede incluido en la muestra no es observable ni controlada por un mecanismo formal: depende de su decisión de acceder a</w:t>
      </w:r>
      <w:r>
        <w:t xml:space="preserve"> </w:t>
      </w:r>
      <w:r>
        <w:rPr>
          <w:i/>
          <w:iCs/>
        </w:rPr>
        <w:t xml:space="preserve">ClicSalud</w:t>
      </w:r>
      <w:r>
        <w:t xml:space="preserve"> </w:t>
      </w:r>
      <w:r>
        <w:t xml:space="preserve">y completar el cuestionario dentro de una celda de cuota aún abierta. El esquema de cuotas reduce el desequilibrio marginal en las variables demográficas utilizadas para su construcción, pero no elimina por sí mismo el sesgo de autoselección en variables no observadas</w:t>
      </w:r>
      <w:r>
        <w:t xml:space="preserve"> </w:t>
      </w:r>
      <w:r>
        <w:t xml:space="preserve">(</w:t>
      </w:r>
      <w:hyperlink w:anchor="ref-ElliottValliant2017">
        <w:r>
          <w:rPr>
            <w:rStyle w:val="Hyperlink"/>
          </w:rPr>
          <w:t xml:space="preserve">Elliott y Valliant 2017</w:t>
        </w:r>
      </w:hyperlink>
      <w:r>
        <w:t xml:space="preserve">;</w:t>
      </w:r>
      <w:r>
        <w:t xml:space="preserve"> </w:t>
      </w:r>
      <w:hyperlink w:anchor="ref-WangValliant2015">
        <w:r>
          <w:rPr>
            <w:rStyle w:val="Hyperlink"/>
          </w:rPr>
          <w:t xml:space="preserve">Wang y Valliant 2015</w:t>
        </w:r>
      </w:hyperlink>
      <w:r>
        <w:t xml:space="preserve">;</w:t>
      </w:r>
      <w:r>
        <w:t xml:space="preserve"> </w:t>
      </w:r>
      <w:hyperlink w:anchor="ref-LeeValliant2006">
        <w:r>
          <w:rPr>
            <w:rStyle w:val="Hyperlink"/>
          </w:rPr>
          <w:t xml:space="preserve">Lee y Valliant 2006</w:t>
        </w:r>
      </w:hyperlink>
      <w:r>
        <w:t xml:space="preserve">)</w:t>
      </w:r>
      <w:r>
        <w:t xml:space="preserve">. El desarrollo completo de esta limitación, y de las demás limitaciones propias del muestreo por cuotas, se documenta en el capítulo de limitaciones del muestreo por cuotas; el mecanismo de selección dentro de cada celda de cuota se desarrolla en el capítulo de mecanismo de selección; y la matriz completa de variables, categorías y metas de cuota se desarrolla en el capítulo de muestreo por cuotas.</w:t>
      </w:r>
    </w:p>
    <w:bookmarkEnd w:id="71"/>
    <w:bookmarkEnd w:id="72"/>
    <w:bookmarkStart w:id="117" w:name="referencias"/>
    <w:p>
      <w:pPr>
        <w:pStyle w:val="Heading1"/>
      </w:pPr>
      <w:r>
        <w:t xml:space="preserve">Referencias</w:t>
      </w:r>
    </w:p>
    <w:bookmarkStart w:id="116" w:name="refs"/>
    <w:bookmarkStart w:id="74"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73">
        <w:r>
          <w:rPr>
            <w:rStyle w:val="Hyperlink"/>
          </w:rPr>
          <w:t xml:space="preserve">https://www.ahrq.gov/cahps/index.html</w:t>
        </w:r>
      </w:hyperlink>
      <w:r>
        <w:t xml:space="preserve">.</w:t>
      </w:r>
    </w:p>
    <w:bookmarkEnd w:id="74"/>
    <w:bookmarkStart w:id="76" w:name="ref-AHRQ_CAHPS_Measures"/>
    <w:p>
      <w:pPr>
        <w:pStyle w:val="Bibliography"/>
      </w:pPr>
      <w:r>
        <w:t xml:space="preserve">Agency for Healthcare Research and Quality. 2024.</w:t>
      </w:r>
      <w:r>
        <w:t xml:space="preserve"> </w:t>
      </w:r>
      <w:r>
        <w:t xml:space="preserve">«CAHPS Measures of Patient Experience»</w:t>
      </w:r>
      <w:r>
        <w:t xml:space="preserve">.</w:t>
      </w:r>
      <w:r>
        <w:t xml:space="preserve"> </w:t>
      </w:r>
      <w:hyperlink r:id="rId75">
        <w:r>
          <w:rPr>
            <w:rStyle w:val="Hyperlink"/>
          </w:rPr>
          <w:t xml:space="preserve">https://www.ahrq.gov/cahps/consumer-reporting/measures/index.html</w:t>
        </w:r>
      </w:hyperlink>
      <w:r>
        <w:t xml:space="preserve">.</w:t>
      </w:r>
    </w:p>
    <w:bookmarkEnd w:id="76"/>
    <w:bookmarkStart w:id="77" w:name="ref-Cochran1977"/>
    <w:p>
      <w:pPr>
        <w:pStyle w:val="Bibliography"/>
      </w:pPr>
      <w:r>
        <w:t xml:space="preserve">Cochran, William G. 1977.</w:t>
      </w:r>
      <w:r>
        <w:t xml:space="preserve"> </w:t>
      </w:r>
      <w:r>
        <w:rPr>
          <w:i/>
          <w:iCs/>
        </w:rPr>
        <w:t xml:space="preserve">Sampling Techniques</w:t>
      </w:r>
      <w:r>
        <w:t xml:space="preserve">. 3.ª ed. Wiley.</w:t>
      </w:r>
    </w:p>
    <w:bookmarkEnd w:id="77"/>
    <w:bookmarkStart w:id="79" w:name="ref-MSPS2014_2015"/>
    <w:p>
      <w:pPr>
        <w:pStyle w:val="Bibliography"/>
      </w:pPr>
      <w:r>
        <w:t xml:space="preserve">Consultores en Información Infométrika S.A.S. 2015.</w:t>
      </w:r>
      <w:r>
        <w:t xml:space="preserve"> </w:t>
      </w:r>
      <w:r>
        <w:rPr>
          <w:i/>
          <w:iCs/>
        </w:rPr>
        <w:t xml:space="preserve">Estudio de Evaluación de los Servicios de las EPS por Parte de los Usuarios, en el Régimen Contributivo y Subsidiado: Informe de Resultados</w:t>
      </w:r>
      <w:r>
        <w:t xml:space="preserve">. Ministerio de Salud y Protección Social.</w:t>
      </w:r>
      <w:r>
        <w:t xml:space="preserve"> </w:t>
      </w:r>
      <w:hyperlink r:id="rId78">
        <w:r>
          <w:rPr>
            <w:rStyle w:val="Hyperlink"/>
          </w:rPr>
          <w:t xml:space="preserve">https://www.minsalud.gov.co/sites/rid/Lists/BibliotecaDigital/RIDE/DE/CA/estudio-evaluacion-servicios-eps.pdf</w:t>
        </w:r>
      </w:hyperlink>
      <w:r>
        <w:t xml:space="preserve">.</w:t>
      </w:r>
    </w:p>
    <w:bookmarkEnd w:id="79"/>
    <w:bookmarkStart w:id="80" w:name="ref-CressieRead1984"/>
    <w:p>
      <w:pPr>
        <w:pStyle w:val="Bibliography"/>
      </w:pPr>
      <w:r>
        <w:t xml:space="preserve">Cressie, Noel, y Timothy R. C. Read. 1984.</w:t>
      </w:r>
      <w:r>
        <w:t xml:space="preserve"> </w:t>
      </w:r>
      <w:r>
        <w:t xml:space="preserve">«Multinomial Goodness-of-Fit Tests»</w:t>
      </w:r>
      <w:r>
        <w:t xml:space="preserve">.</w:t>
      </w:r>
      <w:r>
        <w:t xml:space="preserve"> </w:t>
      </w:r>
      <w:r>
        <w:rPr>
          <w:i/>
          <w:iCs/>
        </w:rPr>
        <w:t xml:space="preserve">Journal of the Royal Statistical Society. Series B</w:t>
      </w:r>
      <w:r>
        <w:t xml:space="preserve"> </w:t>
      </w:r>
      <w:r>
        <w:t xml:space="preserve">46 (3): 440-64.</w:t>
      </w:r>
    </w:p>
    <w:bookmarkEnd w:id="80"/>
    <w:bookmarkStart w:id="81"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81"/>
    <w:bookmarkStart w:id="82"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p>
    <w:bookmarkEnd w:id="82"/>
    <w:bookmarkStart w:id="83" w:name="ref-EfronTibshirani1993"/>
    <w:p>
      <w:pPr>
        <w:pStyle w:val="Bibliography"/>
      </w:pPr>
      <w:r>
        <w:t xml:space="preserve">Efron, Bradley, y Robert J. Tibshirani. 1993.</w:t>
      </w:r>
      <w:r>
        <w:t xml:space="preserve"> </w:t>
      </w:r>
      <w:r>
        <w:rPr>
          <w:i/>
          <w:iCs/>
        </w:rPr>
        <w:t xml:space="preserve">An Introduction to the Bootstrap</w:t>
      </w:r>
      <w:r>
        <w:t xml:space="preserve">. Chapman &amp; Hall/CRC.</w:t>
      </w:r>
    </w:p>
    <w:bookmarkEnd w:id="83"/>
    <w:bookmarkStart w:id="84" w:name="ref-ElliottValliant2017"/>
    <w:p>
      <w:pPr>
        <w:pStyle w:val="Bibliography"/>
      </w:pPr>
      <w:r>
        <w:t xml:space="preserve">Elliott, Michael R., y Richard Valliant. 2017.</w:t>
      </w:r>
      <w:r>
        <w:t xml:space="preserve"> </w:t>
      </w:r>
      <w:r>
        <w:t xml:space="preserve">«Calibration weighting for nonprobability samples»</w:t>
      </w:r>
      <w:r>
        <w:t xml:space="preserve">.</w:t>
      </w:r>
      <w:r>
        <w:t xml:space="preserve"> </w:t>
      </w:r>
      <w:r>
        <w:rPr>
          <w:i/>
          <w:iCs/>
        </w:rPr>
        <w:t xml:space="preserve">Statistical Science</w:t>
      </w:r>
      <w:r>
        <w:t xml:space="preserve"> </w:t>
      </w:r>
      <w:r>
        <w:t xml:space="preserve">32 (2): 249-64.</w:t>
      </w:r>
    </w:p>
    <w:bookmarkEnd w:id="84"/>
    <w:bookmarkStart w:id="85" w:name="ref-Kish1965"/>
    <w:p>
      <w:pPr>
        <w:pStyle w:val="Bibliography"/>
      </w:pPr>
      <w:r>
        <w:t xml:space="preserve">Kish, Leslie. 1965.</w:t>
      </w:r>
      <w:r>
        <w:t xml:space="preserve"> </w:t>
      </w:r>
      <w:r>
        <w:rPr>
          <w:i/>
          <w:iCs/>
        </w:rPr>
        <w:t xml:space="preserve">Survey Sampling</w:t>
      </w:r>
      <w:r>
        <w:t xml:space="preserve">. Wiley.</w:t>
      </w:r>
    </w:p>
    <w:bookmarkEnd w:id="85"/>
    <w:bookmarkStart w:id="86" w:name="ref-LeeValliant2006"/>
    <w:p>
      <w:pPr>
        <w:pStyle w:val="Bibliography"/>
      </w:pPr>
      <w:r>
        <w:t xml:space="preserve">Lee, Sunghee, y Richard Valliant. 2006.</w:t>
      </w:r>
      <w:r>
        <w:t xml:space="preserve"> </w:t>
      </w:r>
      <w:r>
        <w:rPr>
          <w:i/>
          <w:iCs/>
        </w:rPr>
        <w:t xml:space="preserve">Propensity Score Adjustment for Nonresponse in Surveys</w:t>
      </w:r>
      <w:r>
        <w:t xml:space="preserve">. RTI Press.</w:t>
      </w:r>
    </w:p>
    <w:bookmarkEnd w:id="86"/>
    <w:bookmarkStart w:id="88" w:name="ref-MSPS2018"/>
    <w:p>
      <w:pPr>
        <w:pStyle w:val="Bibliography"/>
      </w:pPr>
      <w:r>
        <w:t xml:space="preserve">Matajira Gaitán, Camilo, Eric Barney Iglesias, Wilman Bonett Molina, y Germán Escobar Morales. 2018.</w:t>
      </w:r>
      <w:r>
        <w:t xml:space="preserve"> </w:t>
      </w:r>
      <w:r>
        <w:rPr>
          <w:i/>
          <w:iCs/>
        </w:rPr>
        <w:t xml:space="preserve">Sistema de Evaluación y Calificación de Actores: Ranking de Satisfacción</w:t>
      </w:r>
      <w:r>
        <w:rPr>
          <w:i/>
          <w:iCs/>
        </w:rPr>
        <w:t xml:space="preserve"> </w:t>
      </w:r>
      <w:r>
        <w:rPr>
          <w:i/>
          <w:iCs/>
        </w:rPr>
        <w:t xml:space="preserve">EPS</w:t>
      </w:r>
      <w:r>
        <w:rPr>
          <w:i/>
          <w:iCs/>
        </w:rPr>
        <w:t xml:space="preserve"> </w:t>
      </w:r>
      <w:r>
        <w:rPr>
          <w:i/>
          <w:iCs/>
        </w:rPr>
        <w:t xml:space="preserve">2018</w:t>
      </w:r>
      <w:r>
        <w:t xml:space="preserve">. Oficina de Calidad, Ministerio de Salud y Protección Social.</w:t>
      </w:r>
      <w:r>
        <w:t xml:space="preserve"> </w:t>
      </w:r>
      <w:hyperlink r:id="rId87">
        <w:r>
          <w:rPr>
            <w:rStyle w:val="Hyperlink"/>
          </w:rPr>
          <w:t xml:space="preserve">https://www.minsalud.gov.co/sites/rid/Lists/BibliotecaDigital/RIDE/DE/CA/ranking-satisfaccion-eps-2018.pdf</w:t>
        </w:r>
      </w:hyperlink>
      <w:r>
        <w:t xml:space="preserve">.</w:t>
      </w:r>
    </w:p>
    <w:bookmarkEnd w:id="88"/>
    <w:bookmarkStart w:id="90"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89">
        <w:r>
          <w:rPr>
            <w:rStyle w:val="Hyperlink"/>
          </w:rPr>
          <w:t xml:space="preserve">https://www.minsalud.gov.co/normatividad_nuevo/decreto\%201011\%20de\%202006.pdf</w:t>
        </w:r>
      </w:hyperlink>
      <w:r>
        <w:t xml:space="preserve">.</w:t>
      </w:r>
    </w:p>
    <w:bookmarkEnd w:id="90"/>
    <w:bookmarkStart w:id="91"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91"/>
    <w:bookmarkStart w:id="93" w:name="ref-Decreto780_2016"/>
    <w:p>
      <w:pPr>
        <w:pStyle w:val="Bibliography"/>
      </w:pPr>
      <w:r>
        <w:t xml:space="preserve">Ministerio de Salud y Protección Social. 2016a.</w:t>
      </w:r>
      <w:r>
        <w:t xml:space="preserve"> </w:t>
      </w:r>
      <w:r>
        <w:rPr>
          <w:i/>
          <w:iCs/>
        </w:rPr>
        <w:t xml:space="preserve">Decreto 780 de 2016, por medio del cual se expide el Decreto Único Reglamentario del Sector Salud y Protección Social</w:t>
      </w:r>
      <w:r>
        <w:t xml:space="preserve">. Ministerio de Salud y Protección Social.</w:t>
      </w:r>
      <w:r>
        <w:t xml:space="preserve"> </w:t>
      </w:r>
      <w:hyperlink r:id="rId92">
        <w:r>
          <w:rPr>
            <w:rStyle w:val="Hyperlink"/>
          </w:rPr>
          <w:t xml:space="preserve">https://www.minsalud.gov.co/Normativa/paginas/decreto-unico-minsalud-780-de-2016.aspx</w:t>
        </w:r>
      </w:hyperlink>
      <w:r>
        <w:t xml:space="preserve">.</w:t>
      </w:r>
    </w:p>
    <w:bookmarkEnd w:id="93"/>
    <w:bookmarkStart w:id="95" w:name="ref-MSPS2016"/>
    <w:p>
      <w:pPr>
        <w:pStyle w:val="Bibliography"/>
      </w:pPr>
      <w:r>
        <w:t xml:space="preserve">Ministerio de Salud y Protección Social. 2016b.</w:t>
      </w:r>
      <w:r>
        <w:t xml:space="preserve"> </w:t>
      </w:r>
      <w:r>
        <w:rPr>
          <w:i/>
          <w:iCs/>
        </w:rPr>
        <w:t xml:space="preserve">Encuesta de Evaluación de los Servicios de las EPS: Informe Final</w:t>
      </w:r>
      <w:r>
        <w:t xml:space="preserve">. Oficina de Calidad, Ministerio de Salud y Protección Social.</w:t>
      </w:r>
      <w:r>
        <w:t xml:space="preserve"> </w:t>
      </w:r>
      <w:hyperlink r:id="rId94">
        <w:r>
          <w:rPr>
            <w:rStyle w:val="Hyperlink"/>
          </w:rPr>
          <w:t xml:space="preserve">https://www.minsalud.gov.co/sites/rid/Lists/BibliotecaDigital/RIDE/DE/CA/evalacion-servicios-eps-2016.pdf</w:t>
        </w:r>
      </w:hyperlink>
      <w:r>
        <w:t xml:space="preserve">.</w:t>
      </w:r>
    </w:p>
    <w:bookmarkEnd w:id="95"/>
    <w:bookmarkStart w:id="97" w:name="ref-Resolucion256_2016"/>
    <w:p>
      <w:pPr>
        <w:pStyle w:val="Bibliography"/>
      </w:pPr>
      <w:r>
        <w:t xml:space="preserve">Ministerio de Salud y Protección Social. 2016c.</w:t>
      </w:r>
      <w:r>
        <w:t xml:space="preserve"> </w:t>
      </w:r>
      <w:r>
        <w:rPr>
          <w:i/>
          <w:iCs/>
        </w:rPr>
        <w:t xml:space="preserve">Resolución 256 de 2016, por la cual se dictan disposiciones en relación con el Sistema de Información para la Calidad y se establecen los indicadores para el monitoreo de la calidad en salud</w:t>
      </w:r>
      <w:r>
        <w:t xml:space="preserve">. Ministerio de Salud y Protección Social.</w:t>
      </w:r>
      <w:r>
        <w:t xml:space="preserve"> </w:t>
      </w:r>
      <w:hyperlink r:id="rId96">
        <w:r>
          <w:rPr>
            <w:rStyle w:val="Hyperlink"/>
          </w:rPr>
          <w:t xml:space="preserve">https://minsalud.gov.co/sites/rid/Lists/BibliotecaDigital/RIDE/DE/CA/abece-resolucion-256-de-2016.pdf</w:t>
        </w:r>
      </w:hyperlink>
      <w:r>
        <w:t xml:space="preserve">.</w:t>
      </w:r>
    </w:p>
    <w:bookmarkEnd w:id="97"/>
    <w:bookmarkStart w:id="99" w:name="ref-MSPS2017"/>
    <w:p>
      <w:pPr>
        <w:pStyle w:val="Bibliography"/>
      </w:pPr>
      <w:r>
        <w:t xml:space="preserve">Ministerio de Salud y Protección Social. 2017.</w:t>
      </w:r>
      <w:r>
        <w:t xml:space="preserve"> </w:t>
      </w:r>
      <w:r>
        <w:rPr>
          <w:i/>
          <w:iCs/>
        </w:rPr>
        <w:t xml:space="preserve">Encuesta Nacional de Evaluación de los Servicios de las</w:t>
      </w:r>
      <w:r>
        <w:rPr>
          <w:i/>
          <w:iCs/>
        </w:rPr>
        <w:t xml:space="preserve"> </w:t>
      </w:r>
      <w:r>
        <w:rPr>
          <w:i/>
          <w:iCs/>
        </w:rPr>
        <w:t xml:space="preserve">EPS</w:t>
      </w:r>
      <w:r>
        <w:rPr>
          <w:i/>
          <w:iCs/>
        </w:rPr>
        <w:t xml:space="preserve">: Informe Final Colombia 2017</w:t>
      </w:r>
      <w:r>
        <w:t xml:space="preserve">. Ministerio de Salud y Protección Social.</w:t>
      </w:r>
      <w:r>
        <w:t xml:space="preserve"> </w:t>
      </w:r>
      <w:hyperlink r:id="rId98">
        <w:r>
          <w:rPr>
            <w:rStyle w:val="Hyperlink"/>
          </w:rPr>
          <w:t xml:space="preserve">https://www.minsalud.gov.co/sites/rid/Lists/BibliotecaDigital/RIDE/DE/CA/Informe-encuesta-satisfaccion-eps-2017.pdf</w:t>
        </w:r>
      </w:hyperlink>
      <w:r>
        <w:t xml:space="preserve">.</w:t>
      </w:r>
    </w:p>
    <w:bookmarkEnd w:id="99"/>
    <w:bookmarkStart w:id="101" w:name="ref-MSPS2020"/>
    <w:p>
      <w:pPr>
        <w:pStyle w:val="Bibliography"/>
      </w:pPr>
      <w:r>
        <w:t xml:space="preserve">Ministerio de Salud y Protección Social. 2020.</w:t>
      </w:r>
      <w:r>
        <w:t xml:space="preserve"> </w:t>
      </w:r>
      <w:r>
        <w:rPr>
          <w:i/>
          <w:iCs/>
        </w:rPr>
        <w:t xml:space="preserve">Estudio Nacional de Evaluación de los Servicios de las</w:t>
      </w:r>
      <w:r>
        <w:rPr>
          <w:i/>
          <w:iCs/>
        </w:rPr>
        <w:t xml:space="preserve"> </w:t>
      </w:r>
      <w:r>
        <w:rPr>
          <w:i/>
          <w:iCs/>
        </w:rPr>
        <w:t xml:space="preserve">EPS</w:t>
      </w:r>
      <w:r>
        <w:rPr>
          <w:i/>
          <w:iCs/>
        </w:rPr>
        <w:t xml:space="preserve"> </w:t>
      </w:r>
      <w:r>
        <w:rPr>
          <w:i/>
          <w:iCs/>
        </w:rPr>
        <w:t xml:space="preserve">– Régimen Contributivo y Subsidiado 2020: Informe Final</w:t>
      </w:r>
      <w:r>
        <w:t xml:space="preserve">. Oficina de Calidad, Ministerio de Salud y Protección Social.</w:t>
      </w:r>
      <w:r>
        <w:t xml:space="preserve"> </w:t>
      </w:r>
      <w:hyperlink r:id="rId100">
        <w:r>
          <w:rPr>
            <w:rStyle w:val="Hyperlink"/>
          </w:rPr>
          <w:t xml:space="preserve">https://www.minsalud.gov.co/sites/rid/Lists/BibliotecaDigital/RIDE/DE/CA/evaluacion-eps-2020-minsalud.pdf</w:t>
        </w:r>
      </w:hyperlink>
      <w:r>
        <w:t xml:space="preserve">.</w:t>
      </w:r>
    </w:p>
    <w:bookmarkEnd w:id="101"/>
    <w:bookmarkStart w:id="103" w:name="ref-MSPS2022"/>
    <w:p>
      <w:pPr>
        <w:pStyle w:val="Bibliography"/>
      </w:pPr>
      <w:r>
        <w:t xml:space="preserve">Ministerio de Salud y Protección Social. 2022.</w:t>
      </w:r>
      <w:r>
        <w:t xml:space="preserve"> </w:t>
      </w:r>
      <w:r>
        <w:rPr>
          <w:i/>
          <w:iCs/>
        </w:rPr>
        <w:t xml:space="preserve">Encuesta Nacional de Satisfacción de los Usuarios frente a los Servicios de las</w:t>
      </w:r>
      <w:r>
        <w:rPr>
          <w:i/>
          <w:iCs/>
        </w:rPr>
        <w:t xml:space="preserve"> </w:t>
      </w:r>
      <w:r>
        <w:rPr>
          <w:i/>
          <w:iCs/>
        </w:rPr>
        <w:t xml:space="preserve">EPS</w:t>
      </w:r>
      <w:r>
        <w:rPr>
          <w:i/>
          <w:iCs/>
        </w:rPr>
        <w:t xml:space="preserve"> </w:t>
      </w:r>
      <w:r>
        <w:rPr>
          <w:i/>
          <w:iCs/>
        </w:rPr>
        <w:t xml:space="preserve">– 2022</w:t>
      </w:r>
      <w:r>
        <w:t xml:space="preserve">. Ministerio de Salud y Protección Social.</w:t>
      </w:r>
      <w:r>
        <w:t xml:space="preserve"> </w:t>
      </w:r>
      <w:hyperlink r:id="rId102">
        <w:r>
          <w:rPr>
            <w:rStyle w:val="Hyperlink"/>
          </w:rPr>
          <w:t xml:space="preserve">https://www.minsalud.gov.co/sites/rid/Lists/BibliotecaDigital/RIDE/DE/CA/encuesta-satisfaccion-servicios-eps-2022.pdf</w:t>
        </w:r>
      </w:hyperlink>
      <w:r>
        <w:t xml:space="preserve">.</w:t>
      </w:r>
    </w:p>
    <w:bookmarkEnd w:id="103"/>
    <w:bookmarkStart w:id="105"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104">
        <w:r>
          <w:rPr>
            <w:rStyle w:val="Hyperlink"/>
          </w:rPr>
          <w:t xml:space="preserve">https://www.minsalud.gov.co/sites/rid/Lists/BibliotecaDigital/RIDE/DE/CA/resultados-encuesta-satisfaccion-usuarios-sistema-salud-colombiano-enfasis-atencion-primaria.pdf</w:t>
        </w:r>
      </w:hyperlink>
      <w:r>
        <w:t xml:space="preserve">.</w:t>
      </w:r>
    </w:p>
    <w:bookmarkEnd w:id="105"/>
    <w:bookmarkStart w:id="107"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Oficina de Calidad, Ministerio de Salud y Protección Social.</w:t>
      </w:r>
      <w:r>
        <w:t xml:space="preserve"> </w:t>
      </w:r>
      <w:hyperlink r:id="rId106">
        <w:r>
          <w:rPr>
            <w:rStyle w:val="Hyperlink"/>
          </w:rPr>
          <w:t xml:space="preserve">https://www.sispro.gov.co/observatorios/oncalidadsalud/Paginas/Publicaciones.aspx</w:t>
        </w:r>
      </w:hyperlink>
      <w:r>
        <w:t xml:space="preserve">.</w:t>
      </w:r>
    </w:p>
    <w:bookmarkEnd w:id="107"/>
    <w:bookmarkStart w:id="109" w:name="ref-MSPS2025"/>
    <w:p>
      <w:pPr>
        <w:pStyle w:val="Bibliography"/>
      </w:pPr>
      <w:r>
        <w:t xml:space="preserve">Ministerio de Salud y Protección Social. 2025.</w:t>
      </w:r>
      <w:r>
        <w:t xml:space="preserve"> </w:t>
      </w:r>
      <w:r>
        <w:rPr>
          <w:i/>
          <w:iCs/>
        </w:rPr>
        <w:t xml:space="preserve">Encuesta para Evaluar la Satisfacción de los Usuarios del Sistema de Salud Colombiano 2025</w:t>
      </w:r>
      <w:r>
        <w:t xml:space="preserve">. Oficina de Calidad, Ministerio de Salud y Protección Social.</w:t>
      </w:r>
      <w:r>
        <w:t xml:space="preserve"> </w:t>
      </w:r>
      <w:hyperlink r:id="rId108">
        <w:r>
          <w:rPr>
            <w:rStyle w:val="Hyperlink"/>
          </w:rPr>
          <w:t xml:space="preserve">https://www.minsalud.gov.co/sites/rid/Lists/BibliotecaDigital/RIDE/DE/CA/informe-encuesta-satisfaccion-2025.pdf</w:t>
        </w:r>
      </w:hyperlink>
      <w:r>
        <w:t xml:space="preserve">.</w:t>
      </w:r>
    </w:p>
    <w:bookmarkEnd w:id="109"/>
    <w:bookmarkStart w:id="110" w:name="ref-Resolucion1642_2026"/>
    <w:p>
      <w:pPr>
        <w:pStyle w:val="Bibliography"/>
      </w:pPr>
      <w:r>
        <w:t xml:space="preserve">Ministerio de Salud y Protección Social. 2026.</w:t>
      </w:r>
      <w:r>
        <w:t xml:space="preserve"> </w:t>
      </w:r>
      <w:r>
        <w:rPr>
          <w:i/>
          <w:iCs/>
        </w:rPr>
        <w:t xml:space="preserve">Resolución 1642 de 2026, por la cual se actualizan las reglas para la elaboración, entrega y divulgación de la Carta de Derechos y Deberes de las personas afiliadas al sistema de salud y se adopta la Encuesta Nacional de Experiencia del Usuario en Salud (</w:t>
      </w:r>
      <w:r>
        <w:rPr>
          <w:i/>
          <w:iCs/>
        </w:rPr>
        <w:t xml:space="preserve">ENUS</w:t>
      </w:r>
      <w:r>
        <w:rPr>
          <w:i/>
          <w:iCs/>
        </w:rPr>
        <w:t xml:space="preserve">) como instrumento oficial y permanente de medición del desempeño de las EPS y demás actores del sistema</w:t>
      </w:r>
      <w:r>
        <w:t xml:space="preserve">. Ministerio de Salud y Protección Social.</w:t>
      </w:r>
    </w:p>
    <w:bookmarkEnd w:id="110"/>
    <w:bookmarkStart w:id="112"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111">
        <w:r>
          <w:rPr>
            <w:rStyle w:val="Hyperlink"/>
          </w:rPr>
          <w:t xml:space="preserve">https://www.oecd.org/en/publications/does-healthcare-deliver_c8af05a5-en.html</w:t>
        </w:r>
      </w:hyperlink>
      <w:r>
        <w:t xml:space="preserve">.</w:t>
      </w:r>
    </w:p>
    <w:bookmarkEnd w:id="112"/>
    <w:bookmarkStart w:id="113" w:name="ref-RaoWu1988"/>
    <w:p>
      <w:pPr>
        <w:pStyle w:val="Bibliography"/>
      </w:pPr>
      <w:r>
        <w:t xml:space="preserve">Rao, J. N. K., y C. F. J. Wu. 1988.</w:t>
      </w:r>
      <w:r>
        <w:t xml:space="preserve"> </w:t>
      </w:r>
      <w:r>
        <w:t xml:space="preserve">«Resampling Inference with Complex Survey Data»</w:t>
      </w:r>
      <w:r>
        <w:t xml:space="preserve">.</w:t>
      </w:r>
      <w:r>
        <w:t xml:space="preserve"> </w:t>
      </w:r>
      <w:r>
        <w:rPr>
          <w:i/>
          <w:iCs/>
        </w:rPr>
        <w:t xml:space="preserve">Journal of the American Statistical Association</w:t>
      </w:r>
      <w:r>
        <w:t xml:space="preserve"> </w:t>
      </w:r>
      <w:r>
        <w:t xml:space="preserve">83 (401): 231-41.</w:t>
      </w:r>
    </w:p>
    <w:bookmarkEnd w:id="113"/>
    <w:bookmarkStart w:id="114" w:name="ref-WangValliant2015"/>
    <w:p>
      <w:pPr>
        <w:pStyle w:val="Bibliography"/>
      </w:pPr>
      <w:r>
        <w:t xml:space="preserve">Wang, Wei, y Richard Valliant. 2015.</w:t>
      </w:r>
      <w:r>
        <w:t xml:space="preserve"> </w:t>
      </w:r>
      <w:r>
        <w:t xml:space="preserve">«Propensity Score Adjustment for Web Surveys»</w:t>
      </w:r>
      <w:r>
        <w:t xml:space="preserve">.</w:t>
      </w:r>
      <w:r>
        <w:t xml:space="preserve"> </w:t>
      </w:r>
      <w:r>
        <w:rPr>
          <w:i/>
          <w:iCs/>
        </w:rPr>
        <w:t xml:space="preserve">Journal of Survey Statistics and Methodology</w:t>
      </w:r>
      <w:r>
        <w:t xml:space="preserve"> </w:t>
      </w:r>
      <w:r>
        <w:t xml:space="preserve">3 (2): 147-70.</w:t>
      </w:r>
    </w:p>
    <w:bookmarkEnd w:id="114"/>
    <w:bookmarkStart w:id="115"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115"/>
    <w:bookmarkEnd w:id="116"/>
    <w:bookmarkEnd w:id="117"/>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4A8"/>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4A8"/>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4A8"/>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4A8"/>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4A8"/>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96" Target="https://minsalud.gov.co/sites/rid/Lists/BibliotecaDigital/RIDE/DE/CA/abece-resolucion-256-de-2016.pdf" TargetMode="External" /><Relationship Type="http://schemas.openxmlformats.org/officeDocument/2006/relationships/hyperlink" Id="rId75" Target="https://www.ahrq.gov/cahps/consumer-reporting/measures/index.html" TargetMode="External" /><Relationship Type="http://schemas.openxmlformats.org/officeDocument/2006/relationships/hyperlink" Id="rId73" Target="https://www.ahrq.gov/cahps/index.html" TargetMode="External" /><Relationship Type="http://schemas.openxmlformats.org/officeDocument/2006/relationships/hyperlink" Id="rId92" Target="https://www.minsalud.gov.co/Normativa/paginas/decreto-unico-minsalud-780-de-2016.aspx" TargetMode="External" /><Relationship Type="http://schemas.openxmlformats.org/officeDocument/2006/relationships/hyperlink" Id="rId89" Target="https://www.minsalud.gov.co/normatividad_nuevo/decreto\%201011\%20de\%202006.pdf" TargetMode="External" /><Relationship Type="http://schemas.openxmlformats.org/officeDocument/2006/relationships/hyperlink" Id="rId98" Target="https://www.minsalud.gov.co/sites/rid/Lists/BibliotecaDigital/RIDE/DE/CA/Informe-encuesta-satisfaccion-eps-2017.pdf" TargetMode="External" /><Relationship Type="http://schemas.openxmlformats.org/officeDocument/2006/relationships/hyperlink" Id="rId102" Target="https://www.minsalud.gov.co/sites/rid/Lists/BibliotecaDigital/RIDE/DE/CA/encuesta-satisfaccion-servicios-eps-2022.pdf" TargetMode="External" /><Relationship Type="http://schemas.openxmlformats.org/officeDocument/2006/relationships/hyperlink" Id="rId78" Target="https://www.minsalud.gov.co/sites/rid/Lists/BibliotecaDigital/RIDE/DE/CA/estudio-evaluacion-servicios-eps.pdf" TargetMode="External" /><Relationship Type="http://schemas.openxmlformats.org/officeDocument/2006/relationships/hyperlink" Id="rId94" Target="https://www.minsalud.gov.co/sites/rid/Lists/BibliotecaDigital/RIDE/DE/CA/evalacion-servicios-eps-2016.pdf" TargetMode="External" /><Relationship Type="http://schemas.openxmlformats.org/officeDocument/2006/relationships/hyperlink" Id="rId100" Target="https://www.minsalud.gov.co/sites/rid/Lists/BibliotecaDigital/RIDE/DE/CA/evaluacion-eps-2020-minsalud.pdf" TargetMode="External" /><Relationship Type="http://schemas.openxmlformats.org/officeDocument/2006/relationships/hyperlink" Id="rId108" Target="https://www.minsalud.gov.co/sites/rid/Lists/BibliotecaDigital/RIDE/DE/CA/informe-encuesta-satisfaccion-2025.pdf" TargetMode="External" /><Relationship Type="http://schemas.openxmlformats.org/officeDocument/2006/relationships/hyperlink" Id="rId87" Target="https://www.minsalud.gov.co/sites/rid/Lists/BibliotecaDigital/RIDE/DE/CA/ranking-satisfaccion-eps-2018.pdf" TargetMode="External" /><Relationship Type="http://schemas.openxmlformats.org/officeDocument/2006/relationships/hyperlink" Id="rId104" Target="https://www.minsalud.gov.co/sites/rid/Lists/BibliotecaDigital/RIDE/DE/CA/resultados-encuesta-satisfaccion-usuarios-sistema-salud-colombiano-enfasis-atencion-primaria.pdf" TargetMode="External" /><Relationship Type="http://schemas.openxmlformats.org/officeDocument/2006/relationships/hyperlink" Id="rId111" Target="https://www.oecd.org/en/publications/does-healthcare-deliver_c8af05a5-en.html" TargetMode="External" /><Relationship Type="http://schemas.openxmlformats.org/officeDocument/2006/relationships/hyperlink" Id="rId106"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96" Target="https://minsalud.gov.co/sites/rid/Lists/BibliotecaDigital/RIDE/DE/CA/abece-resolucion-256-de-2016.pdf" TargetMode="External" /><Relationship Type="http://schemas.openxmlformats.org/officeDocument/2006/relationships/hyperlink" Id="rId75" Target="https://www.ahrq.gov/cahps/consumer-reporting/measures/index.html" TargetMode="External" /><Relationship Type="http://schemas.openxmlformats.org/officeDocument/2006/relationships/hyperlink" Id="rId73" Target="https://www.ahrq.gov/cahps/index.html" TargetMode="External" /><Relationship Type="http://schemas.openxmlformats.org/officeDocument/2006/relationships/hyperlink" Id="rId92" Target="https://www.minsalud.gov.co/Normativa/paginas/decreto-unico-minsalud-780-de-2016.aspx" TargetMode="External" /><Relationship Type="http://schemas.openxmlformats.org/officeDocument/2006/relationships/hyperlink" Id="rId89" Target="https://www.minsalud.gov.co/normatividad_nuevo/decreto\%201011\%20de\%202006.pdf" TargetMode="External" /><Relationship Type="http://schemas.openxmlformats.org/officeDocument/2006/relationships/hyperlink" Id="rId98" Target="https://www.minsalud.gov.co/sites/rid/Lists/BibliotecaDigital/RIDE/DE/CA/Informe-encuesta-satisfaccion-eps-2017.pdf" TargetMode="External" /><Relationship Type="http://schemas.openxmlformats.org/officeDocument/2006/relationships/hyperlink" Id="rId102" Target="https://www.minsalud.gov.co/sites/rid/Lists/BibliotecaDigital/RIDE/DE/CA/encuesta-satisfaccion-servicios-eps-2022.pdf" TargetMode="External" /><Relationship Type="http://schemas.openxmlformats.org/officeDocument/2006/relationships/hyperlink" Id="rId78" Target="https://www.minsalud.gov.co/sites/rid/Lists/BibliotecaDigital/RIDE/DE/CA/estudio-evaluacion-servicios-eps.pdf" TargetMode="External" /><Relationship Type="http://schemas.openxmlformats.org/officeDocument/2006/relationships/hyperlink" Id="rId94" Target="https://www.minsalud.gov.co/sites/rid/Lists/BibliotecaDigital/RIDE/DE/CA/evalacion-servicios-eps-2016.pdf" TargetMode="External" /><Relationship Type="http://schemas.openxmlformats.org/officeDocument/2006/relationships/hyperlink" Id="rId100" Target="https://www.minsalud.gov.co/sites/rid/Lists/BibliotecaDigital/RIDE/DE/CA/evaluacion-eps-2020-minsalud.pdf" TargetMode="External" /><Relationship Type="http://schemas.openxmlformats.org/officeDocument/2006/relationships/hyperlink" Id="rId108" Target="https://www.minsalud.gov.co/sites/rid/Lists/BibliotecaDigital/RIDE/DE/CA/informe-encuesta-satisfaccion-2025.pdf" TargetMode="External" /><Relationship Type="http://schemas.openxmlformats.org/officeDocument/2006/relationships/hyperlink" Id="rId87" Target="https://www.minsalud.gov.co/sites/rid/Lists/BibliotecaDigital/RIDE/DE/CA/ranking-satisfaccion-eps-2018.pdf" TargetMode="External" /><Relationship Type="http://schemas.openxmlformats.org/officeDocument/2006/relationships/hyperlink" Id="rId104" Target="https://www.minsalud.gov.co/sites/rid/Lists/BibliotecaDigital/RIDE/DE/CA/resultados-encuesta-satisfaccion-usuarios-sistema-salud-colombiano-enfasis-atencion-primaria.pdf" TargetMode="External" /><Relationship Type="http://schemas.openxmlformats.org/officeDocument/2006/relationships/hyperlink" Id="rId111" Target="https://www.oecd.org/en/publications/does-healthcare-deliver_c8af05a5-en.html" TargetMode="External" /><Relationship Type="http://schemas.openxmlformats.org/officeDocument/2006/relationships/hyperlink" Id="rId106"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2026-08-24T05:03:15Z</dcterms:created>
  <dcterms:modified xsi:type="dcterms:W3CDTF">2026-08-24T05:03:15Z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2026-08-24</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