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 Metodológico</w:t>
      </w:r>
    </w:p>
    <w:p>
      <w:pPr>
        <w:pStyle w:val="Subtitle"/>
      </w:pPr>
      <w:r>
        <w:t xml:space="preserve">Árbol de Decisión y Asignación del Tamaño de Muestra de la Encuesta Nacional de Salud</w:t>
      </w:r>
    </w:p>
    <w:bookmarkStart w:id="9" w:name="introducción-y-objetivo"/>
    <w:p>
      <w:pPr>
        <w:pStyle w:val="Heading2"/>
      </w:pPr>
      <w:r>
        <w:t xml:space="preserve">1 1. Introducción y Objetivo</w:t>
      </w:r>
    </w:p>
    <w:p>
      <w:pPr>
        <w:pStyle w:val="FirstParagraph"/>
      </w:pPr>
      <w:r>
        <w:t xml:space="preserve">Este documento presenta la estructura completa del árbol de decisión utilizado para clasificar a cada persona encuestada según su perfil sociodemográfico y su trayectoria de atención en el sistema de salud, y describe la metodología mediante la cual el tamaño de muestra —</w:t>
      </w:r>
      <w:r>
        <w:rPr>
          <w:b/>
          <w:bCs/>
        </w:rPr>
        <w:t xml:space="preserve">ya definido previamente</w:t>
      </w:r>
      <w:r>
        <w:t xml:space="preserve">— se asigna entre las distintas categorías (cajas) que componen dicho árbol. El objetivo no es calcular o derivar el tamaño de muestra, sino documentar de forma reproducible y verificable cómo se reparte ese tamaño ya establecido en cada nivel de desagregación del árbol: bloque de caracterización, pregunta trazadora, gestión institucional y módulos finales del cuestionario.</w:t>
      </w:r>
    </w:p>
    <w:bookmarkEnd w:id="9"/>
    <w:bookmarkStart w:id="14" w:name="estructura-del-árbol-de-decisión"/>
    <w:p>
      <w:pPr>
        <w:pStyle w:val="Heading2"/>
      </w:pPr>
      <w:r>
        <w:t xml:space="preserve">2 2. Estructura del Árbol de Decisión</w:t>
      </w:r>
    </w:p>
    <w:p>
      <w:pPr>
        <w:pStyle w:val="FirstParagraph"/>
      </w:pPr>
      <w:r>
        <w:t xml:space="preserve">El instrumento se organiza en cuatro bloques secuenciales, compuestos en conjunto por</w:t>
      </w:r>
      <w:r>
        <w:t xml:space="preserve"> </w:t>
      </w:r>
      <w:r>
        <w:rPr>
          <w:b/>
          <w:bCs/>
        </w:rPr>
        <w:t xml:space="preserve">48 cajas (nodos)</w:t>
      </w:r>
      <w:r>
        <w:t xml:space="preserve">. Cada persona encuestada recorre los cuatro bloques en orden, y las respuestas dadas en un bloque determinan la caja específica a la que se avanza en el bloque siguiente.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Bloque</w:t>
            </w:r>
          </w:p>
        </w:tc>
        <w:tc>
          <w:tcPr/>
          <w:p>
            <w:pPr>
              <w:pStyle w:val="Compact"/>
            </w:pPr>
            <w:r>
              <w:t xml:space="preserve">Nombre</w:t>
            </w:r>
          </w:p>
        </w:tc>
        <w:tc>
          <w:tcPr/>
          <w:p>
            <w:pPr>
              <w:pStyle w:val="Compact"/>
            </w:pPr>
            <w:r>
              <w:t xml:space="preserve">N.° de cajas</w:t>
            </w:r>
          </w:p>
        </w:tc>
        <w:tc>
          <w:tcPr/>
          <w:p>
            <w:pPr>
              <w:pStyle w:val="Compact"/>
            </w:pPr>
            <w:r>
              <w:t xml:space="preserve">Función</w:t>
            </w:r>
          </w:p>
        </w:tc>
      </w:tr>
      <w:tr>
        <w:tc>
          <w:tcPr/>
          <w:p>
            <w:pPr>
              <w:pStyle w:val="Compact"/>
            </w:pPr>
            <w:r>
              <w:t xml:space="preserve">1</w:t>
            </w:r>
          </w:p>
        </w:tc>
        <w:tc>
          <w:tcPr/>
          <w:p>
            <w:pPr>
              <w:pStyle w:val="Compact"/>
            </w:pPr>
            <w:r>
              <w:t xml:space="preserve">Identificación y Caracterización</w:t>
            </w:r>
          </w:p>
        </w:tc>
        <w:tc>
          <w:tcPr/>
          <w:p>
            <w:pPr>
              <w:pStyle w:val="Compact"/>
            </w:pPr>
            <w:r>
              <w:t xml:space="preserve">25</w:t>
            </w:r>
          </w:p>
        </w:tc>
        <w:tc>
          <w:tcPr/>
          <w:p>
            <w:pPr>
              <w:pStyle w:val="Compact"/>
            </w:pPr>
            <w:r>
              <w:t xml:space="preserve">Variables sociodemográficas: sexo, grupo de edad, departamento, zona y régimen de afiliación</w:t>
            </w:r>
          </w:p>
        </w:tc>
      </w:tr>
      <w:tr>
        <w:tc>
          <w:tcPr/>
          <w:p>
            <w:pPr>
              <w:pStyle w:val="Compact"/>
            </w:pPr>
            <w:r>
              <w:t xml:space="preserve">2</w:t>
            </w:r>
          </w:p>
        </w:tc>
        <w:tc>
          <w:tcPr/>
          <w:p>
            <w:pPr>
              <w:pStyle w:val="Compact"/>
            </w:pPr>
            <w:r>
              <w:t xml:space="preserve">Pregunta Trazadora</w:t>
            </w:r>
          </w:p>
        </w:tc>
        <w:tc>
          <w:tcPr/>
          <w:p>
            <w:pPr>
              <w:pStyle w:val="Compact"/>
            </w:pPr>
            <w:r>
              <w:t xml:space="preserve">1</w:t>
            </w:r>
          </w:p>
        </w:tc>
        <w:tc>
          <w:tcPr/>
          <w:p>
            <w:pPr>
              <w:pStyle w:val="Compact"/>
            </w:pPr>
            <w:r>
              <w:t xml:space="preserve">Filtro dicotómico: uso o no de servicios de salud en los últimos seis meses</w:t>
            </w:r>
          </w:p>
        </w:tc>
      </w:tr>
      <w:tr>
        <w:tc>
          <w:tcPr/>
          <w:p>
            <w:pPr>
              <w:pStyle w:val="Compact"/>
            </w:pPr>
            <w:r>
              <w:t xml:space="preserve">3</w:t>
            </w:r>
          </w:p>
        </w:tc>
        <w:tc>
          <w:tcPr/>
          <w:p>
            <w:pPr>
              <w:pStyle w:val="Compact"/>
            </w:pPr>
            <w:r>
              <w:t xml:space="preserve">Gestión Institucional</w:t>
            </w:r>
          </w:p>
        </w:tc>
        <w:tc>
          <w:tcPr/>
          <w:p>
            <w:pPr>
              <w:pStyle w:val="Compact"/>
            </w:pPr>
            <w:r>
              <w:t xml:space="preserve">14</w:t>
            </w:r>
          </w:p>
        </w:tc>
        <w:tc>
          <w:tcPr/>
          <w:p>
            <w:pPr>
              <w:pStyle w:val="Compact"/>
            </w:pPr>
            <w:r>
              <w:t xml:space="preserve">Identifica la entidad prestadora (EPS, IPS o Gestor Farmacéutico) y el tipo de servicio recibido</w:t>
            </w:r>
          </w:p>
        </w:tc>
      </w:tr>
      <w:tr>
        <w:tc>
          <w:tcPr/>
          <w:p>
            <w:pPr>
              <w:pStyle w:val="Compact"/>
            </w:pPr>
            <w:r>
              <w:t xml:space="preserve">4</w:t>
            </w:r>
          </w:p>
        </w:tc>
        <w:tc>
          <w:tcPr/>
          <w:p>
            <w:pPr>
              <w:pStyle w:val="Compact"/>
            </w:pPr>
            <w:r>
              <w:t xml:space="preserve">Módulos Finales</w:t>
            </w:r>
          </w:p>
        </w:tc>
        <w:tc>
          <w:tcPr/>
          <w:p>
            <w:pPr>
              <w:pStyle w:val="Compact"/>
            </w:pPr>
            <w:r>
              <w:t xml:space="preserve">8</w:t>
            </w:r>
          </w:p>
        </w:tc>
        <w:tc>
          <w:tcPr/>
          <w:p>
            <w:pPr>
              <w:pStyle w:val="Compact"/>
            </w:pPr>
            <w:r>
              <w:t xml:space="preserve">Ocho formularios especializados según el servicio de salud recibido</w:t>
            </w:r>
          </w:p>
        </w:tc>
      </w:tr>
      <w:tr>
        <w:tc>
          <w:tcPr/>
          <w:p>
            <w:pPr>
              <w:pStyle w:val="Compact"/>
            </w:pPr>
            <w:r>
              <w:rPr>
                <w:b/>
                <w:bCs/>
              </w:rPr>
              <w:t xml:space="preserve">Total</w:t>
            </w:r>
          </w:p>
        </w:tc>
        <w:tc>
          <w:tcPr/>
          <w:p>
            <w:pPr>
              <w:pStyle w:val="Compact"/>
            </w:pPr>
          </w:p>
        </w:tc>
        <w:tc>
          <w:tcPr/>
          <w:p>
            <w:pPr>
              <w:pStyle w:val="Compact"/>
            </w:pPr>
            <w:r>
              <w:rPr>
                <w:b/>
                <w:bCs/>
              </w:rPr>
              <w:t xml:space="preserve">48</w:t>
            </w:r>
          </w:p>
        </w:tc>
        <w:tc>
          <w:tcPr/>
          <w:p>
            <w:pPr>
              <w:pStyle w:val="Compact"/>
            </w:pPr>
          </w:p>
        </w:tc>
      </w:tr>
    </w:tbl>
    <w:bookmarkStart w:id="10" w:name="X7db565eb6f23713f41fa3d01cae0ad49f8ad6ed"/>
    <w:p>
      <w:pPr>
        <w:pStyle w:val="Heading3"/>
      </w:pPr>
      <w:r>
        <w:t xml:space="preserve">2.1 2.1 Bloque 1 — Identificación y Caracterización (25 cajas)</w:t>
      </w:r>
    </w:p>
    <w:p>
      <w:pPr>
        <w:pStyle w:val="FirstParagraph"/>
      </w:pPr>
      <w:r>
        <w:t xml:space="preserve">Comprende cinco variables de clasificación, presentadas en el siguiente orden fijo. Cada pregunta converge en la siguiente sin importar la respuesta dada previamente, de modo que todas las combinaciones posibles de estas cinco variables son alcanzables. El listado completo de cajas de este bloque es el siguiente: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Caja (nodo)</w:t>
            </w:r>
          </w:p>
        </w:tc>
        <w:tc>
          <w:tcPr/>
          <w:p>
            <w:pPr>
              <w:pStyle w:val="Compact"/>
            </w:pPr>
            <w:r>
              <w:t xml:space="preserve">Tipo de caja</w:t>
            </w:r>
          </w:p>
        </w:tc>
      </w:tr>
      <w:tr>
        <w:tc>
          <w:tcPr/>
          <w:p>
            <w:pPr>
              <w:pStyle w:val="Compact"/>
            </w:pPr>
            <w:r>
              <w:t xml:space="preserve">1</w:t>
            </w:r>
          </w:p>
        </w:tc>
        <w:tc>
          <w:tcPr/>
          <w:p>
            <w:pPr>
              <w:pStyle w:val="Compact"/>
            </w:pPr>
            <w:r>
              <w:t xml:space="preserve">Cédula</w:t>
            </w:r>
          </w:p>
        </w:tc>
        <w:tc>
          <w:tcPr/>
          <w:p>
            <w:pPr>
              <w:pStyle w:val="Compact"/>
            </w:pPr>
            <w:r>
              <w:t xml:space="preserve">Identificador</w:t>
            </w:r>
          </w:p>
        </w:tc>
      </w:tr>
      <w:tr>
        <w:tc>
          <w:tcPr/>
          <w:p>
            <w:pPr>
              <w:pStyle w:val="Compact"/>
            </w:pPr>
            <w:r>
              <w:t xml:space="preserve">2</w:t>
            </w:r>
          </w:p>
        </w:tc>
        <w:tc>
          <w:tcPr/>
          <w:p>
            <w:pPr>
              <w:pStyle w:val="Compact"/>
            </w:pPr>
            <w:r>
              <w:t xml:space="preserve">Sexo</w:t>
            </w:r>
          </w:p>
        </w:tc>
        <w:tc>
          <w:tcPr/>
          <w:p>
            <w:pPr>
              <w:pStyle w:val="Compact"/>
            </w:pPr>
            <w:r>
              <w:t xml:space="preserve">Pregunta</w:t>
            </w:r>
          </w:p>
        </w:tc>
      </w:tr>
      <w:tr>
        <w:tc>
          <w:tcPr/>
          <w:p>
            <w:pPr>
              <w:pStyle w:val="Compact"/>
            </w:pPr>
            <w:r>
              <w:t xml:space="preserve">3</w:t>
            </w:r>
          </w:p>
        </w:tc>
        <w:tc>
          <w:tcPr/>
          <w:p>
            <w:pPr>
              <w:pStyle w:val="Compact"/>
            </w:pPr>
            <w:r>
              <w:t xml:space="preserve">Hombre</w:t>
            </w:r>
          </w:p>
        </w:tc>
        <w:tc>
          <w:tcPr/>
          <w:p>
            <w:pPr>
              <w:pStyle w:val="Compact"/>
            </w:pPr>
            <w:r>
              <w:t xml:space="preserve">Respuesta — Sexo</w:t>
            </w:r>
          </w:p>
        </w:tc>
      </w:tr>
      <w:tr>
        <w:tc>
          <w:tcPr/>
          <w:p>
            <w:pPr>
              <w:pStyle w:val="Compact"/>
            </w:pPr>
            <w:r>
              <w:t xml:space="preserve">4</w:t>
            </w:r>
          </w:p>
        </w:tc>
        <w:tc>
          <w:tcPr/>
          <w:p>
            <w:pPr>
              <w:pStyle w:val="Compact"/>
            </w:pPr>
            <w:r>
              <w:t xml:space="preserve">Mujer</w:t>
            </w:r>
          </w:p>
        </w:tc>
        <w:tc>
          <w:tcPr/>
          <w:p>
            <w:pPr>
              <w:pStyle w:val="Compact"/>
            </w:pPr>
            <w:r>
              <w:t xml:space="preserve">Respuesta — Sexo</w:t>
            </w:r>
          </w:p>
        </w:tc>
      </w:tr>
      <w:tr>
        <w:tc>
          <w:tcPr/>
          <w:p>
            <w:pPr>
              <w:pStyle w:val="Compact"/>
            </w:pPr>
            <w:r>
              <w:t xml:space="preserve">5</w:t>
            </w:r>
          </w:p>
        </w:tc>
        <w:tc>
          <w:tcPr/>
          <w:p>
            <w:pPr>
              <w:pStyle w:val="Compact"/>
            </w:pPr>
            <w:r>
              <w:t xml:space="preserve">Edad</w:t>
            </w:r>
          </w:p>
        </w:tc>
        <w:tc>
          <w:tcPr/>
          <w:p>
            <w:pPr>
              <w:pStyle w:val="Compact"/>
            </w:pPr>
            <w:r>
              <w:t xml:space="preserve">Pregunta</w:t>
            </w:r>
          </w:p>
        </w:tc>
      </w:tr>
      <w:tr>
        <w:tc>
          <w:tcPr/>
          <w:p>
            <w:pPr>
              <w:pStyle w:val="Compact"/>
            </w:pPr>
            <w:r>
              <w:t xml:space="preserve">6</w:t>
            </w:r>
          </w:p>
        </w:tc>
        <w:tc>
          <w:tcPr/>
          <w:p>
            <w:pPr>
              <w:pStyle w:val="Compact"/>
            </w:pPr>
            <w:r>
              <w:t xml:space="preserve">0–9</w:t>
            </w:r>
          </w:p>
        </w:tc>
        <w:tc>
          <w:tcPr/>
          <w:p>
            <w:pPr>
              <w:pStyle w:val="Compact"/>
            </w:pPr>
            <w:r>
              <w:t xml:space="preserve">Respuesta — Grupo de edad</w:t>
            </w:r>
          </w:p>
        </w:tc>
      </w:tr>
      <w:tr>
        <w:tc>
          <w:tcPr/>
          <w:p>
            <w:pPr>
              <w:pStyle w:val="Compact"/>
            </w:pPr>
            <w:r>
              <w:t xml:space="preserve">7</w:t>
            </w:r>
          </w:p>
        </w:tc>
        <w:tc>
          <w:tcPr/>
          <w:p>
            <w:pPr>
              <w:pStyle w:val="Compact"/>
            </w:pPr>
            <w:r>
              <w:t xml:space="preserve">10–19</w:t>
            </w:r>
          </w:p>
        </w:tc>
        <w:tc>
          <w:tcPr/>
          <w:p>
            <w:pPr>
              <w:pStyle w:val="Compact"/>
            </w:pPr>
            <w:r>
              <w:t xml:space="preserve">Respuesta — Grupo de edad</w:t>
            </w:r>
          </w:p>
        </w:tc>
      </w:tr>
      <w:tr>
        <w:tc>
          <w:tcPr/>
          <w:p>
            <w:pPr>
              <w:pStyle w:val="Compact"/>
            </w:pPr>
            <w:r>
              <w:t xml:space="preserve">8</w:t>
            </w:r>
          </w:p>
        </w:tc>
        <w:tc>
          <w:tcPr/>
          <w:p>
            <w:pPr>
              <w:pStyle w:val="Compact"/>
            </w:pPr>
            <w:r>
              <w:t xml:space="preserve">20–29</w:t>
            </w:r>
          </w:p>
        </w:tc>
        <w:tc>
          <w:tcPr/>
          <w:p>
            <w:pPr>
              <w:pStyle w:val="Compact"/>
            </w:pPr>
            <w:r>
              <w:t xml:space="preserve">Respuesta — Grupo de edad</w:t>
            </w:r>
          </w:p>
        </w:tc>
      </w:tr>
      <w:tr>
        <w:tc>
          <w:tcPr/>
          <w:p>
            <w:pPr>
              <w:pStyle w:val="Compact"/>
            </w:pPr>
            <w:r>
              <w:t xml:space="preserve">9</w:t>
            </w:r>
          </w:p>
        </w:tc>
        <w:tc>
          <w:tcPr/>
          <w:p>
            <w:pPr>
              <w:pStyle w:val="Compact"/>
            </w:pPr>
            <w:r>
              <w:t xml:space="preserve">30–39</w:t>
            </w:r>
          </w:p>
        </w:tc>
        <w:tc>
          <w:tcPr/>
          <w:p>
            <w:pPr>
              <w:pStyle w:val="Compact"/>
            </w:pPr>
            <w:r>
              <w:t xml:space="preserve">Respuesta — Grupo de edad</w:t>
            </w:r>
          </w:p>
        </w:tc>
      </w:tr>
      <w:tr>
        <w:tc>
          <w:tcPr/>
          <w:p>
            <w:pPr>
              <w:pStyle w:val="Compact"/>
            </w:pPr>
            <w:r>
              <w:t xml:space="preserve">10</w:t>
            </w:r>
          </w:p>
        </w:tc>
        <w:tc>
          <w:tcPr/>
          <w:p>
            <w:pPr>
              <w:pStyle w:val="Compact"/>
            </w:pPr>
            <w:r>
              <w:t xml:space="preserve">40–49</w:t>
            </w:r>
          </w:p>
        </w:tc>
        <w:tc>
          <w:tcPr/>
          <w:p>
            <w:pPr>
              <w:pStyle w:val="Compact"/>
            </w:pPr>
            <w:r>
              <w:t xml:space="preserve">Respuesta — Grupo de edad</w:t>
            </w:r>
          </w:p>
        </w:tc>
      </w:tr>
      <w:tr>
        <w:tc>
          <w:tcPr/>
          <w:p>
            <w:pPr>
              <w:pStyle w:val="Compact"/>
            </w:pPr>
            <w:r>
              <w:t xml:space="preserve">11</w:t>
            </w:r>
          </w:p>
        </w:tc>
        <w:tc>
          <w:tcPr/>
          <w:p>
            <w:pPr>
              <w:pStyle w:val="Compact"/>
            </w:pPr>
            <w:r>
              <w:t xml:space="preserve">50–59</w:t>
            </w:r>
          </w:p>
        </w:tc>
        <w:tc>
          <w:tcPr/>
          <w:p>
            <w:pPr>
              <w:pStyle w:val="Compact"/>
            </w:pPr>
            <w:r>
              <w:t xml:space="preserve">Respuesta — Grupo de edad</w:t>
            </w:r>
          </w:p>
        </w:tc>
      </w:tr>
      <w:tr>
        <w:tc>
          <w:tcPr/>
          <w:p>
            <w:pPr>
              <w:pStyle w:val="Compact"/>
            </w:pPr>
            <w:r>
              <w:t xml:space="preserve">12</w:t>
            </w:r>
          </w:p>
        </w:tc>
        <w:tc>
          <w:tcPr/>
          <w:p>
            <w:pPr>
              <w:pStyle w:val="Compact"/>
            </w:pPr>
            <w:r>
              <w:t xml:space="preserve">60+</w:t>
            </w:r>
          </w:p>
        </w:tc>
        <w:tc>
          <w:tcPr/>
          <w:p>
            <w:pPr>
              <w:pStyle w:val="Compact"/>
            </w:pPr>
            <w:r>
              <w:t xml:space="preserve">Respuesta — Grupo de edad</w:t>
            </w:r>
          </w:p>
        </w:tc>
      </w:tr>
      <w:tr>
        <w:tc>
          <w:tcPr/>
          <w:p>
            <w:pPr>
              <w:pStyle w:val="Compact"/>
            </w:pPr>
            <w:r>
              <w:t xml:space="preserve">13</w:t>
            </w:r>
          </w:p>
        </w:tc>
        <w:tc>
          <w:tcPr/>
          <w:p>
            <w:pPr>
              <w:pStyle w:val="Compact"/>
            </w:pPr>
            <w:r>
              <w:t xml:space="preserve">Departamento</w:t>
            </w:r>
          </w:p>
        </w:tc>
        <w:tc>
          <w:tcPr/>
          <w:p>
            <w:pPr>
              <w:pStyle w:val="Compact"/>
            </w:pPr>
            <w:r>
              <w:t xml:space="preserve">Pregunta</w:t>
            </w:r>
          </w:p>
        </w:tc>
      </w:tr>
      <w:tr>
        <w:tc>
          <w:tcPr/>
          <w:p>
            <w:pPr>
              <w:pStyle w:val="Compact"/>
            </w:pPr>
            <w:r>
              <w:t xml:space="preserve">14</w:t>
            </w:r>
          </w:p>
        </w:tc>
        <w:tc>
          <w:tcPr/>
          <w:p>
            <w:pPr>
              <w:pStyle w:val="Compact"/>
            </w:pPr>
            <w:r>
              <w:t xml:space="preserve">Bogotá</w:t>
            </w:r>
          </w:p>
        </w:tc>
        <w:tc>
          <w:tcPr/>
          <w:p>
            <w:pPr>
              <w:pStyle w:val="Compact"/>
            </w:pPr>
            <w:r>
              <w:t xml:space="preserve">Respuesta — Departamento</w:t>
            </w:r>
          </w:p>
        </w:tc>
      </w:tr>
      <w:tr>
        <w:tc>
          <w:tcPr/>
          <w:p>
            <w:pPr>
              <w:pStyle w:val="Compact"/>
            </w:pPr>
            <w:r>
              <w:t xml:space="preserve">15</w:t>
            </w:r>
          </w:p>
        </w:tc>
        <w:tc>
          <w:tcPr/>
          <w:p>
            <w:pPr>
              <w:pStyle w:val="Compact"/>
            </w:pPr>
            <w:r>
              <w:t xml:space="preserve">Oriental</w:t>
            </w:r>
          </w:p>
        </w:tc>
        <w:tc>
          <w:tcPr/>
          <w:p>
            <w:pPr>
              <w:pStyle w:val="Compact"/>
            </w:pPr>
            <w:r>
              <w:t xml:space="preserve">Respuesta — Departamento</w:t>
            </w:r>
          </w:p>
        </w:tc>
      </w:tr>
      <w:tr>
        <w:tc>
          <w:tcPr/>
          <w:p>
            <w:pPr>
              <w:pStyle w:val="Compact"/>
            </w:pPr>
            <w:r>
              <w:t xml:space="preserve">16</w:t>
            </w:r>
          </w:p>
        </w:tc>
        <w:tc>
          <w:tcPr/>
          <w:p>
            <w:pPr>
              <w:pStyle w:val="Compact"/>
            </w:pPr>
            <w:r>
              <w:t xml:space="preserve">Caribe</w:t>
            </w:r>
          </w:p>
        </w:tc>
        <w:tc>
          <w:tcPr/>
          <w:p>
            <w:pPr>
              <w:pStyle w:val="Compact"/>
            </w:pPr>
            <w:r>
              <w:t xml:space="preserve">Respuesta — Departamento</w:t>
            </w:r>
          </w:p>
        </w:tc>
      </w:tr>
      <w:tr>
        <w:tc>
          <w:tcPr/>
          <w:p>
            <w:pPr>
              <w:pStyle w:val="Compact"/>
            </w:pPr>
            <w:r>
              <w:t xml:space="preserve">17</w:t>
            </w:r>
          </w:p>
        </w:tc>
        <w:tc>
          <w:tcPr/>
          <w:p>
            <w:pPr>
              <w:pStyle w:val="Compact"/>
            </w:pPr>
            <w:r>
              <w:t xml:space="preserve">Central</w:t>
            </w:r>
          </w:p>
        </w:tc>
        <w:tc>
          <w:tcPr/>
          <w:p>
            <w:pPr>
              <w:pStyle w:val="Compact"/>
            </w:pPr>
            <w:r>
              <w:t xml:space="preserve">Respuesta — Departamento</w:t>
            </w:r>
          </w:p>
        </w:tc>
      </w:tr>
      <w:tr>
        <w:tc>
          <w:tcPr/>
          <w:p>
            <w:pPr>
              <w:pStyle w:val="Compact"/>
            </w:pPr>
            <w:r>
              <w:t xml:space="preserve">18</w:t>
            </w:r>
          </w:p>
        </w:tc>
        <w:tc>
          <w:tcPr/>
          <w:p>
            <w:pPr>
              <w:pStyle w:val="Compact"/>
            </w:pPr>
            <w:r>
              <w:t xml:space="preserve">Pacífica</w:t>
            </w:r>
          </w:p>
        </w:tc>
        <w:tc>
          <w:tcPr/>
          <w:p>
            <w:pPr>
              <w:pStyle w:val="Compact"/>
            </w:pPr>
            <w:r>
              <w:t xml:space="preserve">Respuesta — Departamento</w:t>
            </w:r>
          </w:p>
        </w:tc>
      </w:tr>
      <w:tr>
        <w:tc>
          <w:tcPr/>
          <w:p>
            <w:pPr>
              <w:pStyle w:val="Compact"/>
            </w:pPr>
            <w:r>
              <w:t xml:space="preserve">19</w:t>
            </w:r>
          </w:p>
        </w:tc>
        <w:tc>
          <w:tcPr/>
          <w:p>
            <w:pPr>
              <w:pStyle w:val="Compact"/>
            </w:pPr>
            <w:r>
              <w:t xml:space="preserve">Orinoquía-Amazonía</w:t>
            </w:r>
          </w:p>
        </w:tc>
        <w:tc>
          <w:tcPr/>
          <w:p>
            <w:pPr>
              <w:pStyle w:val="Compact"/>
            </w:pPr>
            <w:r>
              <w:t xml:space="preserve">Respuesta — Departamento</w:t>
            </w:r>
          </w:p>
        </w:tc>
      </w:tr>
      <w:tr>
        <w:tc>
          <w:tcPr/>
          <w:p>
            <w:pPr>
              <w:pStyle w:val="Compact"/>
            </w:pPr>
            <w:r>
              <w:t xml:space="preserve">20</w:t>
            </w:r>
          </w:p>
        </w:tc>
        <w:tc>
          <w:tcPr/>
          <w:p>
            <w:pPr>
              <w:pStyle w:val="Compact"/>
            </w:pPr>
            <w:r>
              <w:t xml:space="preserve">Zona</w:t>
            </w:r>
          </w:p>
        </w:tc>
        <w:tc>
          <w:tcPr/>
          <w:p>
            <w:pPr>
              <w:pStyle w:val="Compact"/>
            </w:pPr>
            <w:r>
              <w:t xml:space="preserve">Pregunta</w:t>
            </w:r>
          </w:p>
        </w:tc>
      </w:tr>
      <w:tr>
        <w:tc>
          <w:tcPr/>
          <w:p>
            <w:pPr>
              <w:pStyle w:val="Compact"/>
            </w:pPr>
            <w:r>
              <w:t xml:space="preserve">21</w:t>
            </w:r>
          </w:p>
        </w:tc>
        <w:tc>
          <w:tcPr/>
          <w:p>
            <w:pPr>
              <w:pStyle w:val="Compact"/>
            </w:pPr>
            <w:r>
              <w:t xml:space="preserve">Urbano</w:t>
            </w:r>
          </w:p>
        </w:tc>
        <w:tc>
          <w:tcPr/>
          <w:p>
            <w:pPr>
              <w:pStyle w:val="Compact"/>
            </w:pPr>
            <w:r>
              <w:t xml:space="preserve">Respuesta — Zona</w:t>
            </w:r>
          </w:p>
        </w:tc>
      </w:tr>
      <w:tr>
        <w:tc>
          <w:tcPr/>
          <w:p>
            <w:pPr>
              <w:pStyle w:val="Compact"/>
            </w:pPr>
            <w:r>
              <w:t xml:space="preserve">22</w:t>
            </w:r>
          </w:p>
        </w:tc>
        <w:tc>
          <w:tcPr/>
          <w:p>
            <w:pPr>
              <w:pStyle w:val="Compact"/>
            </w:pPr>
            <w:r>
              <w:t xml:space="preserve">Rural</w:t>
            </w:r>
          </w:p>
        </w:tc>
        <w:tc>
          <w:tcPr/>
          <w:p>
            <w:pPr>
              <w:pStyle w:val="Compact"/>
            </w:pPr>
            <w:r>
              <w:t xml:space="preserve">Respuesta — Zona</w:t>
            </w:r>
          </w:p>
        </w:tc>
      </w:tr>
      <w:tr>
        <w:tc>
          <w:tcPr/>
          <w:p>
            <w:pPr>
              <w:pStyle w:val="Compact"/>
            </w:pPr>
            <w:r>
              <w:t xml:space="preserve">23</w:t>
            </w:r>
          </w:p>
        </w:tc>
        <w:tc>
          <w:tcPr/>
          <w:p>
            <w:pPr>
              <w:pStyle w:val="Compact"/>
            </w:pPr>
            <w:r>
              <w:t xml:space="preserve">Régimen</w:t>
            </w:r>
          </w:p>
        </w:tc>
        <w:tc>
          <w:tcPr/>
          <w:p>
            <w:pPr>
              <w:pStyle w:val="Compact"/>
            </w:pPr>
            <w:r>
              <w:t xml:space="preserve">Pregunta</w:t>
            </w:r>
          </w:p>
        </w:tc>
      </w:tr>
      <w:tr>
        <w:tc>
          <w:tcPr/>
          <w:p>
            <w:pPr>
              <w:pStyle w:val="Compact"/>
            </w:pPr>
            <w:r>
              <w:t xml:space="preserve">24</w:t>
            </w:r>
          </w:p>
        </w:tc>
        <w:tc>
          <w:tcPr/>
          <w:p>
            <w:pPr>
              <w:pStyle w:val="Compact"/>
            </w:pPr>
            <w:r>
              <w:t xml:space="preserve">Contributivo</w:t>
            </w:r>
          </w:p>
        </w:tc>
        <w:tc>
          <w:tcPr/>
          <w:p>
            <w:pPr>
              <w:pStyle w:val="Compact"/>
            </w:pPr>
            <w:r>
              <w:t xml:space="preserve">Respuesta — Régimen</w:t>
            </w:r>
          </w:p>
        </w:tc>
      </w:tr>
      <w:tr>
        <w:tc>
          <w:tcPr/>
          <w:p>
            <w:pPr>
              <w:pStyle w:val="Compact"/>
            </w:pPr>
            <w:r>
              <w:t xml:space="preserve">25</w:t>
            </w:r>
          </w:p>
        </w:tc>
        <w:tc>
          <w:tcPr/>
          <w:p>
            <w:pPr>
              <w:pStyle w:val="Compact"/>
            </w:pPr>
            <w:r>
              <w:t xml:space="preserve">Subsidiado</w:t>
            </w:r>
          </w:p>
        </w:tc>
        <w:tc>
          <w:tcPr/>
          <w:p>
            <w:pPr>
              <w:pStyle w:val="Compact"/>
            </w:pPr>
            <w:r>
              <w:t xml:space="preserve">Respuesta — Régimen</w:t>
            </w:r>
          </w:p>
        </w:tc>
      </w:tr>
    </w:tbl>
    <w:bookmarkEnd w:id="10"/>
    <w:bookmarkStart w:id="11" w:name="bloque-2-pregunta-trazadora-1-caja"/>
    <w:p>
      <w:pPr>
        <w:pStyle w:val="Heading3"/>
      </w:pPr>
      <w:r>
        <w:t xml:space="preserve">2.2 2.2 Bloque 2 — Pregunta Trazadora (1 caja)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Caja (nodo)</w:t>
            </w:r>
          </w:p>
        </w:tc>
        <w:tc>
          <w:tcPr/>
          <w:p>
            <w:pPr>
              <w:pStyle w:val="Compact"/>
            </w:pPr>
            <w:r>
              <w:t xml:space="preserve">Tipo de caja</w:t>
            </w:r>
          </w:p>
        </w:tc>
      </w:tr>
      <w:tr>
        <w:tc>
          <w:tcPr/>
          <w:p>
            <w:pPr>
              <w:pStyle w:val="Compact"/>
            </w:pPr>
            <w:r>
              <w:t xml:space="preserve">26</w:t>
            </w:r>
          </w:p>
        </w:tc>
        <w:tc>
          <w:tcPr/>
          <w:p>
            <w:pPr>
              <w:pStyle w:val="Compact"/>
            </w:pPr>
            <w:r>
              <w:t xml:space="preserve">¿Ha utilizado servicios de salud?</w:t>
            </w:r>
          </w:p>
        </w:tc>
        <w:tc>
          <w:tcPr/>
          <w:p>
            <w:pPr>
              <w:pStyle w:val="Compact"/>
            </w:pPr>
            <w:r>
              <w:t xml:space="preserve">Pregunta trazadora (B0)</w:t>
            </w:r>
          </w:p>
        </w:tc>
      </w:tr>
    </w:tbl>
    <w:p>
      <w:pPr>
        <w:pStyle w:val="BodyText"/>
      </w:pPr>
      <w:r>
        <w:t xml:space="preserve">Una respuesta negativa dirige a la persona directamente a la caja de módulo de barreras de acceso (bloque 4); una respuesta afirmativa continúa hacia el bloque 3.</w:t>
      </w:r>
    </w:p>
    <w:bookmarkEnd w:id="11"/>
    <w:bookmarkStart w:id="12" w:name="bloque-3-gestión-institucional-14-cajas"/>
    <w:p>
      <w:pPr>
        <w:pStyle w:val="Heading3"/>
      </w:pPr>
      <w:r>
        <w:t xml:space="preserve">2.3 2.3 Bloque 3 — Gestión Institucional (14 cajas)</w:t>
      </w:r>
    </w:p>
    <w:p>
      <w:pPr>
        <w:pStyle w:val="FirstParagraph"/>
      </w:pPr>
      <w:r>
        <w:t xml:space="preserve">Para quienes reportan uso de servicios, se identifica la entidad y el tipo de servicio recibido, lo que determina el módulo final aplicable. El listado completo de cajas de este bloque es el siguiente: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Caja (nodo)</w:t>
            </w:r>
          </w:p>
        </w:tc>
        <w:tc>
          <w:tcPr/>
          <w:p>
            <w:pPr>
              <w:pStyle w:val="Compact"/>
            </w:pPr>
            <w:r>
              <w:t xml:space="preserve">Tipo de caja</w:t>
            </w:r>
          </w:p>
        </w:tc>
      </w:tr>
      <w:tr>
        <w:tc>
          <w:tcPr/>
          <w:p>
            <w:pPr>
              <w:pStyle w:val="Compact"/>
            </w:pPr>
            <w:r>
              <w:t xml:space="preserve">27</w:t>
            </w:r>
          </w:p>
        </w:tc>
        <w:tc>
          <w:tcPr/>
          <w:p>
            <w:pPr>
              <w:pStyle w:val="Compact"/>
            </w:pPr>
            <w:r>
              <w:t xml:space="preserve">Empresa Prestadora (EPS)</w:t>
            </w:r>
          </w:p>
        </w:tc>
        <w:tc>
          <w:tcPr/>
          <w:p>
            <w:pPr>
              <w:pStyle w:val="Compact"/>
            </w:pPr>
            <w:r>
              <w:t xml:space="preserve">Entidad</w:t>
            </w:r>
          </w:p>
        </w:tc>
      </w:tr>
      <w:tr>
        <w:tc>
          <w:tcPr/>
          <w:p>
            <w:pPr>
              <w:pStyle w:val="Compact"/>
            </w:pPr>
            <w:r>
              <w:t xml:space="preserve">28</w:t>
            </w:r>
          </w:p>
        </w:tc>
        <w:tc>
          <w:tcPr/>
          <w:p>
            <w:pPr>
              <w:pStyle w:val="Compact"/>
            </w:pPr>
            <w:r>
              <w:t xml:space="preserve">Institución Prestadora (IPS)</w:t>
            </w:r>
          </w:p>
        </w:tc>
        <w:tc>
          <w:tcPr/>
          <w:p>
            <w:pPr>
              <w:pStyle w:val="Compact"/>
            </w:pPr>
            <w:r>
              <w:t xml:space="preserve">Entidad</w:t>
            </w:r>
          </w:p>
        </w:tc>
      </w:tr>
      <w:tr>
        <w:tc>
          <w:tcPr/>
          <w:p>
            <w:pPr>
              <w:pStyle w:val="Compact"/>
            </w:pPr>
            <w:r>
              <w:t xml:space="preserve">29</w:t>
            </w:r>
          </w:p>
        </w:tc>
        <w:tc>
          <w:tcPr/>
          <w:p>
            <w:pPr>
              <w:pStyle w:val="Compact"/>
            </w:pPr>
            <w:r>
              <w:t xml:space="preserve">Entidad Gestora Farmacéutica</w:t>
            </w:r>
          </w:p>
        </w:tc>
        <w:tc>
          <w:tcPr/>
          <w:p>
            <w:pPr>
              <w:pStyle w:val="Compact"/>
            </w:pPr>
            <w:r>
              <w:t xml:space="preserve">Entidad</w:t>
            </w:r>
          </w:p>
        </w:tc>
      </w:tr>
      <w:tr>
        <w:tc>
          <w:tcPr/>
          <w:p>
            <w:pPr>
              <w:pStyle w:val="Compact"/>
            </w:pPr>
            <w:r>
              <w:t xml:space="preserve">30</w:t>
            </w:r>
          </w:p>
        </w:tc>
        <w:tc>
          <w:tcPr/>
          <w:p>
            <w:pPr>
              <w:pStyle w:val="Compact"/>
            </w:pPr>
            <w:r>
              <w:t xml:space="preserve">¿Qué servicio utilizó en EPS?</w:t>
            </w:r>
          </w:p>
        </w:tc>
        <w:tc>
          <w:tcPr/>
          <w:p>
            <w:pPr>
              <w:pStyle w:val="Compact"/>
            </w:pPr>
            <w:r>
              <w:t xml:space="preserve">Pregunta</w:t>
            </w:r>
          </w:p>
        </w:tc>
      </w:tr>
      <w:tr>
        <w:tc>
          <w:tcPr/>
          <w:p>
            <w:pPr>
              <w:pStyle w:val="Compact"/>
            </w:pPr>
            <w:r>
              <w:t xml:space="preserve">31</w:t>
            </w:r>
          </w:p>
        </w:tc>
        <w:tc>
          <w:tcPr/>
          <w:p>
            <w:pPr>
              <w:pStyle w:val="Compact"/>
            </w:pPr>
            <w:r>
              <w:t xml:space="preserve">¿Qué servicio utilizó en IPS?</w:t>
            </w:r>
          </w:p>
        </w:tc>
        <w:tc>
          <w:tcPr/>
          <w:p>
            <w:pPr>
              <w:pStyle w:val="Compact"/>
            </w:pPr>
            <w:r>
              <w:t xml:space="preserve">Pregunta</w:t>
            </w:r>
          </w:p>
        </w:tc>
      </w:tr>
      <w:tr>
        <w:tc>
          <w:tcPr/>
          <w:p>
            <w:pPr>
              <w:pStyle w:val="Compact"/>
            </w:pPr>
            <w:r>
              <w:t xml:space="preserve">32</w:t>
            </w:r>
          </w:p>
        </w:tc>
        <w:tc>
          <w:tcPr/>
          <w:p>
            <w:pPr>
              <w:pStyle w:val="Compact"/>
            </w:pPr>
            <w:r>
              <w:t xml:space="preserve">¿El acceso fue por medicamentos?</w:t>
            </w:r>
          </w:p>
        </w:tc>
        <w:tc>
          <w:tcPr/>
          <w:p>
            <w:pPr>
              <w:pStyle w:val="Compact"/>
            </w:pPr>
            <w:r>
              <w:t xml:space="preserve">Pregunta</w:t>
            </w:r>
          </w:p>
        </w:tc>
      </w:tr>
      <w:tr>
        <w:tc>
          <w:tcPr/>
          <w:p>
            <w:pPr>
              <w:pStyle w:val="Compact"/>
            </w:pPr>
            <w:r>
              <w:t xml:space="preserve">33</w:t>
            </w:r>
          </w:p>
        </w:tc>
        <w:tc>
          <w:tcPr/>
          <w:p>
            <w:pPr>
              <w:pStyle w:val="Compact"/>
            </w:pPr>
            <w:r>
              <w:t xml:space="preserve">Ambulatorio (EPS)</w:t>
            </w:r>
          </w:p>
        </w:tc>
        <w:tc>
          <w:tcPr/>
          <w:p>
            <w:pPr>
              <w:pStyle w:val="Compact"/>
            </w:pPr>
            <w:r>
              <w:t xml:space="preserve">Respuesta — Servicio EPS</w:t>
            </w:r>
          </w:p>
        </w:tc>
      </w:tr>
      <w:tr>
        <w:tc>
          <w:tcPr/>
          <w:p>
            <w:pPr>
              <w:pStyle w:val="Compact"/>
            </w:pPr>
            <w:r>
              <w:t xml:space="preserve">34</w:t>
            </w:r>
          </w:p>
        </w:tc>
        <w:tc>
          <w:tcPr/>
          <w:p>
            <w:pPr>
              <w:pStyle w:val="Compact"/>
            </w:pPr>
            <w:r>
              <w:t xml:space="preserve">Otro Servicio (EPS)</w:t>
            </w:r>
          </w:p>
        </w:tc>
        <w:tc>
          <w:tcPr/>
          <w:p>
            <w:pPr>
              <w:pStyle w:val="Compact"/>
            </w:pPr>
            <w:r>
              <w:t xml:space="preserve">Respuesta — Servicio EPS</w:t>
            </w:r>
          </w:p>
        </w:tc>
      </w:tr>
      <w:tr>
        <w:tc>
          <w:tcPr/>
          <w:p>
            <w:pPr>
              <w:pStyle w:val="Compact"/>
            </w:pPr>
            <w:r>
              <w:t xml:space="preserve">35</w:t>
            </w:r>
          </w:p>
        </w:tc>
        <w:tc>
          <w:tcPr/>
          <w:p>
            <w:pPr>
              <w:pStyle w:val="Compact"/>
            </w:pPr>
            <w:r>
              <w:t xml:space="preserve">Ambulatorio (IPS)</w:t>
            </w:r>
          </w:p>
        </w:tc>
        <w:tc>
          <w:tcPr/>
          <w:p>
            <w:pPr>
              <w:pStyle w:val="Compact"/>
            </w:pPr>
            <w:r>
              <w:t xml:space="preserve">Respuesta — Servicio IPS</w:t>
            </w:r>
          </w:p>
        </w:tc>
      </w:tr>
      <w:tr>
        <w:tc>
          <w:tcPr/>
          <w:p>
            <w:pPr>
              <w:pStyle w:val="Compact"/>
            </w:pPr>
            <w:r>
              <w:t xml:space="preserve">36</w:t>
            </w:r>
          </w:p>
        </w:tc>
        <w:tc>
          <w:tcPr/>
          <w:p>
            <w:pPr>
              <w:pStyle w:val="Compact"/>
            </w:pPr>
            <w:r>
              <w:t xml:space="preserve">Urgencias (IPS)</w:t>
            </w:r>
          </w:p>
        </w:tc>
        <w:tc>
          <w:tcPr/>
          <w:p>
            <w:pPr>
              <w:pStyle w:val="Compact"/>
            </w:pPr>
            <w:r>
              <w:t xml:space="preserve">Respuesta — Servicio IPS</w:t>
            </w:r>
          </w:p>
        </w:tc>
      </w:tr>
      <w:tr>
        <w:tc>
          <w:tcPr/>
          <w:p>
            <w:pPr>
              <w:pStyle w:val="Compact"/>
            </w:pPr>
            <w:r>
              <w:t xml:space="preserve">37</w:t>
            </w:r>
          </w:p>
        </w:tc>
        <w:tc>
          <w:tcPr/>
          <w:p>
            <w:pPr>
              <w:pStyle w:val="Compact"/>
            </w:pPr>
            <w:r>
              <w:t xml:space="preserve">Internación (IPS)</w:t>
            </w:r>
          </w:p>
        </w:tc>
        <w:tc>
          <w:tcPr/>
          <w:p>
            <w:pPr>
              <w:pStyle w:val="Compact"/>
            </w:pPr>
            <w:r>
              <w:t xml:space="preserve">Respuesta — Servicio IPS</w:t>
            </w:r>
          </w:p>
        </w:tc>
      </w:tr>
      <w:tr>
        <w:tc>
          <w:tcPr/>
          <w:p>
            <w:pPr>
              <w:pStyle w:val="Compact"/>
            </w:pPr>
            <w:r>
              <w:t xml:space="preserve">38</w:t>
            </w:r>
          </w:p>
        </w:tc>
        <w:tc>
          <w:tcPr/>
          <w:p>
            <w:pPr>
              <w:pStyle w:val="Compact"/>
            </w:pPr>
            <w:r>
              <w:t xml:space="preserve">Quirúrgico (IPS)</w:t>
            </w:r>
          </w:p>
        </w:tc>
        <w:tc>
          <w:tcPr/>
          <w:p>
            <w:pPr>
              <w:pStyle w:val="Compact"/>
            </w:pPr>
            <w:r>
              <w:t xml:space="preserve">Respuesta — Servicio IPS</w:t>
            </w:r>
          </w:p>
        </w:tc>
      </w:tr>
      <w:tr>
        <w:tc>
          <w:tcPr/>
          <w:p>
            <w:pPr>
              <w:pStyle w:val="Compact"/>
            </w:pPr>
            <w:r>
              <w:t xml:space="preserve">39</w:t>
            </w:r>
          </w:p>
        </w:tc>
        <w:tc>
          <w:tcPr/>
          <w:p>
            <w:pPr>
              <w:pStyle w:val="Compact"/>
            </w:pPr>
            <w:r>
              <w:t xml:space="preserve">Medicamentos (Gestor)</w:t>
            </w:r>
          </w:p>
        </w:tc>
        <w:tc>
          <w:tcPr/>
          <w:p>
            <w:pPr>
              <w:pStyle w:val="Compact"/>
            </w:pPr>
            <w:r>
              <w:t xml:space="preserve">Respuesta — Servicio Gestor</w:t>
            </w:r>
          </w:p>
        </w:tc>
      </w:tr>
      <w:tr>
        <w:tc>
          <w:tcPr/>
          <w:p>
            <w:pPr>
              <w:pStyle w:val="Compact"/>
            </w:pPr>
            <w:r>
              <w:t xml:space="preserve">40</w:t>
            </w:r>
          </w:p>
        </w:tc>
        <w:tc>
          <w:tcPr/>
          <w:p>
            <w:pPr>
              <w:pStyle w:val="Compact"/>
            </w:pPr>
            <w:r>
              <w:t xml:space="preserve">No Medicamentos (Gestor)</w:t>
            </w:r>
          </w:p>
        </w:tc>
        <w:tc>
          <w:tcPr/>
          <w:p>
            <w:pPr>
              <w:pStyle w:val="Compact"/>
            </w:pPr>
            <w:r>
              <w:t xml:space="preserve">Respuesta — Servicio Gestor</w:t>
            </w:r>
          </w:p>
        </w:tc>
      </w:tr>
    </w:tbl>
    <w:p>
      <w:pPr>
        <w:pStyle w:val="BodyText"/>
      </w:pPr>
      <w:r>
        <w:t xml:space="preserve">La correspondencia entre estas cajas y el módulo destino del bloque 4 es la siguiente: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Entidad</w:t>
            </w:r>
          </w:p>
        </w:tc>
        <w:tc>
          <w:tcPr/>
          <w:p>
            <w:pPr>
              <w:pStyle w:val="Compact"/>
            </w:pPr>
            <w:r>
              <w:t xml:space="preserve">Servicio / sub-servicio</w:t>
            </w:r>
          </w:p>
        </w:tc>
        <w:tc>
          <w:tcPr/>
          <w:p>
            <w:pPr>
              <w:pStyle w:val="Compact"/>
            </w:pPr>
            <w:r>
              <w:t xml:space="preserve">Módulo destino</w:t>
            </w:r>
          </w:p>
        </w:tc>
      </w:tr>
      <w:tr>
        <w:tc>
          <w:tcPr/>
          <w:p>
            <w:pPr>
              <w:pStyle w:val="Compact"/>
            </w:pPr>
            <w:r>
              <w:t xml:space="preserve">EPS</w:t>
            </w:r>
          </w:p>
        </w:tc>
        <w:tc>
          <w:tcPr/>
          <w:p>
            <w:pPr>
              <w:pStyle w:val="Compact"/>
            </w:pPr>
            <w:r>
              <w:t xml:space="preserve">Ambulatorio</w:t>
            </w:r>
          </w:p>
        </w:tc>
        <w:tc>
          <w:tcPr/>
          <w:p>
            <w:pPr>
              <w:pStyle w:val="Compact"/>
            </w:pPr>
            <w:r>
              <w:t xml:space="preserve">EPS – Módulo 3</w:t>
            </w:r>
          </w:p>
        </w:tc>
      </w:tr>
      <w:tr>
        <w:tc>
          <w:tcPr/>
          <w:p>
            <w:pPr>
              <w:pStyle w:val="Compact"/>
            </w:pPr>
            <w:r>
              <w:t xml:space="preserve">EPS</w:t>
            </w:r>
          </w:p>
        </w:tc>
        <w:tc>
          <w:tcPr/>
          <w:p>
            <w:pPr>
              <w:pStyle w:val="Compact"/>
            </w:pPr>
            <w:r>
              <w:t xml:space="preserve">Urgencias, internación o especializado</w:t>
            </w:r>
          </w:p>
        </w:tc>
        <w:tc>
          <w:tcPr/>
          <w:p>
            <w:pPr>
              <w:pStyle w:val="Compact"/>
            </w:pPr>
            <w:r>
              <w:t xml:space="preserve">EPS – Módulo 2</w:t>
            </w:r>
          </w:p>
        </w:tc>
      </w:tr>
      <w:tr>
        <w:tc>
          <w:tcPr/>
          <w:p>
            <w:pPr>
              <w:pStyle w:val="Compact"/>
            </w:pPr>
            <w:r>
              <w:t xml:space="preserve">IPS</w:t>
            </w:r>
          </w:p>
        </w:tc>
        <w:tc>
          <w:tcPr/>
          <w:p>
            <w:pPr>
              <w:pStyle w:val="Compact"/>
            </w:pPr>
            <w:r>
              <w:t xml:space="preserve">Ambulatorio</w:t>
            </w:r>
          </w:p>
        </w:tc>
        <w:tc>
          <w:tcPr/>
          <w:p>
            <w:pPr>
              <w:pStyle w:val="Compact"/>
            </w:pPr>
            <w:r>
              <w:t xml:space="preserve">IPS – Módulo 1</w:t>
            </w:r>
          </w:p>
        </w:tc>
      </w:tr>
      <w:tr>
        <w:tc>
          <w:tcPr/>
          <w:p>
            <w:pPr>
              <w:pStyle w:val="Compact"/>
            </w:pPr>
            <w:r>
              <w:t xml:space="preserve">IPS</w:t>
            </w:r>
          </w:p>
        </w:tc>
        <w:tc>
          <w:tcPr/>
          <w:p>
            <w:pPr>
              <w:pStyle w:val="Compact"/>
            </w:pPr>
            <w:r>
              <w:t xml:space="preserve">Urgencias</w:t>
            </w:r>
          </w:p>
        </w:tc>
        <w:tc>
          <w:tcPr/>
          <w:p>
            <w:pPr>
              <w:pStyle w:val="Compact"/>
            </w:pPr>
            <w:r>
              <w:t xml:space="preserve">IPS – Módulo 2</w:t>
            </w:r>
          </w:p>
        </w:tc>
      </w:tr>
      <w:tr>
        <w:tc>
          <w:tcPr/>
          <w:p>
            <w:pPr>
              <w:pStyle w:val="Compact"/>
            </w:pPr>
            <w:r>
              <w:t xml:space="preserve">IPS</w:t>
            </w:r>
          </w:p>
        </w:tc>
        <w:tc>
          <w:tcPr/>
          <w:p>
            <w:pPr>
              <w:pStyle w:val="Compact"/>
            </w:pPr>
            <w:r>
              <w:t xml:space="preserve">Internación</w:t>
            </w:r>
          </w:p>
        </w:tc>
        <w:tc>
          <w:tcPr/>
          <w:p>
            <w:pPr>
              <w:pStyle w:val="Compact"/>
            </w:pPr>
            <w:r>
              <w:t xml:space="preserve">IPS – Módulo 3</w:t>
            </w:r>
          </w:p>
        </w:tc>
      </w:tr>
      <w:tr>
        <w:tc>
          <w:tcPr/>
          <w:p>
            <w:pPr>
              <w:pStyle w:val="Compact"/>
            </w:pPr>
            <w:r>
              <w:t xml:space="preserve">IPS</w:t>
            </w:r>
          </w:p>
        </w:tc>
        <w:tc>
          <w:tcPr/>
          <w:p>
            <w:pPr>
              <w:pStyle w:val="Compact"/>
            </w:pPr>
            <w:r>
              <w:t xml:space="preserve">Quirúrgico</w:t>
            </w:r>
          </w:p>
        </w:tc>
        <w:tc>
          <w:tcPr/>
          <w:p>
            <w:pPr>
              <w:pStyle w:val="Compact"/>
            </w:pPr>
            <w:r>
              <w:t xml:space="preserve">IPS – Módulo 4</w:t>
            </w:r>
          </w:p>
        </w:tc>
      </w:tr>
      <w:tr>
        <w:tc>
          <w:tcPr/>
          <w:p>
            <w:pPr>
              <w:pStyle w:val="Compact"/>
            </w:pPr>
            <w:r>
              <w:t xml:space="preserve">Gestor Farmacéutico</w:t>
            </w:r>
          </w:p>
        </w:tc>
        <w:tc>
          <w:tcPr/>
          <w:p>
            <w:pPr>
              <w:pStyle w:val="Compact"/>
            </w:pPr>
            <w:r>
              <w:t xml:space="preserve">Medicamentos</w:t>
            </w:r>
          </w:p>
        </w:tc>
        <w:tc>
          <w:tcPr/>
          <w:p>
            <w:pPr>
              <w:pStyle w:val="Compact"/>
            </w:pPr>
            <w:r>
              <w:t xml:space="preserve">Gestor – Módulo 1</w:t>
            </w:r>
          </w:p>
        </w:tc>
      </w:tr>
      <w:tr>
        <w:tc>
          <w:tcPr/>
          <w:p>
            <w:pPr>
              <w:pStyle w:val="Compact"/>
            </w:pPr>
            <w:r>
              <w:t xml:space="preserve">Gestor Farmacéutico</w:t>
            </w:r>
          </w:p>
        </w:tc>
        <w:tc>
          <w:tcPr/>
          <w:p>
            <w:pPr>
              <w:pStyle w:val="Compact"/>
            </w:pPr>
            <w:r>
              <w:t xml:space="preserve">No medicamentos</w:t>
            </w:r>
          </w:p>
        </w:tc>
        <w:tc>
          <w:tcPr/>
          <w:p>
            <w:pPr>
              <w:pStyle w:val="Compact"/>
            </w:pPr>
            <w:r>
              <w:t xml:space="preserve">EPS – Módulo 2 (ruta transversal)</w:t>
            </w:r>
          </w:p>
        </w:tc>
      </w:tr>
    </w:tbl>
    <w:bookmarkEnd w:id="12"/>
    <w:bookmarkStart w:id="13" w:name="bloque-4-módulos-finales-8-cajas"/>
    <w:p>
      <w:pPr>
        <w:pStyle w:val="Heading3"/>
      </w:pPr>
      <w:r>
        <w:t xml:space="preserve">2.4 2.4 Bloque 4 — Módulos Finales (8 cajas)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pPr>
            <w:r>
              <w:t xml:space="preserve">Caja (nodo)</w:t>
            </w:r>
          </w:p>
        </w:tc>
        <w:tc>
          <w:tcPr/>
          <w:p>
            <w:pPr>
              <w:pStyle w:val="Compact"/>
            </w:pPr>
            <w:r>
              <w:t xml:space="preserve">Preguntas</w:t>
            </w:r>
          </w:p>
        </w:tc>
        <w:tc>
          <w:tcPr/>
          <w:p>
            <w:pPr>
              <w:pStyle w:val="Compact"/>
            </w:pPr>
            <w:r>
              <w:t xml:space="preserve">Enfoque</w:t>
            </w:r>
          </w:p>
        </w:tc>
      </w:tr>
      <w:tr>
        <w:tc>
          <w:tcPr/>
          <w:p>
            <w:pPr>
              <w:pStyle w:val="Compact"/>
            </w:pPr>
            <w:r>
              <w:t xml:space="preserve">41</w:t>
            </w:r>
          </w:p>
        </w:tc>
        <w:tc>
          <w:tcPr/>
          <w:p>
            <w:pPr>
              <w:pStyle w:val="Compact"/>
            </w:pPr>
            <w:r>
              <w:t xml:space="preserve">EPS – Módulo 1</w:t>
            </w:r>
          </w:p>
        </w:tc>
        <w:tc>
          <w:tcPr/>
          <w:p>
            <w:pPr>
              <w:pStyle w:val="Compact"/>
            </w:pPr>
            <w:r>
              <w:t xml:space="preserve">27</w:t>
            </w:r>
          </w:p>
        </w:tc>
        <w:tc>
          <w:tcPr/>
          <w:p>
            <w:pPr>
              <w:pStyle w:val="Compact"/>
            </w:pPr>
            <w:r>
              <w:t xml:space="preserve">Barreras de acceso en población sin uso reciente de servicios</w:t>
            </w:r>
          </w:p>
        </w:tc>
      </w:tr>
      <w:tr>
        <w:tc>
          <w:tcPr/>
          <w:p>
            <w:pPr>
              <w:pStyle w:val="Compact"/>
            </w:pPr>
            <w:r>
              <w:t xml:space="preserve">42</w:t>
            </w:r>
          </w:p>
        </w:tc>
        <w:tc>
          <w:tcPr/>
          <w:p>
            <w:pPr>
              <w:pStyle w:val="Compact"/>
            </w:pPr>
            <w:r>
              <w:t xml:space="preserve">EPS – Módulo 2</w:t>
            </w:r>
          </w:p>
        </w:tc>
        <w:tc>
          <w:tcPr/>
          <w:p>
            <w:pPr>
              <w:pStyle w:val="Compact"/>
            </w:pPr>
            <w:r>
              <w:t xml:space="preserve">36</w:t>
            </w:r>
          </w:p>
        </w:tc>
        <w:tc>
          <w:tcPr/>
          <w:p>
            <w:pPr>
              <w:pStyle w:val="Compact"/>
            </w:pPr>
            <w:r>
              <w:t xml:space="preserve">Urgencias, internación o especializado por EPS; también canal no farmacológico del Gestor</w:t>
            </w:r>
          </w:p>
        </w:tc>
      </w:tr>
      <w:tr>
        <w:tc>
          <w:tcPr/>
          <w:p>
            <w:pPr>
              <w:pStyle w:val="Compact"/>
            </w:pPr>
            <w:r>
              <w:t xml:space="preserve">43</w:t>
            </w:r>
          </w:p>
        </w:tc>
        <w:tc>
          <w:tcPr/>
          <w:p>
            <w:pPr>
              <w:pStyle w:val="Compact"/>
            </w:pPr>
            <w:r>
              <w:t xml:space="preserve">EPS – Módulo 3</w:t>
            </w:r>
          </w:p>
        </w:tc>
        <w:tc>
          <w:tcPr/>
          <w:p>
            <w:pPr>
              <w:pStyle w:val="Compact"/>
            </w:pPr>
            <w:r>
              <w:t xml:space="preserve">34</w:t>
            </w:r>
          </w:p>
        </w:tc>
        <w:tc>
          <w:tcPr/>
          <w:p>
            <w:pPr>
              <w:pStyle w:val="Compact"/>
            </w:pPr>
            <w:r>
              <w:t xml:space="preserve">Consulta ambulatoria / externa por EPS</w:t>
            </w:r>
          </w:p>
        </w:tc>
      </w:tr>
      <w:tr>
        <w:tc>
          <w:tcPr/>
          <w:p>
            <w:pPr>
              <w:pStyle w:val="Compact"/>
            </w:pPr>
            <w:r>
              <w:t xml:space="preserve">44</w:t>
            </w:r>
          </w:p>
        </w:tc>
        <w:tc>
          <w:tcPr/>
          <w:p>
            <w:pPr>
              <w:pStyle w:val="Compact"/>
            </w:pPr>
            <w:r>
              <w:t xml:space="preserve">IPS – Módulo 1</w:t>
            </w:r>
          </w:p>
        </w:tc>
        <w:tc>
          <w:tcPr/>
          <w:p>
            <w:pPr>
              <w:pStyle w:val="Compact"/>
            </w:pPr>
            <w:r>
              <w:t xml:space="preserve">34</w:t>
            </w:r>
          </w:p>
        </w:tc>
        <w:tc>
          <w:tcPr/>
          <w:p>
            <w:pPr>
              <w:pStyle w:val="Compact"/>
            </w:pPr>
            <w:r>
              <w:t xml:space="preserve">Consulta ambulatoria directa en red IPS</w:t>
            </w:r>
          </w:p>
        </w:tc>
      </w:tr>
      <w:tr>
        <w:tc>
          <w:tcPr/>
          <w:p>
            <w:pPr>
              <w:pStyle w:val="Compact"/>
            </w:pPr>
            <w:r>
              <w:t xml:space="preserve">45</w:t>
            </w:r>
          </w:p>
        </w:tc>
        <w:tc>
          <w:tcPr/>
          <w:p>
            <w:pPr>
              <w:pStyle w:val="Compact"/>
            </w:pPr>
            <w:r>
              <w:t xml:space="preserve">IPS – Módulo 2</w:t>
            </w:r>
          </w:p>
        </w:tc>
        <w:tc>
          <w:tcPr/>
          <w:p>
            <w:pPr>
              <w:pStyle w:val="Compact"/>
            </w:pPr>
            <w:r>
              <w:t xml:space="preserve">32</w:t>
            </w:r>
          </w:p>
        </w:tc>
        <w:tc>
          <w:tcPr/>
          <w:p>
            <w:pPr>
              <w:pStyle w:val="Compact"/>
            </w:pPr>
            <w:r>
              <w:t xml:space="preserve">Atención de urgencias en red IPS</w:t>
            </w:r>
          </w:p>
        </w:tc>
      </w:tr>
      <w:tr>
        <w:tc>
          <w:tcPr/>
          <w:p>
            <w:pPr>
              <w:pStyle w:val="Compact"/>
            </w:pPr>
            <w:r>
              <w:t xml:space="preserve">46</w:t>
            </w:r>
          </w:p>
        </w:tc>
        <w:tc>
          <w:tcPr/>
          <w:p>
            <w:pPr>
              <w:pStyle w:val="Compact"/>
            </w:pPr>
            <w:r>
              <w:t xml:space="preserve">IPS – Módulo 3</w:t>
            </w:r>
          </w:p>
        </w:tc>
        <w:tc>
          <w:tcPr/>
          <w:p>
            <w:pPr>
              <w:pStyle w:val="Compact"/>
            </w:pPr>
            <w:r>
              <w:t xml:space="preserve">29</w:t>
            </w:r>
          </w:p>
        </w:tc>
        <w:tc>
          <w:tcPr/>
          <w:p>
            <w:pPr>
              <w:pStyle w:val="Compact"/>
            </w:pPr>
            <w:r>
              <w:t xml:space="preserve">Internación y hospitalización</w:t>
            </w:r>
          </w:p>
        </w:tc>
      </w:tr>
      <w:tr>
        <w:tc>
          <w:tcPr/>
          <w:p>
            <w:pPr>
              <w:pStyle w:val="Compact"/>
            </w:pPr>
            <w:r>
              <w:t xml:space="preserve">47</w:t>
            </w:r>
          </w:p>
        </w:tc>
        <w:tc>
          <w:tcPr/>
          <w:p>
            <w:pPr>
              <w:pStyle w:val="Compact"/>
            </w:pPr>
            <w:r>
              <w:t xml:space="preserve">IPS – Módulo 4</w:t>
            </w:r>
          </w:p>
        </w:tc>
        <w:tc>
          <w:tcPr/>
          <w:p>
            <w:pPr>
              <w:pStyle w:val="Compact"/>
            </w:pPr>
            <w:r>
              <w:t xml:space="preserve">33</w:t>
            </w:r>
          </w:p>
        </w:tc>
        <w:tc>
          <w:tcPr/>
          <w:p>
            <w:pPr>
              <w:pStyle w:val="Compact"/>
            </w:pPr>
            <w:r>
              <w:t xml:space="preserve">Procedimientos quirúrgicos</w:t>
            </w:r>
          </w:p>
        </w:tc>
      </w:tr>
      <w:tr>
        <w:tc>
          <w:tcPr/>
          <w:p>
            <w:pPr>
              <w:pStyle w:val="Compact"/>
            </w:pPr>
            <w:r>
              <w:t xml:space="preserve">48</w:t>
            </w:r>
          </w:p>
        </w:tc>
        <w:tc>
          <w:tcPr/>
          <w:p>
            <w:pPr>
              <w:pStyle w:val="Compact"/>
            </w:pPr>
            <w:r>
              <w:t xml:space="preserve">Gestor – Módulo 1</w:t>
            </w:r>
          </w:p>
        </w:tc>
        <w:tc>
          <w:tcPr/>
          <w:p>
            <w:pPr>
              <w:pStyle w:val="Compact"/>
            </w:pPr>
            <w:r>
              <w:t xml:space="preserve">34</w:t>
            </w:r>
          </w:p>
        </w:tc>
        <w:tc>
          <w:tcPr/>
          <w:p>
            <w:pPr>
              <w:pStyle w:val="Compact"/>
            </w:pPr>
            <w:r>
              <w:t xml:space="preserve">Entrega de medicamentos y dispositivos médicos</w:t>
            </w:r>
          </w:p>
        </w:tc>
      </w:tr>
    </w:tbl>
    <w:bookmarkEnd w:id="13"/>
    <w:bookmarkEnd w:id="14"/>
    <w:bookmarkStart w:id="19" w:name="X6108c07b0c95fa180a0be63881f9c938d0bc884"/>
    <w:p>
      <w:pPr>
        <w:pStyle w:val="Heading2"/>
      </w:pPr>
      <w:r>
        <w:t xml:space="preserve">3 3. Asignación del Tamaño de Muestra (ya definido)</w:t>
      </w:r>
    </w:p>
    <w:p>
      <w:pPr>
        <w:pStyle w:val="FirstParagraph"/>
      </w:pPr>
      <w:r>
        <w:t xml:space="preserve">El tamaño de muestra de la Encuesta Nacional de Salud</w:t>
      </w:r>
      <w:r>
        <w:t xml:space="preserve"> </w:t>
      </w:r>
      <w:r>
        <w:rPr>
          <w:b/>
          <w:bCs/>
        </w:rPr>
        <w:t xml:space="preserve">ya se encuentra definido</w:t>
      </w:r>
      <w:r>
        <w:t xml:space="preserve">: corresponde a</w:t>
      </w:r>
      <w:r>
        <w:t xml:space="preserve"> </w:t>
      </w:r>
      <w:r>
        <w:rPr>
          <w:b/>
          <w:bCs/>
        </w:rPr>
        <w:t xml:space="preserve">7 876 encuestas</w:t>
      </w:r>
      <w:r>
        <w:t xml:space="preserve"> </w:t>
      </w:r>
      <w:r>
        <w:t xml:space="preserve">a nivel nacional, equivalentes a una meta de aproximadamente</w:t>
      </w:r>
      <w:r>
        <w:t xml:space="preserve"> </w:t>
      </w:r>
      <w:r>
        <w:rPr>
          <w:b/>
          <w:bCs/>
        </w:rPr>
        <w:t xml:space="preserve">1 313 encuestas por cada una de las seis regiones</w:t>
      </w:r>
      <w:r>
        <w:t xml:space="preserve">. Este documento no calcula ni deriva dicho tamaño; se limita a describir la metodología mediante la cual ese tamaño, ya fijado, se</w:t>
      </w:r>
      <w:r>
        <w:t xml:space="preserve"> </w:t>
      </w:r>
      <w:r>
        <w:rPr>
          <w:b/>
          <w:bCs/>
        </w:rPr>
        <w:t xml:space="preserve">asigna (reparte)</w:t>
      </w:r>
      <w:r>
        <w:t xml:space="preserve"> </w:t>
      </w:r>
      <w:r>
        <w:t xml:space="preserve">entre los dominios de análisis y las celdas demográficas representadas en las cajas del bloque de caracterización.</w:t>
      </w:r>
    </w:p>
    <w:bookmarkStart w:id="15" w:name="Xeaeaf09e3eb9387180150d2ae4342ae9d191ff6"/>
    <w:p>
      <w:pPr>
        <w:pStyle w:val="Heading3"/>
      </w:pPr>
      <w:r>
        <w:t xml:space="preserve">3.1 3.1 Parámetros de referencia del tamaño ya definido</w:t>
      </w:r>
    </w:p>
    <w:p>
      <w:pPr>
        <w:pStyle w:val="FirstParagraph"/>
      </w:pPr>
      <w:r>
        <w:t xml:space="preserve">Los siguientes parámetros corresponden a la meta de precisión con la que fue definido el tamaño de muestra, y se incluyen únicamente como referencia contextual: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Parámetro</w:t>
            </w:r>
          </w:p>
        </w:tc>
        <w:tc>
          <w:tcPr/>
          <w:p>
            <w:pPr>
              <w:pStyle w:val="Compact"/>
            </w:pPr>
            <w:r>
              <w:t xml:space="preserve">Símbolo</w:t>
            </w:r>
          </w:p>
        </w:tc>
        <w:tc>
          <w:tcPr/>
          <w:p>
            <w:pPr>
              <w:pStyle w:val="Compact"/>
            </w:pPr>
            <w:r>
              <w:t xml:space="preserve">Valor</w:t>
            </w:r>
          </w:p>
        </w:tc>
      </w:tr>
      <w:tr>
        <w:tc>
          <w:tcPr/>
          <w:p>
            <w:pPr>
              <w:pStyle w:val="Compact"/>
            </w:pPr>
            <w:r>
              <w:t xml:space="preserve">Proporción esperada</w:t>
            </w:r>
          </w:p>
        </w:tc>
        <w:tc>
          <w:tcPr/>
          <w:p>
            <w:pPr>
              <w:pStyle w:val="Compact"/>
            </w:pPr>
            <m:oMath>
              <m:r>
                <m:t>P</m:t>
              </m:r>
            </m:oMath>
          </w:p>
        </w:tc>
        <w:tc>
          <w:tcPr/>
          <w:p>
            <w:pPr>
              <w:pStyle w:val="Compact"/>
            </w:pPr>
            <w:r>
              <w:t xml:space="preserve">0,50</w:t>
            </w:r>
          </w:p>
        </w:tc>
      </w:tr>
      <w:tr>
        <w:tc>
          <w:tcPr/>
          <w:p>
            <w:pPr>
              <w:pStyle w:val="Compact"/>
            </w:pPr>
            <w:r>
              <w:t xml:space="preserve">Nivel de confianza</w:t>
            </w:r>
          </w:p>
        </w:tc>
        <w:tc>
          <w:tcPr/>
          <w:p>
            <w:pPr>
              <w:pStyle w:val="Compact"/>
            </w:pPr>
            <m:oMath>
              <m:r>
                <m:t>1</m:t>
              </m:r>
              <m:r>
                <m:rPr>
                  <m:sty m:val="p"/>
                </m:rPr>
                <m:t>−</m:t>
              </m:r>
              <m:r>
                <m:t>α</m:t>
              </m:r>
            </m:oMath>
          </w:p>
        </w:tc>
        <w:tc>
          <w:tcPr/>
          <w:p>
            <w:pPr>
              <w:pStyle w:val="Compact"/>
            </w:pPr>
            <w:r>
              <w:t xml:space="preserve">95 %</w:t>
            </w:r>
          </w:p>
        </w:tc>
      </w:tr>
      <w:tr>
        <w:tc>
          <w:tcPr/>
          <w:p>
            <w:pPr>
              <w:pStyle w:val="Compact"/>
            </w:pPr>
            <w:r>
              <w:t xml:space="preserve">Margen de error relativo</w:t>
            </w:r>
          </w:p>
        </w:tc>
        <w:tc>
          <w:tcPr/>
          <w:p>
            <w:pPr>
              <w:pStyle w:val="Compact"/>
            </w:pPr>
            <m:oMath>
              <m:r>
                <m:t>e</m:t>
              </m:r>
              <m:r>
                <m:rPr>
                  <m:sty m:val="p"/>
                </m:rPr>
                <m:t>/</m:t>
              </m:r>
              <m:r>
                <m:t>P</m:t>
              </m:r>
            </m:oMath>
          </w:p>
        </w:tc>
        <w:tc>
          <w:tcPr/>
          <w:p>
            <w:pPr>
              <w:pStyle w:val="Compact"/>
            </w:pPr>
            <w:r>
              <w:t xml:space="preserve">7,84 %</w:t>
            </w:r>
          </w:p>
        </w:tc>
      </w:tr>
      <w:tr>
        <w:tc>
          <w:tcPr/>
          <w:p>
            <w:pPr>
              <w:pStyle w:val="Compact"/>
            </w:pPr>
            <w:r>
              <w:t xml:space="preserve">Efecto de diseño aplicado</w:t>
            </w:r>
          </w:p>
        </w:tc>
        <w:tc>
          <w:tcPr/>
          <w:p>
            <w:pPr>
              <w:pStyle w:val="Compact"/>
            </w:pPr>
            <m:oMath>
              <m:sSub>
                <m:e>
                  <m:r>
                    <m:t>D</m:t>
                  </m:r>
                </m:e>
                <m:sub>
                  <m:r>
                    <m:t>e</m:t>
                  </m:r>
                  <m:r>
                    <m:t>f</m:t>
                  </m:r>
                </m:sub>
              </m:sSub>
            </m:oMath>
          </w:p>
        </w:tc>
        <w:tc>
          <w:tcPr/>
          <w:p>
            <w:pPr>
              <w:pStyle w:val="Compact"/>
            </w:pPr>
            <w:r>
              <w:t xml:space="preserve">1,5</w:t>
            </w:r>
          </w:p>
        </w:tc>
      </w:tr>
      <w:tr>
        <w:tc>
          <w:tcPr/>
          <w:p>
            <w:pPr>
              <w:pStyle w:val="Compact"/>
            </w:pPr>
            <w:r>
              <w:t xml:space="preserve">Factor operativo aplicado</w:t>
            </w:r>
          </w:p>
        </w:tc>
        <w:tc>
          <w:tcPr/>
          <w:p>
            <w:pPr>
              <w:pStyle w:val="Compact"/>
            </w:pPr>
            <m:oMath>
              <m:r>
                <m:t>f</m:t>
              </m:r>
            </m:oMath>
          </w:p>
        </w:tc>
        <w:tc>
          <w:tcPr/>
          <w:p>
            <w:pPr>
              <w:pStyle w:val="Compact"/>
            </w:pPr>
            <w:r>
              <w:t xml:space="preserve">1,4</w:t>
            </w:r>
          </w:p>
        </w:tc>
      </w:tr>
      <w:tr>
        <w:tc>
          <w:tcPr/>
          <w:p>
            <w:pPr>
              <w:pStyle w:val="Compact"/>
            </w:pPr>
            <w:r>
              <w:t xml:space="preserve">Población de referencia</w:t>
            </w:r>
          </w:p>
        </w:tc>
        <w:tc>
          <w:tcPr/>
          <w:p>
            <w:pPr>
              <w:pStyle w:val="Compact"/>
            </w:pPr>
            <m:oMath>
              <m:r>
                <m:t>N</m:t>
              </m:r>
            </m:oMath>
          </w:p>
        </w:tc>
        <w:tc>
          <w:tcPr/>
          <w:p>
            <w:pPr>
              <w:pStyle w:val="Compact"/>
            </w:pPr>
            <w:r>
              <w:t xml:space="preserve">50 168 746 personas afiliadas</w:t>
            </w:r>
          </w:p>
        </w:tc>
      </w:tr>
      <w:tr>
        <w:tc>
          <w:tcPr/>
          <w:p>
            <w:pPr>
              <w:pStyle w:val="Compact"/>
            </w:pPr>
            <w:r>
              <w:rPr>
                <w:b/>
                <w:bCs/>
              </w:rPr>
              <w:t xml:space="preserve">Tamaño de muestra nacional ya definido</w:t>
            </w:r>
          </w:p>
        </w:tc>
        <w:tc>
          <w:tcPr/>
          <w:p>
            <w:pPr>
              <w:pStyle w:val="Compact"/>
            </w:pPr>
            <m:oMath>
              <m:sSub>
                <m:e>
                  <m:r>
                    <m:t>n</m:t>
                  </m:r>
                </m:e>
                <m:sub>
                  <m:r>
                    <m:t>n</m:t>
                  </m:r>
                  <m:r>
                    <m:t>a</m:t>
                  </m:r>
                  <m:r>
                    <m:t>c</m:t>
                  </m:r>
                  <m:r>
                    <m:t>i</m:t>
                  </m:r>
                  <m:r>
                    <m:t>o</m:t>
                  </m:r>
                  <m:r>
                    <m:t>n</m:t>
                  </m:r>
                  <m:r>
                    <m:t>a</m:t>
                  </m:r>
                  <m:r>
                    <m:t>l</m:t>
                  </m:r>
                </m:sub>
              </m:sSub>
            </m:oMath>
          </w:p>
        </w:tc>
        <w:tc>
          <w:tcPr/>
          <w:p>
            <w:pPr>
              <w:pStyle w:val="Compact"/>
            </w:pPr>
            <w:r>
              <w:rPr>
                <w:b/>
                <w:bCs/>
              </w:rPr>
              <w:t xml:space="preserve">7 876 encuestas</w:t>
            </w:r>
          </w:p>
        </w:tc>
      </w:tr>
      <w:tr>
        <w:tc>
          <w:tcPr/>
          <w:p>
            <w:pPr>
              <w:pStyle w:val="Compact"/>
            </w:pPr>
            <w:r>
              <w:rPr>
                <w:b/>
                <w:bCs/>
              </w:rPr>
              <w:t xml:space="preserve">Tamaño de muestra ya definido por región</w:t>
            </w:r>
          </w:p>
        </w:tc>
        <w:tc>
          <w:tcPr/>
          <w:p>
            <w:pPr>
              <w:pStyle w:val="Compact"/>
            </w:pPr>
            <m:oMath>
              <m:sSub>
                <m:e>
                  <m:r>
                    <m:t>n</m:t>
                  </m:r>
                </m:e>
                <m:sub>
                  <m:r>
                    <m:t>r</m:t>
                  </m:r>
                  <m:r>
                    <m:t>e</m:t>
                  </m:r>
                  <m:r>
                    <m:t>g</m:t>
                  </m:r>
                  <m:r>
                    <m:t>i</m:t>
                  </m:r>
                  <m:r>
                    <m:t>ó</m:t>
                  </m:r>
                  <m:r>
                    <m:t>n</m:t>
                  </m:r>
                </m:sub>
              </m:sSub>
            </m:oMath>
          </w:p>
        </w:tc>
        <w:tc>
          <w:tcPr/>
          <w:p>
            <w:pPr>
              <w:pStyle w:val="Compact"/>
            </w:pPr>
            <w:r>
              <w:rPr>
                <w:b/>
                <w:bCs/>
              </w:rPr>
              <w:t xml:space="preserve">≈ 1 313 encuestas</w:t>
            </w:r>
          </w:p>
        </w:tc>
      </w:tr>
    </w:tbl>
    <w:bookmarkEnd w:id="15"/>
    <w:bookmarkStart w:id="16" w:name="X81177a31b21d1fc66ebb9ed9a3f910b85d4a9ca"/>
    <w:p>
      <w:pPr>
        <w:pStyle w:val="Heading3"/>
      </w:pPr>
      <w:r>
        <w:t xml:space="preserve">3.2 3.2 Asignación por dominio de análisis (nivel regional)</w:t>
      </w:r>
    </w:p>
    <w:p>
      <w:pPr>
        <w:pStyle w:val="FirstParagraph"/>
      </w:pPr>
      <w:r>
        <w:t xml:space="preserve">El tamaño de muestra ya definido para cada dominio regional (</w:t>
      </w:r>
      <m:oMath>
        <m:sSub>
          <m:e>
            <m:r>
              <m:t>n</m:t>
            </m:r>
          </m:e>
          <m:sub>
            <m:r>
              <m:t>r</m:t>
            </m:r>
            <m:r>
              <m:t>e</m:t>
            </m:r>
            <m:r>
              <m:t>g</m:t>
            </m:r>
            <m:r>
              <m:t>i</m:t>
            </m:r>
            <m:r>
              <m:t>ó</m:t>
            </m:r>
            <m:r>
              <m:t>n</m:t>
            </m:r>
          </m:sub>
        </m:sSub>
        <m:r>
          <m:rPr>
            <m:sty m:val="p"/>
          </m:rPr>
          <m:t>≈</m:t>
        </m:r>
        <m:r>
          <m:t>1</m:t>
        </m:r>
        <m:r>
          <m:t> </m:t>
        </m:r>
        <m:r>
          <m:t>313</m:t>
        </m:r>
      </m:oMath>
      <w:r>
        <w:t xml:space="preserve">) se asigna de manera</w:t>
      </w:r>
      <w:r>
        <w:t xml:space="preserve"> </w:t>
      </w:r>
      <w:r>
        <w:rPr>
          <w:b/>
          <w:bCs/>
        </w:rPr>
        <w:t xml:space="preserve">igual e independiente</w:t>
      </w:r>
      <w:r>
        <w:t xml:space="preserve"> </w:t>
      </w:r>
      <w:r>
        <w:t xml:space="preserve">a cada una de las seis regiones, en lugar de repartir proporcionalmente el tamaño nacional entre ellas. Esto garantiza una precisión equivalente en cada región, sin penalizar a las de menor población:</w:t>
      </w:r>
    </w:p>
    <w:p>
      <w:pPr>
        <w:pStyle w:val="BodyText"/>
      </w:pPr>
      <m:oMathPara>
        <m:oMathParaPr>
          <m:jc m:val="center"/>
        </m:oMathParaPr>
        <m:oMath>
          <m:sSub>
            <m:e>
              <m:r>
                <m:t>n</m:t>
              </m:r>
            </m:e>
            <m:sub>
              <m:r>
                <m:t>r</m:t>
              </m:r>
              <m:r>
                <m:t>e</m:t>
              </m:r>
              <m:r>
                <m:t>g</m:t>
              </m:r>
              <m:r>
                <m:t>i</m:t>
              </m:r>
              <m:r>
                <m:t>ó</m:t>
              </m:r>
              <m:r>
                <m:t>n</m:t>
              </m:r>
            </m:sub>
          </m:sSub>
          <m:r>
            <m:rPr>
              <m:sty m:val="p"/>
            </m:rPr>
            <m:t>(</m:t>
          </m:r>
          <m:r>
            <m:t>r</m:t>
          </m:r>
          <m:r>
            <m:rPr>
              <m:sty m:val="p"/>
            </m:rPr>
            <m:t>)</m:t>
          </m:r>
          <m:r>
            <m:rPr>
              <m:sty m:val="p"/>
            </m:rPr>
            <m:t>=</m:t>
          </m:r>
          <m:sSub>
            <m:e>
              <m:r>
                <m:t>n</m:t>
              </m:r>
            </m:e>
            <m:sub>
              <m:r>
                <m:t>r</m:t>
              </m:r>
              <m:r>
                <m:t>e</m:t>
              </m:r>
              <m:r>
                <m:t>g</m:t>
              </m:r>
              <m:r>
                <m:t>i</m:t>
              </m:r>
              <m:r>
                <m:t>ó</m:t>
              </m:r>
              <m:r>
                <m:t>n</m:t>
              </m:r>
            </m:sub>
          </m:sSub>
          <m:r>
            <m:t> </m:t>
          </m:r>
          <m:r>
            <m:rPr>
              <m:nor/>
              <m:sty m:val="p"/>
            </m:rPr>
            <m:t>para cada región </m:t>
          </m:r>
          <m:r>
            <m:t>r</m:t>
          </m:r>
          <m:r>
            <m:rPr>
              <m:sty m:val="p"/>
            </m:rPr>
            <m:t>=</m:t>
          </m:r>
          <m:r>
            <m:t>1</m:t>
          </m:r>
          <m:r>
            <m:rPr>
              <m:sty m:val="p"/>
            </m:rPr>
            <m:t>,</m:t>
          </m:r>
          <m:r>
            <m:rPr>
              <m:sty m:val="p"/>
            </m:rPr>
            <m:t>…</m:t>
          </m:r>
          <m:r>
            <m:rPr>
              <m:sty m:val="p"/>
            </m:rPr>
            <m:t>,</m:t>
          </m:r>
          <m:r>
            <m:t>6</m:t>
          </m:r>
        </m:oMath>
      </m:oMathPara>
    </w:p>
    <w:p>
      <w:pPr>
        <w:pStyle w:val="FirstParagraph"/>
      </w:pPr>
      <w:r>
        <w:t xml:space="preserve">El tamaño de muestra nacional ya definido corresponde a la suma de los seis dominios regionales, con leves ajustes de redondeo en el dominio de menor tamaño poblacional:</w:t>
      </w:r>
    </w:p>
    <w:p>
      <w:pPr>
        <w:pStyle w:val="BodyText"/>
      </w:pPr>
      <m:oMathPara>
        <m:oMathParaPr>
          <m:jc m:val="center"/>
        </m:oMathParaPr>
        <m:oMath>
          <m:sSub>
            <m:e>
              <m:r>
                <m:t>n</m:t>
              </m:r>
            </m:e>
            <m:sub>
              <m:r>
                <m:t>n</m:t>
              </m:r>
              <m:r>
                <m:t>a</m:t>
              </m:r>
              <m:r>
                <m:t>c</m:t>
              </m:r>
              <m:r>
                <m:t>i</m:t>
              </m:r>
              <m:r>
                <m:t>o</m:t>
              </m:r>
              <m:r>
                <m:t>n</m:t>
              </m:r>
              <m:r>
                <m:t>a</m:t>
              </m:r>
              <m:r>
                <m:t>l</m:t>
              </m:r>
            </m:sub>
          </m:sSub>
          <m:r>
            <m:rPr>
              <m:sty m:val="p"/>
            </m:rPr>
            <m:t>=</m:t>
          </m:r>
          <m:nary>
            <m:naryPr>
              <m:chr m:val="∑"/>
              <m:limLoc m:val="undOvr"/>
              <m:subHide m:val="off"/>
              <m:supHide m:val="off"/>
            </m:naryPr>
            <m:sub>
              <m:r>
                <m:t>r</m:t>
              </m:r>
              <m:r>
                <m:rPr>
                  <m:sty m:val="p"/>
                </m:rPr>
                <m:t>=</m:t>
              </m:r>
              <m:r>
                <m:t>1</m:t>
              </m:r>
            </m:sub>
            <m:sup>
              <m:r>
                <m:t>6</m:t>
              </m:r>
            </m:sup>
            <m:e>
              <m:sSub>
                <m:e>
                  <m:r>
                    <m:t>n</m:t>
                  </m:r>
                </m:e>
                <m:sub>
                  <m:r>
                    <m:t>r</m:t>
                  </m:r>
                  <m:r>
                    <m:t>e</m:t>
                  </m:r>
                  <m:r>
                    <m:t>g</m:t>
                  </m:r>
                  <m:r>
                    <m:t>i</m:t>
                  </m:r>
                  <m:r>
                    <m:t>ó</m:t>
                  </m:r>
                  <m:r>
                    <m:t>n</m:t>
                  </m:r>
                </m:sub>
              </m:sSub>
            </m:e>
          </m:nary>
          <m:r>
            <m:rPr>
              <m:sty m:val="p"/>
            </m:rPr>
            <m:t>(</m:t>
          </m:r>
          <m:r>
            <m:t>r</m:t>
          </m:r>
          <m:r>
            <m:rPr>
              <m:sty m:val="p"/>
            </m:rPr>
            <m:t>)</m:t>
          </m:r>
          <m:r>
            <m:rPr>
              <m:sty m:val="p"/>
            </m:rPr>
            <m:t>≈</m:t>
          </m:r>
          <m:r>
            <m:t>6</m:t>
          </m:r>
          <m:r>
            <m:rPr>
              <m:sty m:val="p"/>
            </m:rPr>
            <m:t>×</m:t>
          </m:r>
          <m:r>
            <m:t>1</m:t>
          </m:r>
          <m:r>
            <m:t> </m:t>
          </m:r>
          <m:r>
            <m:t>313</m:t>
          </m:r>
          <m:r>
            <m:rPr>
              <m:sty m:val="p"/>
            </m:rPr>
            <m:t>=</m:t>
          </m:r>
          <m:r>
            <m:t>7</m:t>
          </m:r>
          <m:r>
            <m:t> </m:t>
          </m:r>
          <m:r>
            <m:t>876</m:t>
          </m:r>
        </m:oMath>
      </m:oMathPara>
    </w:p>
    <w:bookmarkEnd w:id="16"/>
    <w:bookmarkStart w:id="17" w:name="Xbe41afbb8b59d08a1aab990bb88dee31a6db38d"/>
    <w:p>
      <w:pPr>
        <w:pStyle w:val="Heading3"/>
      </w:pPr>
      <w:r>
        <w:t xml:space="preserve">3.3 3.3 Asignación proporcional por régimen dentro de cada región</w:t>
      </w:r>
    </w:p>
    <w:p>
      <w:pPr>
        <w:pStyle w:val="FirstParagraph"/>
      </w:pPr>
      <w:r>
        <w:t xml:space="preserve">Dentro de cada región, el tamaño de muestra regional ya definido se distribuye entre los dos regímenes de afiliación de forma proporcional a su peso poblacional dentro de esa región:</w:t>
      </w:r>
    </w:p>
    <w:p>
      <w:pPr>
        <w:pStyle w:val="BodyText"/>
      </w:pPr>
      <m:oMathPara>
        <m:oMathParaPr>
          <m:jc m:val="center"/>
        </m:oMathParaPr>
        <m:oMath>
          <m:r>
            <m:t>n</m:t>
          </m:r>
          <m:r>
            <m:rPr>
              <m:sty m:val="p"/>
            </m:rPr>
            <m:t>(</m:t>
          </m:r>
          <m:r>
            <m:t>r</m:t>
          </m:r>
          <m:r>
            <m:t>e</m:t>
          </m:r>
          <m:r>
            <m:t>g</m:t>
          </m:r>
          <m:r>
            <m:t>i</m:t>
          </m:r>
          <m:r>
            <m:t>ó</m:t>
          </m:r>
          <m:r>
            <m:t>n</m:t>
          </m:r>
          <m:r>
            <m:rPr>
              <m:sty m:val="p"/>
            </m:rPr>
            <m:t>,</m:t>
          </m:r>
          <m:r>
            <m:t>r</m:t>
          </m:r>
          <m:r>
            <m:t>é</m:t>
          </m:r>
          <m:r>
            <m:t>g</m:t>
          </m:r>
          <m:r>
            <m:t>i</m:t>
          </m:r>
          <m:r>
            <m:t>m</m:t>
          </m:r>
          <m:r>
            <m:t>e</m:t>
          </m:r>
          <m:r>
            <m:t>n</m:t>
          </m:r>
          <m:r>
            <m:rPr>
              <m:sty m:val="p"/>
            </m:rPr>
            <m:t>)</m:t>
          </m:r>
          <m:r>
            <m:rPr>
              <m:sty m:val="p"/>
            </m:rPr>
            <m:t>=</m:t>
          </m:r>
          <m:sSub>
            <m:e>
              <m:r>
                <m:t>n</m:t>
              </m:r>
            </m:e>
            <m:sub>
              <m:r>
                <m:t>r</m:t>
              </m:r>
              <m:r>
                <m:t>e</m:t>
              </m:r>
              <m:r>
                <m:t>g</m:t>
              </m:r>
              <m:r>
                <m:t>i</m:t>
              </m:r>
              <m:r>
                <m:t>ó</m:t>
              </m:r>
              <m:r>
                <m:t>n</m:t>
              </m:r>
            </m:sub>
          </m:sSub>
          <m:r>
            <m:rPr>
              <m:sty m:val="p"/>
            </m:rPr>
            <m:t>×</m:t>
          </m:r>
          <m:f>
            <m:fPr>
              <m:type m:val="bar"/>
            </m:fPr>
            <m:num>
              <m:r>
                <m:t>N</m:t>
              </m:r>
              <m:r>
                <m:rPr>
                  <m:sty m:val="p"/>
                </m:rPr>
                <m:t>(</m:t>
              </m:r>
              <m:r>
                <m:t>r</m:t>
              </m:r>
              <m:r>
                <m:t>e</m:t>
              </m:r>
              <m:r>
                <m:t>g</m:t>
              </m:r>
              <m:r>
                <m:t>i</m:t>
              </m:r>
              <m:r>
                <m:t>ó</m:t>
              </m:r>
              <m:r>
                <m:t>n</m:t>
              </m:r>
              <m:r>
                <m:rPr>
                  <m:sty m:val="p"/>
                </m:rPr>
                <m:t>,</m:t>
              </m:r>
              <m:r>
                <m:t>r</m:t>
              </m:r>
              <m:r>
                <m:t>é</m:t>
              </m:r>
              <m:r>
                <m:t>g</m:t>
              </m:r>
              <m:r>
                <m:t>i</m:t>
              </m:r>
              <m:r>
                <m:t>m</m:t>
              </m:r>
              <m:r>
                <m:t>e</m:t>
              </m:r>
              <m:r>
                <m:t>n</m:t>
              </m:r>
              <m:r>
                <m:rPr>
                  <m:sty m:val="p"/>
                </m:rPr>
                <m:t>)</m:t>
              </m:r>
            </m:num>
            <m:den>
              <m:sSub>
                <m:e>
                  <m:r>
                    <m:t>N</m:t>
                  </m:r>
                </m:e>
                <m:sub>
                  <m:r>
                    <m:t>r</m:t>
                  </m:r>
                  <m:r>
                    <m:t>e</m:t>
                  </m:r>
                  <m:r>
                    <m:t>g</m:t>
                  </m:r>
                  <m:r>
                    <m:t>i</m:t>
                  </m:r>
                  <m:r>
                    <m:t>ó</m:t>
                  </m:r>
                  <m:r>
                    <m:t>n</m:t>
                  </m:r>
                </m:sub>
              </m:sSub>
            </m:den>
          </m:f>
        </m:oMath>
      </m:oMathPara>
    </w:p>
    <w:bookmarkEnd w:id="17"/>
    <w:bookmarkStart w:id="18" w:name="X7e4d9b4c89c5b16f9f2635cdffc644ce1cbeade"/>
    <w:p>
      <w:pPr>
        <w:pStyle w:val="Heading3"/>
      </w:pPr>
      <w:r>
        <w:t xml:space="preserve">3.4 3.4 Asignación proporcional por celda demográfica</w:t>
      </w:r>
    </w:p>
    <w:p>
      <w:pPr>
        <w:pStyle w:val="FirstParagraph"/>
      </w:pPr>
      <w:r>
        <w:t xml:space="preserve">Finalmente, dentro de cada combinación de región y régimen, el tamaño de muestra ya definido para ese estrato se distribuye entre las celdas formadas por sexo (2), grupo de edad (7) y zona (2) —28 celdas por estrato de región y régimen— de forma proporcional a su peso poblacional, garantizando un mínimo de encuestas por celda para preservar la posibilidad de análisis desagregado incluso en subgrupos poco numerosos:</w:t>
      </w:r>
    </w:p>
    <w:p>
      <w:pPr>
        <w:pStyle w:val="BodyText"/>
      </w:pPr>
      <m:oMathPara>
        <m:oMathParaPr>
          <m:jc m:val="center"/>
        </m:oMathParaPr>
        <m:oMath>
          <m:sSub>
            <m:e>
              <m:r>
                <m:t>n</m:t>
              </m:r>
            </m:e>
            <m:sub>
              <m:r>
                <m:t>c</m:t>
              </m:r>
              <m:r>
                <m:t>e</m:t>
              </m:r>
              <m:r>
                <m:t>l</m:t>
              </m:r>
              <m:r>
                <m:t>d</m:t>
              </m:r>
              <m:r>
                <m:t>a</m:t>
              </m:r>
            </m:sub>
          </m:sSub>
          <m:r>
            <m:rPr>
              <m:sty m:val="p"/>
            </m:rPr>
            <m:t>=</m:t>
          </m:r>
          <m:r>
            <m:rPr>
              <m:sty m:val="p"/>
            </m:rPr>
            <m:t>max</m:t>
          </m:r>
          <m:d>
            <m:dPr>
              <m:begChr m:val="{"/>
              <m:sepChr m:val=""/>
              <m:endChr m:val="}"/>
              <m:grow/>
            </m:dPr>
            <m:e>
              <m:r>
                <m:t>n</m:t>
              </m:r>
              <m:r>
                <m:rPr>
                  <m:sty m:val="p"/>
                </m:rPr>
                <m:t>(</m:t>
              </m:r>
              <m:r>
                <m:t>r</m:t>
              </m:r>
              <m:r>
                <m:t>e</m:t>
              </m:r>
              <m:r>
                <m:t>g</m:t>
              </m:r>
              <m:r>
                <m:t>i</m:t>
              </m:r>
              <m:r>
                <m:t>ó</m:t>
              </m:r>
              <m:r>
                <m:t>n</m:t>
              </m:r>
              <m:r>
                <m:rPr>
                  <m:sty m:val="p"/>
                </m:rPr>
                <m:t>,</m:t>
              </m:r>
              <m:r>
                <m:t>r</m:t>
              </m:r>
              <m:r>
                <m:t>é</m:t>
              </m:r>
              <m:r>
                <m:t>g</m:t>
              </m:r>
              <m:r>
                <m:t>i</m:t>
              </m:r>
              <m:r>
                <m:t>m</m:t>
              </m:r>
              <m:r>
                <m:t>e</m:t>
              </m:r>
              <m:r>
                <m:t>n</m:t>
              </m:r>
              <m:r>
                <m:rPr>
                  <m:sty m:val="p"/>
                </m:rPr>
                <m:t>)</m:t>
              </m:r>
              <m:r>
                <m:rPr>
                  <m:sty m:val="p"/>
                </m:rPr>
                <m:t>×</m:t>
              </m:r>
              <m:f>
                <m:fPr>
                  <m:type m:val="bar"/>
                </m:fPr>
                <m:num>
                  <m:sSub>
                    <m:e>
                      <m:r>
                        <m:t>N</m:t>
                      </m:r>
                    </m:e>
                    <m:sub>
                      <m:r>
                        <m:t>c</m:t>
                      </m:r>
                      <m:r>
                        <m:t>e</m:t>
                      </m:r>
                      <m:r>
                        <m:t>l</m:t>
                      </m:r>
                      <m:r>
                        <m:t>d</m:t>
                      </m:r>
                      <m:r>
                        <m:t>a</m:t>
                      </m:r>
                    </m:sub>
                  </m:sSub>
                </m:num>
                <m:den>
                  <m:r>
                    <m:t>N</m:t>
                  </m:r>
                  <m:r>
                    <m:rPr>
                      <m:sty m:val="p"/>
                    </m:rPr>
                    <m:t>(</m:t>
                  </m:r>
                  <m:r>
                    <m:t>r</m:t>
                  </m:r>
                  <m:r>
                    <m:t>e</m:t>
                  </m:r>
                  <m:r>
                    <m:t>g</m:t>
                  </m:r>
                  <m:r>
                    <m:t>i</m:t>
                  </m:r>
                  <m:r>
                    <m:t>ó</m:t>
                  </m:r>
                  <m:r>
                    <m:t>n</m:t>
                  </m:r>
                  <m:r>
                    <m:rPr>
                      <m:sty m:val="p"/>
                    </m:rPr>
                    <m:t>,</m:t>
                  </m:r>
                  <m:r>
                    <m:t>r</m:t>
                  </m:r>
                  <m:r>
                    <m:t>é</m:t>
                  </m:r>
                  <m:r>
                    <m:t>g</m:t>
                  </m:r>
                  <m:r>
                    <m:t>i</m:t>
                  </m:r>
                  <m:r>
                    <m:t>m</m:t>
                  </m:r>
                  <m:r>
                    <m:t>e</m:t>
                  </m:r>
                  <m:r>
                    <m:t>n</m:t>
                  </m:r>
                  <m:r>
                    <m:rPr>
                      <m:sty m:val="p"/>
                    </m:rPr>
                    <m:t>)</m:t>
                  </m:r>
                </m:den>
              </m:f>
              <m:r>
                <m:t> </m:t>
              </m:r>
              <m:r>
                <m:rPr>
                  <m:sty m:val="p"/>
                </m:rPr>
                <m:t>;</m:t>
              </m:r>
              <m:r>
                <m:t> </m:t>
              </m:r>
              <m:sSub>
                <m:e>
                  <m:r>
                    <m:t>n</m:t>
                  </m:r>
                </m:e>
                <m:sub>
                  <m:r>
                    <m:t>m</m:t>
                  </m:r>
                  <m:r>
                    <m:t>í</m:t>
                  </m:r>
                  <m:r>
                    <m:t>n</m:t>
                  </m:r>
                </m:sub>
              </m:sSub>
            </m:e>
          </m:d>
        </m:oMath>
      </m:oMathPara>
    </w:p>
    <w:p>
      <w:pPr>
        <w:pStyle w:val="FirstParagraph"/>
      </w:pPr>
      <m:oMathPara>
        <m:oMathParaPr>
          <m:jc m:val="center"/>
        </m:oMathParaPr>
        <m:oMath>
          <m:sSub>
            <m:e>
              <m:r>
                <m:t>n</m:t>
              </m:r>
            </m:e>
            <m:sub>
              <m:r>
                <m:t>m</m:t>
              </m:r>
              <m:r>
                <m:t>í</m:t>
              </m:r>
              <m:r>
                <m:t>n</m:t>
              </m:r>
            </m:sub>
          </m:sSub>
          <m:r>
            <m:rPr>
              <m:sty m:val="p"/>
            </m:rPr>
            <m:t>=</m:t>
          </m:r>
          <m:r>
            <m:t>10</m:t>
          </m:r>
          <m:r>
            <m:rPr>
              <m:nor/>
              <m:sty m:val="p"/>
            </m:rPr>
            <m:t> encuestas por celda de sexo</m:t>
          </m:r>
          <m:r>
            <m:rPr>
              <m:sty m:val="p"/>
            </m:rPr>
            <m:t>×</m:t>
          </m:r>
          <m:r>
            <m:rPr>
              <m:nor/>
              <m:sty m:val="p"/>
            </m:rPr>
            <m:t>grupo de edad</m:t>
          </m:r>
          <m:r>
            <m:rPr>
              <m:sty m:val="p"/>
            </m:rPr>
            <m:t>×</m:t>
          </m:r>
          <m:r>
            <m:rPr>
              <m:nor/>
              <m:sty m:val="p"/>
            </m:rPr>
            <m:t>zona</m:t>
          </m:r>
        </m:oMath>
      </m:oMathPara>
    </w:p>
    <w:p>
      <w:pPr>
        <w:pStyle w:val="FirstParagraph"/>
      </w:pPr>
      <w:r>
        <w:t xml:space="preserve">Cuando la suma de los mínimos garantizados excede el tamaño de muestra disponible para el estrato, se aplica un reajuste proporcional entre las celdas restantes de modo que la suma de las celdas coincida con el tamaño de muestra ya definido para el estrato, admitiendo diferencias de redondeo menores a una unidad.</w:t>
      </w:r>
    </w:p>
    <w:bookmarkEnd w:id="18"/>
    <w:bookmarkEnd w:id="19"/>
    <w:bookmarkStart w:id="23" w:name="X4459dd74fed9cef341f721c2279b1062b939336"/>
    <w:p>
      <w:pPr>
        <w:pStyle w:val="Heading2"/>
      </w:pPr>
      <w:r>
        <w:t xml:space="preserve">4 4. Resultados: Asignación del Tamaño de Muestra por Bloque</w:t>
      </w:r>
    </w:p>
    <w:bookmarkStart w:id="20" w:name="bloque-1-caracterización"/>
    <w:p>
      <w:pPr>
        <w:pStyle w:val="Heading3"/>
      </w:pPr>
      <w:r>
        <w:t xml:space="preserve">4.1 4.1 Bloque 1 — Caracterización</w:t>
      </w:r>
    </w:p>
    <w:p>
      <w:pPr>
        <w:pStyle w:val="FirstParagraph"/>
      </w:pPr>
      <w:r>
        <w:t xml:space="preserve">El tamaño de muestra nacional ya definido (7 876 encuestas) se distribuye, mediante la metodología de asignación anterior, entre las categorías de las cinco cajas de pregunta del bloque 1. A continuación se presentan los totales marginales —es decir, la suma sobre el resto de variables— para cada una de ellas, y los cruces más relevantes para la planificación operativa.</w:t>
      </w:r>
    </w:p>
    <w:p>
      <w:pPr>
        <w:pStyle w:val="BodyText"/>
      </w:pPr>
      <w:r>
        <w:rPr>
          <w:b/>
          <w:bCs/>
        </w:rPr>
        <w:t xml:space="preserve">Asignación por sexo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Sexo</w:t>
            </w:r>
          </w:p>
        </w:tc>
        <w:tc>
          <w:tcPr/>
          <w:p>
            <w:pPr>
              <w:pStyle w:val="Compact"/>
            </w:pPr>
            <w:r>
              <w:t xml:space="preserve">n asignado</w:t>
            </w:r>
          </w:p>
        </w:tc>
        <w:tc>
          <w:tcPr/>
          <w:p>
            <w:pPr>
              <w:pStyle w:val="Compact"/>
            </w:pPr>
            <w:r>
              <w:t xml:space="preserve">%</w:t>
            </w:r>
          </w:p>
        </w:tc>
      </w:tr>
      <w:tr>
        <w:tc>
          <w:tcPr/>
          <w:p>
            <w:pPr>
              <w:pStyle w:val="Compact"/>
            </w:pPr>
            <w:r>
              <w:t xml:space="preserve">Femenino</w:t>
            </w:r>
          </w:p>
        </w:tc>
        <w:tc>
          <w:tcPr/>
          <w:p>
            <w:pPr>
              <w:pStyle w:val="Compact"/>
            </w:pPr>
            <w:r>
              <w:t xml:space="preserve">3 993</w:t>
            </w:r>
          </w:p>
        </w:tc>
        <w:tc>
          <w:tcPr/>
          <w:p>
            <w:pPr>
              <w:pStyle w:val="Compact"/>
            </w:pPr>
            <w:r>
              <w:t xml:space="preserve">50,7 %</w:t>
            </w:r>
          </w:p>
        </w:tc>
      </w:tr>
      <w:tr>
        <w:tc>
          <w:tcPr/>
          <w:p>
            <w:pPr>
              <w:pStyle w:val="Compact"/>
            </w:pPr>
            <w:r>
              <w:t xml:space="preserve">Masculino</w:t>
            </w:r>
          </w:p>
        </w:tc>
        <w:tc>
          <w:tcPr/>
          <w:p>
            <w:pPr>
              <w:pStyle w:val="Compact"/>
            </w:pPr>
            <w:r>
              <w:t xml:space="preserve">3 883</w:t>
            </w:r>
          </w:p>
        </w:tc>
        <w:tc>
          <w:tcPr/>
          <w:p>
            <w:pPr>
              <w:pStyle w:val="Compact"/>
            </w:pPr>
            <w:r>
              <w:t xml:space="preserve">49,3 %</w:t>
            </w:r>
          </w:p>
        </w:tc>
      </w:tr>
      <w:tr>
        <w:tc>
          <w:tcPr/>
          <w:p>
            <w:pPr>
              <w:pStyle w:val="Compact"/>
            </w:pPr>
            <w:r>
              <w:rPr>
                <w:b/>
                <w:bCs/>
              </w:rPr>
              <w:t xml:space="preserve">Total</w:t>
            </w:r>
          </w:p>
        </w:tc>
        <w:tc>
          <w:tcPr/>
          <w:p>
            <w:pPr>
              <w:pStyle w:val="Compact"/>
            </w:pPr>
            <w:r>
              <w:rPr>
                <w:b/>
                <w:bCs/>
              </w:rPr>
              <w:t xml:space="preserve">7 876</w:t>
            </w:r>
          </w:p>
        </w:tc>
        <w:tc>
          <w:tcPr/>
          <w:p>
            <w:pPr>
              <w:pStyle w:val="Compact"/>
            </w:pPr>
            <w:r>
              <w:rPr>
                <w:b/>
                <w:bCs/>
              </w:rPr>
              <w:t xml:space="preserve">100 %</w:t>
            </w:r>
          </w:p>
        </w:tc>
      </w:tr>
    </w:tbl>
    <w:p>
      <w:pPr>
        <w:pStyle w:val="BodyText"/>
      </w:pPr>
      <w:r>
        <w:rPr>
          <w:b/>
          <w:bCs/>
        </w:rPr>
        <w:t xml:space="preserve">Asignación por grupo de edad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Grupo de edad</w:t>
            </w:r>
          </w:p>
        </w:tc>
        <w:tc>
          <w:tcPr/>
          <w:p>
            <w:pPr>
              <w:pStyle w:val="Compact"/>
            </w:pPr>
            <w:r>
              <w:t xml:space="preserve">n asignado</w:t>
            </w:r>
          </w:p>
        </w:tc>
        <w:tc>
          <w:tcPr/>
          <w:p>
            <w:pPr>
              <w:pStyle w:val="Compact"/>
            </w:pPr>
            <w:r>
              <w:t xml:space="preserve">%</w:t>
            </w:r>
          </w:p>
        </w:tc>
      </w:tr>
      <w:tr>
        <w:tc>
          <w:tcPr/>
          <w:p>
            <w:pPr>
              <w:pStyle w:val="Compact"/>
            </w:pPr>
            <w:r>
              <w:t xml:space="preserve">00-09</w:t>
            </w:r>
          </w:p>
        </w:tc>
        <w:tc>
          <w:tcPr/>
          <w:p>
            <w:pPr>
              <w:pStyle w:val="Compact"/>
            </w:pPr>
            <w:r>
              <w:t xml:space="preserve">1 014</w:t>
            </w:r>
          </w:p>
        </w:tc>
        <w:tc>
          <w:tcPr/>
          <w:p>
            <w:pPr>
              <w:pStyle w:val="Compact"/>
            </w:pPr>
            <w:r>
              <w:t xml:space="preserve">12,9 %</w:t>
            </w:r>
          </w:p>
        </w:tc>
      </w:tr>
      <w:tr>
        <w:tc>
          <w:tcPr/>
          <w:p>
            <w:pPr>
              <w:pStyle w:val="Compact"/>
            </w:pPr>
            <w:r>
              <w:t xml:space="preserve">10-19</w:t>
            </w:r>
          </w:p>
        </w:tc>
        <w:tc>
          <w:tcPr/>
          <w:p>
            <w:pPr>
              <w:pStyle w:val="Compact"/>
            </w:pPr>
            <w:r>
              <w:t xml:space="preserve">1 163</w:t>
            </w:r>
          </w:p>
        </w:tc>
        <w:tc>
          <w:tcPr/>
          <w:p>
            <w:pPr>
              <w:pStyle w:val="Compact"/>
            </w:pPr>
            <w:r>
              <w:t xml:space="preserve">14,8 %</w:t>
            </w:r>
          </w:p>
        </w:tc>
      </w:tr>
      <w:tr>
        <w:tc>
          <w:tcPr/>
          <w:p>
            <w:pPr>
              <w:pStyle w:val="Compact"/>
            </w:pPr>
            <w:r>
              <w:t xml:space="preserve">20-29</w:t>
            </w:r>
          </w:p>
        </w:tc>
        <w:tc>
          <w:tcPr/>
          <w:p>
            <w:pPr>
              <w:pStyle w:val="Compact"/>
            </w:pPr>
            <w:r>
              <w:t xml:space="preserve">1 203</w:t>
            </w:r>
          </w:p>
        </w:tc>
        <w:tc>
          <w:tcPr/>
          <w:p>
            <w:pPr>
              <w:pStyle w:val="Compact"/>
            </w:pPr>
            <w:r>
              <w:t xml:space="preserve">15,3 %</w:t>
            </w:r>
          </w:p>
        </w:tc>
      </w:tr>
      <w:tr>
        <w:tc>
          <w:tcPr/>
          <w:p>
            <w:pPr>
              <w:pStyle w:val="Compact"/>
            </w:pPr>
            <w:r>
              <w:t xml:space="preserve">30-39</w:t>
            </w:r>
          </w:p>
        </w:tc>
        <w:tc>
          <w:tcPr/>
          <w:p>
            <w:pPr>
              <w:pStyle w:val="Compact"/>
            </w:pPr>
            <w:r>
              <w:t xml:space="preserve">1 203</w:t>
            </w:r>
          </w:p>
        </w:tc>
        <w:tc>
          <w:tcPr/>
          <w:p>
            <w:pPr>
              <w:pStyle w:val="Compact"/>
            </w:pPr>
            <w:r>
              <w:t xml:space="preserve">15,3 %</w:t>
            </w:r>
          </w:p>
        </w:tc>
      </w:tr>
      <w:tr>
        <w:tc>
          <w:tcPr/>
          <w:p>
            <w:pPr>
              <w:pStyle w:val="Compact"/>
            </w:pPr>
            <w:r>
              <w:t xml:space="preserve">40-49</w:t>
            </w:r>
          </w:p>
        </w:tc>
        <w:tc>
          <w:tcPr/>
          <w:p>
            <w:pPr>
              <w:pStyle w:val="Compact"/>
            </w:pPr>
            <w:r>
              <w:t xml:space="preserve">1 086</w:t>
            </w:r>
          </w:p>
        </w:tc>
        <w:tc>
          <w:tcPr/>
          <w:p>
            <w:pPr>
              <w:pStyle w:val="Compact"/>
            </w:pPr>
            <w:r>
              <w:t xml:space="preserve">13,8 %</w:t>
            </w:r>
          </w:p>
        </w:tc>
      </w:tr>
      <w:tr>
        <w:tc>
          <w:tcPr/>
          <w:p>
            <w:pPr>
              <w:pStyle w:val="Compact"/>
            </w:pPr>
            <w:r>
              <w:t xml:space="preserve">50-59</w:t>
            </w:r>
          </w:p>
        </w:tc>
        <w:tc>
          <w:tcPr/>
          <w:p>
            <w:pPr>
              <w:pStyle w:val="Compact"/>
            </w:pPr>
            <w:r>
              <w:t xml:space="preserve">975</w:t>
            </w:r>
          </w:p>
        </w:tc>
        <w:tc>
          <w:tcPr/>
          <w:p>
            <w:pPr>
              <w:pStyle w:val="Compact"/>
            </w:pPr>
            <w:r>
              <w:t xml:space="preserve">12,4 %</w:t>
            </w:r>
          </w:p>
        </w:tc>
      </w:tr>
      <w:tr>
        <w:tc>
          <w:tcPr/>
          <w:p>
            <w:pPr>
              <w:pStyle w:val="Compact"/>
            </w:pPr>
            <w:r>
              <w:t xml:space="preserve">60 o más</w:t>
            </w:r>
          </w:p>
        </w:tc>
        <w:tc>
          <w:tcPr/>
          <w:p>
            <w:pPr>
              <w:pStyle w:val="Compact"/>
            </w:pPr>
            <w:r>
              <w:t xml:space="preserve">1 232</w:t>
            </w:r>
          </w:p>
        </w:tc>
        <w:tc>
          <w:tcPr/>
          <w:p>
            <w:pPr>
              <w:pStyle w:val="Compact"/>
            </w:pPr>
            <w:r>
              <w:t xml:space="preserve">15,6 %</w:t>
            </w:r>
          </w:p>
        </w:tc>
      </w:tr>
      <w:tr>
        <w:tc>
          <w:tcPr/>
          <w:p>
            <w:pPr>
              <w:pStyle w:val="Compact"/>
            </w:pPr>
            <w:r>
              <w:rPr>
                <w:b/>
                <w:bCs/>
              </w:rPr>
              <w:t xml:space="preserve">Total</w:t>
            </w:r>
          </w:p>
        </w:tc>
        <w:tc>
          <w:tcPr/>
          <w:p>
            <w:pPr>
              <w:pStyle w:val="Compact"/>
            </w:pPr>
            <w:r>
              <w:rPr>
                <w:b/>
                <w:bCs/>
              </w:rPr>
              <w:t xml:space="preserve">7 876</w:t>
            </w:r>
          </w:p>
        </w:tc>
        <w:tc>
          <w:tcPr/>
          <w:p>
            <w:pPr>
              <w:pStyle w:val="Compact"/>
            </w:pPr>
            <w:r>
              <w:rPr>
                <w:b/>
                <w:bCs/>
              </w:rPr>
              <w:t xml:space="preserve">100 %</w:t>
            </w:r>
          </w:p>
        </w:tc>
      </w:tr>
    </w:tbl>
    <w:p>
      <w:pPr>
        <w:pStyle w:val="BodyText"/>
      </w:pPr>
      <w:r>
        <w:rPr>
          <w:b/>
          <w:bCs/>
        </w:rPr>
        <w:t xml:space="preserve">Asignación por departamento (región)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Departamento</w:t>
            </w:r>
          </w:p>
        </w:tc>
        <w:tc>
          <w:tcPr/>
          <w:p>
            <w:pPr>
              <w:pStyle w:val="Compact"/>
            </w:pPr>
            <w:r>
              <w:t xml:space="preserve">n asignado</w:t>
            </w:r>
          </w:p>
        </w:tc>
      </w:tr>
      <w:tr>
        <w:tc>
          <w:tcPr/>
          <w:p>
            <w:pPr>
              <w:pStyle w:val="Compact"/>
            </w:pPr>
            <w:r>
              <w:t xml:space="preserve">Bogotá</w:t>
            </w:r>
          </w:p>
        </w:tc>
        <w:tc>
          <w:tcPr/>
          <w:p>
            <w:pPr>
              <w:pStyle w:val="Compact"/>
            </w:pPr>
            <w:r>
              <w:t xml:space="preserve">1 313</w:t>
            </w:r>
          </w:p>
        </w:tc>
      </w:tr>
      <w:tr>
        <w:tc>
          <w:tcPr/>
          <w:p>
            <w:pPr>
              <w:pStyle w:val="Compact"/>
            </w:pPr>
            <w:r>
              <w:t xml:space="preserve">Caribe</w:t>
            </w:r>
          </w:p>
        </w:tc>
        <w:tc>
          <w:tcPr/>
          <w:p>
            <w:pPr>
              <w:pStyle w:val="Compact"/>
            </w:pPr>
            <w:r>
              <w:t xml:space="preserve">1 313</w:t>
            </w:r>
          </w:p>
        </w:tc>
      </w:tr>
      <w:tr>
        <w:tc>
          <w:tcPr/>
          <w:p>
            <w:pPr>
              <w:pStyle w:val="Compact"/>
            </w:pPr>
            <w:r>
              <w:t xml:space="preserve">Central</w:t>
            </w:r>
          </w:p>
        </w:tc>
        <w:tc>
          <w:tcPr/>
          <w:p>
            <w:pPr>
              <w:pStyle w:val="Compact"/>
            </w:pPr>
            <w:r>
              <w:t xml:space="preserve">1 313</w:t>
            </w:r>
          </w:p>
        </w:tc>
      </w:tr>
      <w:tr>
        <w:tc>
          <w:tcPr/>
          <w:p>
            <w:pPr>
              <w:pStyle w:val="Compact"/>
            </w:pPr>
            <w:r>
              <w:t xml:space="preserve">Oriental</w:t>
            </w:r>
          </w:p>
        </w:tc>
        <w:tc>
          <w:tcPr/>
          <w:p>
            <w:pPr>
              <w:pStyle w:val="Compact"/>
            </w:pPr>
            <w:r>
              <w:t xml:space="preserve">1 313</w:t>
            </w:r>
          </w:p>
        </w:tc>
      </w:tr>
      <w:tr>
        <w:tc>
          <w:tcPr/>
          <w:p>
            <w:pPr>
              <w:pStyle w:val="Compact"/>
            </w:pPr>
            <w:r>
              <w:t xml:space="preserve">Orinoquía-Amazonía</w:t>
            </w:r>
          </w:p>
        </w:tc>
        <w:tc>
          <w:tcPr/>
          <w:p>
            <w:pPr>
              <w:pStyle w:val="Compact"/>
            </w:pPr>
            <w:r>
              <w:t xml:space="preserve">1 311</w:t>
            </w:r>
          </w:p>
        </w:tc>
      </w:tr>
      <w:tr>
        <w:tc>
          <w:tcPr/>
          <w:p>
            <w:pPr>
              <w:pStyle w:val="Compact"/>
            </w:pPr>
            <w:r>
              <w:t xml:space="preserve">Pacífica</w:t>
            </w:r>
          </w:p>
        </w:tc>
        <w:tc>
          <w:tcPr/>
          <w:p>
            <w:pPr>
              <w:pStyle w:val="Compact"/>
            </w:pPr>
            <w:r>
              <w:t xml:space="preserve">1 313</w:t>
            </w:r>
          </w:p>
        </w:tc>
      </w:tr>
      <w:tr>
        <w:tc>
          <w:tcPr/>
          <w:p>
            <w:pPr>
              <w:pStyle w:val="Compact"/>
            </w:pPr>
            <w:r>
              <w:rPr>
                <w:b/>
                <w:bCs/>
              </w:rPr>
              <w:t xml:space="preserve">Total</w:t>
            </w:r>
          </w:p>
        </w:tc>
        <w:tc>
          <w:tcPr/>
          <w:p>
            <w:pPr>
              <w:pStyle w:val="Compact"/>
            </w:pPr>
            <w:r>
              <w:rPr>
                <w:b/>
                <w:bCs/>
              </w:rPr>
              <w:t xml:space="preserve">7 876</w:t>
            </w:r>
          </w:p>
        </w:tc>
      </w:tr>
    </w:tbl>
    <w:p>
      <w:pPr>
        <w:pStyle w:val="BlockText"/>
      </w:pPr>
      <w:r>
        <w:t xml:space="preserve">La leve variación en Orinoquía-Amazonía obedece al redondeo del mínimo garantizado por celda (numeral 3.4).</w:t>
      </w:r>
    </w:p>
    <w:p>
      <w:pPr>
        <w:pStyle w:val="FirstParagraph"/>
      </w:pPr>
      <w:r>
        <w:rPr>
          <w:b/>
          <w:bCs/>
        </w:rPr>
        <w:t xml:space="preserve">Asignación por zona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Zona</w:t>
            </w:r>
          </w:p>
        </w:tc>
        <w:tc>
          <w:tcPr/>
          <w:p>
            <w:pPr>
              <w:pStyle w:val="Compact"/>
            </w:pPr>
            <w:r>
              <w:t xml:space="preserve">n asignado</w:t>
            </w:r>
          </w:p>
        </w:tc>
        <w:tc>
          <w:tcPr/>
          <w:p>
            <w:pPr>
              <w:pStyle w:val="Compact"/>
            </w:pPr>
            <w:r>
              <w:t xml:space="preserve">%</w:t>
            </w:r>
          </w:p>
        </w:tc>
      </w:tr>
      <w:tr>
        <w:tc>
          <w:tcPr/>
          <w:p>
            <w:pPr>
              <w:pStyle w:val="Compact"/>
            </w:pPr>
            <w:r>
              <w:t xml:space="preserve">Urbano</w:t>
            </w:r>
          </w:p>
        </w:tc>
        <w:tc>
          <w:tcPr/>
          <w:p>
            <w:pPr>
              <w:pStyle w:val="Compact"/>
            </w:pPr>
            <w:r>
              <w:t xml:space="preserve">5 147</w:t>
            </w:r>
          </w:p>
        </w:tc>
        <w:tc>
          <w:tcPr/>
          <w:p>
            <w:pPr>
              <w:pStyle w:val="Compact"/>
            </w:pPr>
            <w:r>
              <w:t xml:space="preserve">65,4 %</w:t>
            </w:r>
          </w:p>
        </w:tc>
      </w:tr>
      <w:tr>
        <w:tc>
          <w:tcPr/>
          <w:p>
            <w:pPr>
              <w:pStyle w:val="Compact"/>
            </w:pPr>
            <w:r>
              <w:t xml:space="preserve">Rural</w:t>
            </w:r>
          </w:p>
        </w:tc>
        <w:tc>
          <w:tcPr/>
          <w:p>
            <w:pPr>
              <w:pStyle w:val="Compact"/>
            </w:pPr>
            <w:r>
              <w:t xml:space="preserve">2 729</w:t>
            </w:r>
          </w:p>
        </w:tc>
        <w:tc>
          <w:tcPr/>
          <w:p>
            <w:pPr>
              <w:pStyle w:val="Compact"/>
            </w:pPr>
            <w:r>
              <w:t xml:space="preserve">34,6 %</w:t>
            </w:r>
          </w:p>
        </w:tc>
      </w:tr>
      <w:tr>
        <w:tc>
          <w:tcPr/>
          <w:p>
            <w:pPr>
              <w:pStyle w:val="Compact"/>
            </w:pPr>
            <w:r>
              <w:rPr>
                <w:b/>
                <w:bCs/>
              </w:rPr>
              <w:t xml:space="preserve">Total</w:t>
            </w:r>
          </w:p>
        </w:tc>
        <w:tc>
          <w:tcPr/>
          <w:p>
            <w:pPr>
              <w:pStyle w:val="Compact"/>
            </w:pPr>
            <w:r>
              <w:rPr>
                <w:b/>
                <w:bCs/>
              </w:rPr>
              <w:t xml:space="preserve">7 876</w:t>
            </w:r>
          </w:p>
        </w:tc>
        <w:tc>
          <w:tcPr/>
          <w:p>
            <w:pPr>
              <w:pStyle w:val="Compact"/>
            </w:pPr>
            <w:r>
              <w:rPr>
                <w:b/>
                <w:bCs/>
              </w:rPr>
              <w:t xml:space="preserve">100 %</w:t>
            </w:r>
          </w:p>
        </w:tc>
      </w:tr>
    </w:tbl>
    <w:p>
      <w:pPr>
        <w:pStyle w:val="BodyText"/>
      </w:pPr>
      <w:r>
        <w:rPr>
          <w:b/>
          <w:bCs/>
        </w:rPr>
        <w:t xml:space="preserve">Asignación por régimen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Régimen</w:t>
            </w:r>
          </w:p>
        </w:tc>
        <w:tc>
          <w:tcPr/>
          <w:p>
            <w:pPr>
              <w:pStyle w:val="Compact"/>
            </w:pPr>
            <w:r>
              <w:t xml:space="preserve">n asignado</w:t>
            </w:r>
          </w:p>
        </w:tc>
        <w:tc>
          <w:tcPr/>
          <w:p>
            <w:pPr>
              <w:pStyle w:val="Compact"/>
            </w:pPr>
            <w:r>
              <w:t xml:space="preserve">%</w:t>
            </w:r>
          </w:p>
        </w:tc>
      </w:tr>
      <w:tr>
        <w:tc>
          <w:tcPr/>
          <w:p>
            <w:pPr>
              <w:pStyle w:val="Compact"/>
            </w:pPr>
            <w:r>
              <w:t xml:space="preserve">Subsidiado</w:t>
            </w:r>
          </w:p>
        </w:tc>
        <w:tc>
          <w:tcPr/>
          <w:p>
            <w:pPr>
              <w:pStyle w:val="Compact"/>
            </w:pPr>
            <w:r>
              <w:t xml:space="preserve">4 207</w:t>
            </w:r>
          </w:p>
        </w:tc>
        <w:tc>
          <w:tcPr/>
          <w:p>
            <w:pPr>
              <w:pStyle w:val="Compact"/>
            </w:pPr>
            <w:r>
              <w:t xml:space="preserve">53,4 %</w:t>
            </w:r>
          </w:p>
        </w:tc>
      </w:tr>
      <w:tr>
        <w:tc>
          <w:tcPr/>
          <w:p>
            <w:pPr>
              <w:pStyle w:val="Compact"/>
            </w:pPr>
            <w:r>
              <w:t xml:space="preserve">Contributivo</w:t>
            </w:r>
          </w:p>
        </w:tc>
        <w:tc>
          <w:tcPr/>
          <w:p>
            <w:pPr>
              <w:pStyle w:val="Compact"/>
            </w:pPr>
            <w:r>
              <w:t xml:space="preserve">3 669</w:t>
            </w:r>
          </w:p>
        </w:tc>
        <w:tc>
          <w:tcPr/>
          <w:p>
            <w:pPr>
              <w:pStyle w:val="Compact"/>
            </w:pPr>
            <w:r>
              <w:t xml:space="preserve">46,6 %</w:t>
            </w:r>
          </w:p>
        </w:tc>
      </w:tr>
      <w:tr>
        <w:tc>
          <w:tcPr/>
          <w:p>
            <w:pPr>
              <w:pStyle w:val="Compact"/>
            </w:pPr>
            <w:r>
              <w:rPr>
                <w:b/>
                <w:bCs/>
              </w:rPr>
              <w:t xml:space="preserve">Total</w:t>
            </w:r>
          </w:p>
        </w:tc>
        <w:tc>
          <w:tcPr/>
          <w:p>
            <w:pPr>
              <w:pStyle w:val="Compact"/>
            </w:pPr>
            <w:r>
              <w:rPr>
                <w:b/>
                <w:bCs/>
              </w:rPr>
              <w:t xml:space="preserve">7 876</w:t>
            </w:r>
          </w:p>
        </w:tc>
        <w:tc>
          <w:tcPr/>
          <w:p>
            <w:pPr>
              <w:pStyle w:val="Compact"/>
            </w:pPr>
            <w:r>
              <w:rPr>
                <w:b/>
                <w:bCs/>
              </w:rPr>
              <w:t xml:space="preserve">100 %</w:t>
            </w:r>
          </w:p>
        </w:tc>
      </w:tr>
    </w:tbl>
    <w:p>
      <w:pPr>
        <w:pStyle w:val="BodyText"/>
      </w:pPr>
      <w:r>
        <w:rPr>
          <w:b/>
          <w:bCs/>
        </w:rPr>
        <w:t xml:space="preserve">Cruce departamento × régimen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Departamento</w:t>
            </w:r>
          </w:p>
        </w:tc>
        <w:tc>
          <w:tcPr/>
          <w:p>
            <w:pPr>
              <w:pStyle w:val="Compact"/>
            </w:pPr>
            <w:r>
              <w:t xml:space="preserve">Contributivo</w:t>
            </w:r>
          </w:p>
        </w:tc>
        <w:tc>
          <w:tcPr/>
          <w:p>
            <w:pPr>
              <w:pStyle w:val="Compact"/>
            </w:pPr>
            <w:r>
              <w:t xml:space="preserve">Subsidiado</w:t>
            </w:r>
          </w:p>
        </w:tc>
        <w:tc>
          <w:tcPr/>
          <w:p>
            <w:pPr>
              <w:pStyle w:val="Compact"/>
            </w:pPr>
            <w:r>
              <w:t xml:space="preserve">Total</w:t>
            </w:r>
          </w:p>
        </w:tc>
      </w:tr>
      <w:tr>
        <w:tc>
          <w:tcPr/>
          <w:p>
            <w:pPr>
              <w:pStyle w:val="Compact"/>
            </w:pPr>
            <w:r>
              <w:t xml:space="preserve">Bogotá</w:t>
            </w:r>
          </w:p>
        </w:tc>
        <w:tc>
          <w:tcPr/>
          <w:p>
            <w:pPr>
              <w:pStyle w:val="Compact"/>
            </w:pPr>
            <w:r>
              <w:t xml:space="preserve">855</w:t>
            </w:r>
          </w:p>
        </w:tc>
        <w:tc>
          <w:tcPr/>
          <w:p>
            <w:pPr>
              <w:pStyle w:val="Compact"/>
            </w:pPr>
            <w:r>
              <w:t xml:space="preserve">458</w:t>
            </w:r>
          </w:p>
        </w:tc>
        <w:tc>
          <w:tcPr/>
          <w:p>
            <w:pPr>
              <w:pStyle w:val="Compact"/>
            </w:pPr>
            <w:r>
              <w:t xml:space="preserve">1 313</w:t>
            </w:r>
          </w:p>
        </w:tc>
      </w:tr>
      <w:tr>
        <w:tc>
          <w:tcPr/>
          <w:p>
            <w:pPr>
              <w:pStyle w:val="Compact"/>
            </w:pPr>
            <w:r>
              <w:t xml:space="preserve">Caribe</w:t>
            </w:r>
          </w:p>
        </w:tc>
        <w:tc>
          <w:tcPr/>
          <w:p>
            <w:pPr>
              <w:pStyle w:val="Compact"/>
            </w:pPr>
            <w:r>
              <w:t xml:space="preserve">494</w:t>
            </w:r>
          </w:p>
        </w:tc>
        <w:tc>
          <w:tcPr/>
          <w:p>
            <w:pPr>
              <w:pStyle w:val="Compact"/>
            </w:pPr>
            <w:r>
              <w:t xml:space="preserve">819</w:t>
            </w:r>
          </w:p>
        </w:tc>
        <w:tc>
          <w:tcPr/>
          <w:p>
            <w:pPr>
              <w:pStyle w:val="Compact"/>
            </w:pPr>
            <w:r>
              <w:t xml:space="preserve">1 313</w:t>
            </w:r>
          </w:p>
        </w:tc>
      </w:tr>
      <w:tr>
        <w:tc>
          <w:tcPr/>
          <w:p>
            <w:pPr>
              <w:pStyle w:val="Compact"/>
            </w:pPr>
            <w:r>
              <w:t xml:space="preserve">Central</w:t>
            </w:r>
          </w:p>
        </w:tc>
        <w:tc>
          <w:tcPr/>
          <w:p>
            <w:pPr>
              <w:pStyle w:val="Compact"/>
            </w:pPr>
            <w:r>
              <w:t xml:space="preserve">663</w:t>
            </w:r>
          </w:p>
        </w:tc>
        <w:tc>
          <w:tcPr/>
          <w:p>
            <w:pPr>
              <w:pStyle w:val="Compact"/>
            </w:pPr>
            <w:r>
              <w:t xml:space="preserve">650</w:t>
            </w:r>
          </w:p>
        </w:tc>
        <w:tc>
          <w:tcPr/>
          <w:p>
            <w:pPr>
              <w:pStyle w:val="Compact"/>
            </w:pPr>
            <w:r>
              <w:t xml:space="preserve">1 313</w:t>
            </w:r>
          </w:p>
        </w:tc>
      </w:tr>
      <w:tr>
        <w:tc>
          <w:tcPr/>
          <w:p>
            <w:pPr>
              <w:pStyle w:val="Compact"/>
            </w:pPr>
            <w:r>
              <w:t xml:space="preserve">Oriental</w:t>
            </w:r>
          </w:p>
        </w:tc>
        <w:tc>
          <w:tcPr/>
          <w:p>
            <w:pPr>
              <w:pStyle w:val="Compact"/>
            </w:pPr>
            <w:r>
              <w:t xml:space="preserve">629</w:t>
            </w:r>
          </w:p>
        </w:tc>
        <w:tc>
          <w:tcPr/>
          <w:p>
            <w:pPr>
              <w:pStyle w:val="Compact"/>
            </w:pPr>
            <w:r>
              <w:t xml:space="preserve">684</w:t>
            </w:r>
          </w:p>
        </w:tc>
        <w:tc>
          <w:tcPr/>
          <w:p>
            <w:pPr>
              <w:pStyle w:val="Compact"/>
            </w:pPr>
            <w:r>
              <w:t xml:space="preserve">1 313</w:t>
            </w:r>
          </w:p>
        </w:tc>
      </w:tr>
      <w:tr>
        <w:tc>
          <w:tcPr/>
          <w:p>
            <w:pPr>
              <w:pStyle w:val="Compact"/>
            </w:pPr>
            <w:r>
              <w:t xml:space="preserve">Orinoquía-Amazonía</w:t>
            </w:r>
          </w:p>
        </w:tc>
        <w:tc>
          <w:tcPr/>
          <w:p>
            <w:pPr>
              <w:pStyle w:val="Compact"/>
            </w:pPr>
            <w:r>
              <w:t xml:space="preserve">453</w:t>
            </w:r>
          </w:p>
        </w:tc>
        <w:tc>
          <w:tcPr/>
          <w:p>
            <w:pPr>
              <w:pStyle w:val="Compact"/>
            </w:pPr>
            <w:r>
              <w:t xml:space="preserve">858</w:t>
            </w:r>
          </w:p>
        </w:tc>
        <w:tc>
          <w:tcPr/>
          <w:p>
            <w:pPr>
              <w:pStyle w:val="Compact"/>
            </w:pPr>
            <w:r>
              <w:t xml:space="preserve">1 311</w:t>
            </w:r>
          </w:p>
        </w:tc>
      </w:tr>
      <w:tr>
        <w:tc>
          <w:tcPr/>
          <w:p>
            <w:pPr>
              <w:pStyle w:val="Compact"/>
            </w:pPr>
            <w:r>
              <w:t xml:space="preserve">Pacífica</w:t>
            </w:r>
          </w:p>
        </w:tc>
        <w:tc>
          <w:tcPr/>
          <w:p>
            <w:pPr>
              <w:pStyle w:val="Compact"/>
            </w:pPr>
            <w:r>
              <w:t xml:space="preserve">575</w:t>
            </w:r>
          </w:p>
        </w:tc>
        <w:tc>
          <w:tcPr/>
          <w:p>
            <w:pPr>
              <w:pStyle w:val="Compact"/>
            </w:pPr>
            <w:r>
              <w:t xml:space="preserve">738</w:t>
            </w:r>
          </w:p>
        </w:tc>
        <w:tc>
          <w:tcPr/>
          <w:p>
            <w:pPr>
              <w:pStyle w:val="Compact"/>
            </w:pPr>
            <w:r>
              <w:t xml:space="preserve">1 313</w:t>
            </w:r>
          </w:p>
        </w:tc>
      </w:tr>
    </w:tbl>
    <w:p>
      <w:pPr>
        <w:pStyle w:val="BodyText"/>
      </w:pPr>
      <w:r>
        <w:rPr>
          <w:b/>
          <w:bCs/>
        </w:rPr>
        <w:t xml:space="preserve">Cruce departamento × zona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Departamento</w:t>
            </w:r>
          </w:p>
        </w:tc>
        <w:tc>
          <w:tcPr/>
          <w:p>
            <w:pPr>
              <w:pStyle w:val="Compact"/>
            </w:pPr>
            <w:r>
              <w:t xml:space="preserve">Urbano</w:t>
            </w:r>
          </w:p>
        </w:tc>
        <w:tc>
          <w:tcPr/>
          <w:p>
            <w:pPr>
              <w:pStyle w:val="Compact"/>
            </w:pPr>
            <w:r>
              <w:t xml:space="preserve">Rural</w:t>
            </w:r>
          </w:p>
        </w:tc>
        <w:tc>
          <w:tcPr/>
          <w:p>
            <w:pPr>
              <w:pStyle w:val="Compact"/>
            </w:pPr>
            <w:r>
              <w:t xml:space="preserve">Total</w:t>
            </w:r>
          </w:p>
        </w:tc>
      </w:tr>
      <w:tr>
        <w:tc>
          <w:tcPr/>
          <w:p>
            <w:pPr>
              <w:pStyle w:val="Compact"/>
            </w:pPr>
            <w:r>
              <w:t xml:space="preserve">Bogotá</w:t>
            </w:r>
          </w:p>
        </w:tc>
        <w:tc>
          <w:tcPr/>
          <w:p>
            <w:pPr>
              <w:pStyle w:val="Compact"/>
            </w:pPr>
            <w:r>
              <w:t xml:space="preserve">1 020 (13,0 %)</w:t>
            </w:r>
          </w:p>
        </w:tc>
        <w:tc>
          <w:tcPr/>
          <w:p>
            <w:pPr>
              <w:pStyle w:val="Compact"/>
            </w:pPr>
            <w:r>
              <w:t xml:space="preserve">293 (3,7 %)</w:t>
            </w:r>
          </w:p>
        </w:tc>
        <w:tc>
          <w:tcPr/>
          <w:p>
            <w:pPr>
              <w:pStyle w:val="Compact"/>
            </w:pPr>
            <w:r>
              <w:t xml:space="preserve">1 313</w:t>
            </w:r>
          </w:p>
        </w:tc>
      </w:tr>
      <w:tr>
        <w:tc>
          <w:tcPr/>
          <w:p>
            <w:pPr>
              <w:pStyle w:val="Compact"/>
            </w:pPr>
            <w:r>
              <w:t xml:space="preserve">Caribe</w:t>
            </w:r>
          </w:p>
        </w:tc>
        <w:tc>
          <w:tcPr/>
          <w:p>
            <w:pPr>
              <w:pStyle w:val="Compact"/>
            </w:pPr>
            <w:r>
              <w:t xml:space="preserve">854 (10,8 %)</w:t>
            </w:r>
          </w:p>
        </w:tc>
        <w:tc>
          <w:tcPr/>
          <w:p>
            <w:pPr>
              <w:pStyle w:val="Compact"/>
            </w:pPr>
            <w:r>
              <w:t xml:space="preserve">459 (5,8 %)</w:t>
            </w:r>
          </w:p>
        </w:tc>
        <w:tc>
          <w:tcPr/>
          <w:p>
            <w:pPr>
              <w:pStyle w:val="Compact"/>
            </w:pPr>
            <w:r>
              <w:t xml:space="preserve">1 313</w:t>
            </w:r>
          </w:p>
        </w:tc>
      </w:tr>
      <w:tr>
        <w:tc>
          <w:tcPr/>
          <w:p>
            <w:pPr>
              <w:pStyle w:val="Compact"/>
            </w:pPr>
            <w:r>
              <w:t xml:space="preserve">Central</w:t>
            </w:r>
          </w:p>
        </w:tc>
        <w:tc>
          <w:tcPr/>
          <w:p>
            <w:pPr>
              <w:pStyle w:val="Compact"/>
            </w:pPr>
            <w:r>
              <w:t xml:space="preserve">887 (11,3 %)</w:t>
            </w:r>
          </w:p>
        </w:tc>
        <w:tc>
          <w:tcPr/>
          <w:p>
            <w:pPr>
              <w:pStyle w:val="Compact"/>
            </w:pPr>
            <w:r>
              <w:t xml:space="preserve">426 (5,4 %)</w:t>
            </w:r>
          </w:p>
        </w:tc>
        <w:tc>
          <w:tcPr/>
          <w:p>
            <w:pPr>
              <w:pStyle w:val="Compact"/>
            </w:pPr>
            <w:r>
              <w:t xml:space="preserve">1 313</w:t>
            </w:r>
          </w:p>
        </w:tc>
      </w:tr>
      <w:tr>
        <w:tc>
          <w:tcPr/>
          <w:p>
            <w:pPr>
              <w:pStyle w:val="Compact"/>
            </w:pPr>
            <w:r>
              <w:t xml:space="preserve">Oriental</w:t>
            </w:r>
          </w:p>
        </w:tc>
        <w:tc>
          <w:tcPr/>
          <w:p>
            <w:pPr>
              <w:pStyle w:val="Compact"/>
            </w:pPr>
            <w:r>
              <w:t xml:space="preserve">868 (11,0 %)</w:t>
            </w:r>
          </w:p>
        </w:tc>
        <w:tc>
          <w:tcPr/>
          <w:p>
            <w:pPr>
              <w:pStyle w:val="Compact"/>
            </w:pPr>
            <w:r>
              <w:t xml:space="preserve">445 (5,7 %)</w:t>
            </w:r>
          </w:p>
        </w:tc>
        <w:tc>
          <w:tcPr/>
          <w:p>
            <w:pPr>
              <w:pStyle w:val="Compact"/>
            </w:pPr>
            <w:r>
              <w:t xml:space="preserve">1 313</w:t>
            </w:r>
          </w:p>
        </w:tc>
      </w:tr>
      <w:tr>
        <w:tc>
          <w:tcPr/>
          <w:p>
            <w:pPr>
              <w:pStyle w:val="Compact"/>
            </w:pPr>
            <w:r>
              <w:t xml:space="preserve">Orinoquía-Amazonía</w:t>
            </w:r>
          </w:p>
        </w:tc>
        <w:tc>
          <w:tcPr/>
          <w:p>
            <w:pPr>
              <w:pStyle w:val="Compact"/>
            </w:pPr>
            <w:r>
              <w:t xml:space="preserve">686 (8,7 %)</w:t>
            </w:r>
          </w:p>
        </w:tc>
        <w:tc>
          <w:tcPr/>
          <w:p>
            <w:pPr>
              <w:pStyle w:val="Compact"/>
            </w:pPr>
            <w:r>
              <w:t xml:space="preserve">625 (7,9 %)</w:t>
            </w:r>
          </w:p>
        </w:tc>
        <w:tc>
          <w:tcPr/>
          <w:p>
            <w:pPr>
              <w:pStyle w:val="Compact"/>
            </w:pPr>
            <w:r>
              <w:t xml:space="preserve">1 311</w:t>
            </w:r>
          </w:p>
        </w:tc>
      </w:tr>
      <w:tr>
        <w:tc>
          <w:tcPr/>
          <w:p>
            <w:pPr>
              <w:pStyle w:val="Compact"/>
            </w:pPr>
            <w:r>
              <w:t xml:space="preserve">Pacífica</w:t>
            </w:r>
          </w:p>
        </w:tc>
        <w:tc>
          <w:tcPr/>
          <w:p>
            <w:pPr>
              <w:pStyle w:val="Compact"/>
            </w:pPr>
            <w:r>
              <w:t xml:space="preserve">832 (10,6 %)</w:t>
            </w:r>
          </w:p>
        </w:tc>
        <w:tc>
          <w:tcPr/>
          <w:p>
            <w:pPr>
              <w:pStyle w:val="Compact"/>
            </w:pPr>
            <w:r>
              <w:t xml:space="preserve">481 (6,1 %)</w:t>
            </w:r>
          </w:p>
        </w:tc>
        <w:tc>
          <w:tcPr/>
          <w:p>
            <w:pPr>
              <w:pStyle w:val="Compact"/>
            </w:pPr>
            <w:r>
              <w:t xml:space="preserve">1 313</w:t>
            </w:r>
          </w:p>
        </w:tc>
      </w:tr>
    </w:tbl>
    <w:bookmarkEnd w:id="20"/>
    <w:bookmarkStart w:id="21" w:name="bloque-2-pregunta-trazadora"/>
    <w:p>
      <w:pPr>
        <w:pStyle w:val="Heading3"/>
      </w:pPr>
      <w:r>
        <w:t xml:space="preserve">4.2 4.2 Bloque 2 — Pregunta Trazadora</w:t>
      </w:r>
    </w:p>
    <w:p>
      <w:pPr>
        <w:pStyle w:val="FirstParagraph"/>
      </w:pPr>
      <w:r>
        <w:t xml:space="preserve">La caja de pregunta trazadora no introduce una estratificación de diseño adicional: la totalidad de las 7 876 encuestas ya asignadas la responde, y el resultado (uso o no uso de servicios) clasifica posteriormente a cada persona hacia las cajas de los bloques 3 y 4, sin alterar el tamaño de muestra ya definido.</w:t>
      </w:r>
    </w:p>
    <w:bookmarkEnd w:id="21"/>
    <w:bookmarkStart w:id="22" w:name="X4d74c3c0d0739c8d6f69e358ef1edec9663a769"/>
    <w:p>
      <w:pPr>
        <w:pStyle w:val="Heading3"/>
      </w:pPr>
      <w:r>
        <w:t xml:space="preserve">4.3 4.3 Bloques 3 y 4 — Gestión Institucional y Módulos Finales</w:t>
      </w:r>
    </w:p>
    <w:p>
      <w:pPr>
        <w:pStyle w:val="FirstParagraph"/>
      </w:pPr>
      <w:r>
        <w:t xml:space="preserve">A diferencia del bloque de caracterización, las cajas de entidad prestadora y tipo de servicio recibido no son variables de estratificación definidas a priori: se determinan a partir de la respuesta real de cada persona durante la aplicación del cuestionario. En consecuencia, no existe una cuota de asignación independiente para cada una de las nueve rutas posibles; todas ellas se nutren del mismo universo muestral de 7 876 encuestas ya asignado y descrito en el numeral 4.1, y el número de casos que finalmente recae en cada ruta es un resultado observado en campo, no un parámetro de asignación previa.</w:t>
      </w:r>
    </w:p>
    <w:p>
      <w:pPr>
        <w:pStyle w:val="BodyText"/>
      </w:pPr>
      <w:r>
        <w:t xml:space="preserve">Las nueve rutas posibles del árbol de decisión, con las cajas de módulo final en las que terminan, son las siguientes: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Ruta</w:t>
            </w:r>
          </w:p>
        </w:tc>
        <w:tc>
          <w:tcPr/>
          <w:p>
            <w:pPr>
              <w:pStyle w:val="Compact"/>
            </w:pPr>
            <w:r>
              <w:t xml:space="preserve">Descripción</w:t>
            </w:r>
          </w:p>
        </w:tc>
        <w:tc>
          <w:tcPr/>
          <w:p>
            <w:pPr>
              <w:pStyle w:val="Compact"/>
            </w:pPr>
            <w:r>
              <w:t xml:space="preserve">Módulo destino (caja)</w:t>
            </w:r>
          </w:p>
        </w:tc>
        <w:tc>
          <w:tcPr/>
          <w:p>
            <w:pPr>
              <w:pStyle w:val="Compact"/>
            </w:pPr>
            <w:r>
              <w:t xml:space="preserve">Preguntas</w:t>
            </w:r>
          </w:p>
        </w:tc>
      </w:tr>
      <w:tr>
        <w:tc>
          <w:tcPr/>
          <w:p>
            <w:pPr>
              <w:pStyle w:val="Compact"/>
            </w:pPr>
            <w:r>
              <w:t xml:space="preserve">1</w:t>
            </w:r>
          </w:p>
        </w:tc>
        <w:tc>
          <w:tcPr/>
          <w:p>
            <w:pPr>
              <w:pStyle w:val="Compact"/>
            </w:pPr>
            <w:r>
              <w:t xml:space="preserve">Sin uso de servicios de salud</w:t>
            </w:r>
          </w:p>
        </w:tc>
        <w:tc>
          <w:tcPr/>
          <w:p>
            <w:pPr>
              <w:pStyle w:val="Compact"/>
            </w:pPr>
            <w:r>
              <w:t xml:space="preserve">EPS – Módulo 1</w:t>
            </w:r>
          </w:p>
        </w:tc>
        <w:tc>
          <w:tcPr/>
          <w:p>
            <w:pPr>
              <w:pStyle w:val="Compact"/>
            </w:pPr>
            <w:r>
              <w:t xml:space="preserve">27</w:t>
            </w:r>
          </w:p>
        </w:tc>
      </w:tr>
      <w:tr>
        <w:tc>
          <w:tcPr/>
          <w:p>
            <w:pPr>
              <w:pStyle w:val="Compact"/>
            </w:pPr>
            <w:r>
              <w:t xml:space="preserve">2</w:t>
            </w:r>
          </w:p>
        </w:tc>
        <w:tc>
          <w:tcPr/>
          <w:p>
            <w:pPr>
              <w:pStyle w:val="Compact"/>
            </w:pPr>
            <w:r>
              <w:t xml:space="preserve">EPS – atención ambulatoria</w:t>
            </w:r>
          </w:p>
        </w:tc>
        <w:tc>
          <w:tcPr/>
          <w:p>
            <w:pPr>
              <w:pStyle w:val="Compact"/>
            </w:pPr>
            <w:r>
              <w:t xml:space="preserve">EPS – Módulo 3</w:t>
            </w:r>
          </w:p>
        </w:tc>
        <w:tc>
          <w:tcPr/>
          <w:p>
            <w:pPr>
              <w:pStyle w:val="Compact"/>
            </w:pPr>
            <w:r>
              <w:t xml:space="preserve">34</w:t>
            </w:r>
          </w:p>
        </w:tc>
      </w:tr>
      <w:tr>
        <w:tc>
          <w:tcPr/>
          <w:p>
            <w:pPr>
              <w:pStyle w:val="Compact"/>
            </w:pPr>
            <w:r>
              <w:t xml:space="preserve">3</w:t>
            </w:r>
          </w:p>
        </w:tc>
        <w:tc>
          <w:tcPr/>
          <w:p>
            <w:pPr>
              <w:pStyle w:val="Compact"/>
            </w:pPr>
            <w:r>
              <w:t xml:space="preserve">EPS – urgencias, internación o especializado</w:t>
            </w:r>
          </w:p>
        </w:tc>
        <w:tc>
          <w:tcPr/>
          <w:p>
            <w:pPr>
              <w:pStyle w:val="Compact"/>
            </w:pPr>
            <w:r>
              <w:t xml:space="preserve">EPS – Módulo 2</w:t>
            </w:r>
          </w:p>
        </w:tc>
        <w:tc>
          <w:tcPr/>
          <w:p>
            <w:pPr>
              <w:pStyle w:val="Compact"/>
            </w:pPr>
            <w:r>
              <w:t xml:space="preserve">36</w:t>
            </w:r>
          </w:p>
        </w:tc>
      </w:tr>
      <w:tr>
        <w:tc>
          <w:tcPr/>
          <w:p>
            <w:pPr>
              <w:pStyle w:val="Compact"/>
            </w:pPr>
            <w:r>
              <w:t xml:space="preserve">4</w:t>
            </w:r>
          </w:p>
        </w:tc>
        <w:tc>
          <w:tcPr/>
          <w:p>
            <w:pPr>
              <w:pStyle w:val="Compact"/>
            </w:pPr>
            <w:r>
              <w:t xml:space="preserve">IPS – atención ambulatoria</w:t>
            </w:r>
          </w:p>
        </w:tc>
        <w:tc>
          <w:tcPr/>
          <w:p>
            <w:pPr>
              <w:pStyle w:val="Compact"/>
            </w:pPr>
            <w:r>
              <w:t xml:space="preserve">IPS – Módulo 1</w:t>
            </w:r>
          </w:p>
        </w:tc>
        <w:tc>
          <w:tcPr/>
          <w:p>
            <w:pPr>
              <w:pStyle w:val="Compact"/>
            </w:pPr>
            <w:r>
              <w:t xml:space="preserve">34</w:t>
            </w:r>
          </w:p>
        </w:tc>
      </w:tr>
      <w:tr>
        <w:tc>
          <w:tcPr/>
          <w:p>
            <w:pPr>
              <w:pStyle w:val="Compact"/>
            </w:pPr>
            <w:r>
              <w:t xml:space="preserve">5</w:t>
            </w:r>
          </w:p>
        </w:tc>
        <w:tc>
          <w:tcPr/>
          <w:p>
            <w:pPr>
              <w:pStyle w:val="Compact"/>
            </w:pPr>
            <w:r>
              <w:t xml:space="preserve">IPS – urgencias</w:t>
            </w:r>
          </w:p>
        </w:tc>
        <w:tc>
          <w:tcPr/>
          <w:p>
            <w:pPr>
              <w:pStyle w:val="Compact"/>
            </w:pPr>
            <w:r>
              <w:t xml:space="preserve">IPS – Módulo 2</w:t>
            </w:r>
          </w:p>
        </w:tc>
        <w:tc>
          <w:tcPr/>
          <w:p>
            <w:pPr>
              <w:pStyle w:val="Compact"/>
            </w:pPr>
            <w:r>
              <w:t xml:space="preserve">32</w:t>
            </w:r>
          </w:p>
        </w:tc>
      </w:tr>
      <w:tr>
        <w:tc>
          <w:tcPr/>
          <w:p>
            <w:pPr>
              <w:pStyle w:val="Compact"/>
            </w:pPr>
            <w:r>
              <w:t xml:space="preserve">6</w:t>
            </w:r>
          </w:p>
        </w:tc>
        <w:tc>
          <w:tcPr/>
          <w:p>
            <w:pPr>
              <w:pStyle w:val="Compact"/>
            </w:pPr>
            <w:r>
              <w:t xml:space="preserve">IPS – internación</w:t>
            </w:r>
          </w:p>
        </w:tc>
        <w:tc>
          <w:tcPr/>
          <w:p>
            <w:pPr>
              <w:pStyle w:val="Compact"/>
            </w:pPr>
            <w:r>
              <w:t xml:space="preserve">IPS – Módulo 3</w:t>
            </w:r>
          </w:p>
        </w:tc>
        <w:tc>
          <w:tcPr/>
          <w:p>
            <w:pPr>
              <w:pStyle w:val="Compact"/>
            </w:pPr>
            <w:r>
              <w:t xml:space="preserve">29</w:t>
            </w:r>
          </w:p>
        </w:tc>
      </w:tr>
      <w:tr>
        <w:tc>
          <w:tcPr/>
          <w:p>
            <w:pPr>
              <w:pStyle w:val="Compact"/>
            </w:pPr>
            <w:r>
              <w:t xml:space="preserve">7</w:t>
            </w:r>
          </w:p>
        </w:tc>
        <w:tc>
          <w:tcPr/>
          <w:p>
            <w:pPr>
              <w:pStyle w:val="Compact"/>
            </w:pPr>
            <w:r>
              <w:t xml:space="preserve">IPS – procedimiento quirúrgico</w:t>
            </w:r>
          </w:p>
        </w:tc>
        <w:tc>
          <w:tcPr/>
          <w:p>
            <w:pPr>
              <w:pStyle w:val="Compact"/>
            </w:pPr>
            <w:r>
              <w:t xml:space="preserve">IPS – Módulo 4</w:t>
            </w:r>
          </w:p>
        </w:tc>
        <w:tc>
          <w:tcPr/>
          <w:p>
            <w:pPr>
              <w:pStyle w:val="Compact"/>
            </w:pPr>
            <w:r>
              <w:t xml:space="preserve">33</w:t>
            </w:r>
          </w:p>
        </w:tc>
      </w:tr>
      <w:tr>
        <w:tc>
          <w:tcPr/>
          <w:p>
            <w:pPr>
              <w:pStyle w:val="Compact"/>
            </w:pPr>
            <w:r>
              <w:t xml:space="preserve">8</w:t>
            </w:r>
          </w:p>
        </w:tc>
        <w:tc>
          <w:tcPr/>
          <w:p>
            <w:pPr>
              <w:pStyle w:val="Compact"/>
            </w:pPr>
            <w:r>
              <w:t xml:space="preserve">Gestor farmacéutico – medicamentos</w:t>
            </w:r>
          </w:p>
        </w:tc>
        <w:tc>
          <w:tcPr/>
          <w:p>
            <w:pPr>
              <w:pStyle w:val="Compact"/>
            </w:pPr>
            <w:r>
              <w:t xml:space="preserve">Gestor – Módulo 1</w:t>
            </w:r>
          </w:p>
        </w:tc>
        <w:tc>
          <w:tcPr/>
          <w:p>
            <w:pPr>
              <w:pStyle w:val="Compact"/>
            </w:pPr>
            <w:r>
              <w:t xml:space="preserve">34</w:t>
            </w:r>
          </w:p>
        </w:tc>
      </w:tr>
      <w:tr>
        <w:tc>
          <w:tcPr/>
          <w:p>
            <w:pPr>
              <w:pStyle w:val="Compact"/>
            </w:pPr>
            <w:r>
              <w:t xml:space="preserve">9</w:t>
            </w:r>
          </w:p>
        </w:tc>
        <w:tc>
          <w:tcPr/>
          <w:p>
            <w:pPr>
              <w:pStyle w:val="Compact"/>
            </w:pPr>
            <w:r>
              <w:t xml:space="preserve">Gestor farmacéutico – no medicamentos</w:t>
            </w:r>
          </w:p>
        </w:tc>
        <w:tc>
          <w:tcPr/>
          <w:p>
            <w:pPr>
              <w:pStyle w:val="Compact"/>
            </w:pPr>
            <w:r>
              <w:t xml:space="preserve">EPS – Módulo 2 (transversal)</w:t>
            </w:r>
          </w:p>
        </w:tc>
        <w:tc>
          <w:tcPr/>
          <w:p>
            <w:pPr>
              <w:pStyle w:val="Compact"/>
            </w:pPr>
            <w:r>
              <w:t xml:space="preserve">36</w:t>
            </w:r>
          </w:p>
        </w:tc>
      </w:tr>
    </w:tbl>
    <w:p>
      <w:pPr>
        <w:pStyle w:val="BodyText"/>
      </w:pPr>
      <w:r>
        <w:t xml:space="preserve">Para caracterizar un subgrupo de interés dentro de cualquiera de las nueve rutas (por ejemplo, mujeres del régimen subsidiado en zona rural de la región Caribe), el tamaño de muestra aplicable corresponde a la celda o al cruce respectivo ya asignado en el bloque de caracterización, según la metodología del numeral 3.4.</w:t>
      </w:r>
    </w:p>
    <w:bookmarkEnd w:id="22"/>
    <w:bookmarkEnd w:id="23"/>
    <w:bookmarkStart w:id="24" w:name="control-de-calidad-de-la-asignación"/>
    <w:p>
      <w:pPr>
        <w:pStyle w:val="Heading2"/>
      </w:pPr>
      <w:r>
        <w:t xml:space="preserve">5 5. Control de Calidad de la Asignación</w:t>
      </w:r>
    </w:p>
    <w:p>
      <w:pPr>
        <w:pStyle w:val="FirstParagraph"/>
      </w:pPr>
      <w:r>
        <w:t xml:space="preserve">Se verifica que la suma de las celdas asignadas dentro de cada estrato de región coincida con el tamaño de muestra ya definido para ese estrato. Las diferencias observadas, atribuibles exclusivamente al redondeo entero de las celdas, se encuentran en un rango de -0,2 a -0,8 encuestas por región, un margen despreciable frente al tamaño de muestra regional (≈1 313):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Región</w:t>
            </w:r>
          </w:p>
        </w:tc>
        <w:tc>
          <w:tcPr/>
          <w:p>
            <w:pPr>
              <w:pStyle w:val="Compact"/>
            </w:pPr>
            <w:r>
              <w:t xml:space="preserve">n objetivo (ya definido)</w:t>
            </w:r>
          </w:p>
        </w:tc>
        <w:tc>
          <w:tcPr/>
          <w:p>
            <w:pPr>
              <w:pStyle w:val="Compact"/>
            </w:pPr>
            <w:r>
              <w:t xml:space="preserve">n asignado</w:t>
            </w:r>
          </w:p>
        </w:tc>
        <w:tc>
          <w:tcPr/>
          <w:p>
            <w:pPr>
              <w:pStyle w:val="Compact"/>
            </w:pPr>
            <w:r>
              <w:t xml:space="preserve">Diferencia</w:t>
            </w:r>
          </w:p>
        </w:tc>
      </w:tr>
      <w:tr>
        <w:tc>
          <w:tcPr/>
          <w:p>
            <w:pPr>
              <w:pStyle w:val="Compact"/>
            </w:pPr>
            <w:r>
              <w:t xml:space="preserve">Bogotá</w:t>
            </w:r>
          </w:p>
        </w:tc>
        <w:tc>
          <w:tcPr/>
          <w:p>
            <w:pPr>
              <w:pStyle w:val="Compact"/>
            </w:pPr>
            <w:r>
              <w:t xml:space="preserve">1 313,2</w:t>
            </w:r>
          </w:p>
        </w:tc>
        <w:tc>
          <w:tcPr/>
          <w:p>
            <w:pPr>
              <w:pStyle w:val="Compact"/>
            </w:pPr>
            <w:r>
              <w:t xml:space="preserve">1 313</w:t>
            </w:r>
          </w:p>
        </w:tc>
        <w:tc>
          <w:tcPr/>
          <w:p>
            <w:pPr>
              <w:pStyle w:val="Compact"/>
            </w:pPr>
            <w:r>
              <w:t xml:space="preserve">-0,2</w:t>
            </w:r>
          </w:p>
        </w:tc>
      </w:tr>
      <w:tr>
        <w:tc>
          <w:tcPr/>
          <w:p>
            <w:pPr>
              <w:pStyle w:val="Compact"/>
            </w:pPr>
            <w:r>
              <w:t xml:space="preserve">Caribe</w:t>
            </w:r>
          </w:p>
        </w:tc>
        <w:tc>
          <w:tcPr/>
          <w:p>
            <w:pPr>
              <w:pStyle w:val="Compact"/>
            </w:pPr>
            <w:r>
              <w:t xml:space="preserve">1 313,2</w:t>
            </w:r>
          </w:p>
        </w:tc>
        <w:tc>
          <w:tcPr/>
          <w:p>
            <w:pPr>
              <w:pStyle w:val="Compact"/>
            </w:pPr>
            <w:r>
              <w:t xml:space="preserve">1 313</w:t>
            </w:r>
          </w:p>
        </w:tc>
        <w:tc>
          <w:tcPr/>
          <w:p>
            <w:pPr>
              <w:pStyle w:val="Compact"/>
            </w:pPr>
            <w:r>
              <w:t xml:space="preserve">-0,2</w:t>
            </w:r>
          </w:p>
        </w:tc>
      </w:tr>
      <w:tr>
        <w:tc>
          <w:tcPr/>
          <w:p>
            <w:pPr>
              <w:pStyle w:val="Compact"/>
            </w:pPr>
            <w:r>
              <w:t xml:space="preserve">Central</w:t>
            </w:r>
          </w:p>
        </w:tc>
        <w:tc>
          <w:tcPr/>
          <w:p>
            <w:pPr>
              <w:pStyle w:val="Compact"/>
            </w:pPr>
            <w:r>
              <w:t xml:space="preserve">1 313,2</w:t>
            </w:r>
          </w:p>
        </w:tc>
        <w:tc>
          <w:tcPr/>
          <w:p>
            <w:pPr>
              <w:pStyle w:val="Compact"/>
            </w:pPr>
            <w:r>
              <w:t xml:space="preserve">1 313</w:t>
            </w:r>
          </w:p>
        </w:tc>
        <w:tc>
          <w:tcPr/>
          <w:p>
            <w:pPr>
              <w:pStyle w:val="Compact"/>
            </w:pPr>
            <w:r>
              <w:t xml:space="preserve">-0,2</w:t>
            </w:r>
          </w:p>
        </w:tc>
      </w:tr>
      <w:tr>
        <w:tc>
          <w:tcPr/>
          <w:p>
            <w:pPr>
              <w:pStyle w:val="Compact"/>
            </w:pPr>
            <w:r>
              <w:t xml:space="preserve">Oriental</w:t>
            </w:r>
          </w:p>
        </w:tc>
        <w:tc>
          <w:tcPr/>
          <w:p>
            <w:pPr>
              <w:pStyle w:val="Compact"/>
            </w:pPr>
            <w:r>
              <w:t xml:space="preserve">1 313,2</w:t>
            </w:r>
          </w:p>
        </w:tc>
        <w:tc>
          <w:tcPr/>
          <w:p>
            <w:pPr>
              <w:pStyle w:val="Compact"/>
            </w:pPr>
            <w:r>
              <w:t xml:space="preserve">1 313</w:t>
            </w:r>
          </w:p>
        </w:tc>
        <w:tc>
          <w:tcPr/>
          <w:p>
            <w:pPr>
              <w:pStyle w:val="Compact"/>
            </w:pPr>
            <w:r>
              <w:t xml:space="preserve">-0,2</w:t>
            </w:r>
          </w:p>
        </w:tc>
      </w:tr>
      <w:tr>
        <w:tc>
          <w:tcPr/>
          <w:p>
            <w:pPr>
              <w:pStyle w:val="Compact"/>
            </w:pPr>
            <w:r>
              <w:t xml:space="preserve">Orinoquía-Amazonía</w:t>
            </w:r>
          </w:p>
        </w:tc>
        <w:tc>
          <w:tcPr/>
          <w:p>
            <w:pPr>
              <w:pStyle w:val="Compact"/>
            </w:pPr>
            <w:r>
              <w:t xml:space="preserve">1 311,8</w:t>
            </w:r>
          </w:p>
        </w:tc>
        <w:tc>
          <w:tcPr/>
          <w:p>
            <w:pPr>
              <w:pStyle w:val="Compact"/>
            </w:pPr>
            <w:r>
              <w:t xml:space="preserve">1 311</w:t>
            </w:r>
          </w:p>
        </w:tc>
        <w:tc>
          <w:tcPr/>
          <w:p>
            <w:pPr>
              <w:pStyle w:val="Compact"/>
            </w:pPr>
            <w:r>
              <w:t xml:space="preserve">-0,8</w:t>
            </w:r>
          </w:p>
        </w:tc>
      </w:tr>
      <w:tr>
        <w:tc>
          <w:tcPr/>
          <w:p>
            <w:pPr>
              <w:pStyle w:val="Compact"/>
            </w:pPr>
            <w:r>
              <w:t xml:space="preserve">Pacífica</w:t>
            </w:r>
          </w:p>
        </w:tc>
        <w:tc>
          <w:tcPr/>
          <w:p>
            <w:pPr>
              <w:pStyle w:val="Compact"/>
            </w:pPr>
            <w:r>
              <w:t xml:space="preserve">1 313,2</w:t>
            </w:r>
          </w:p>
        </w:tc>
        <w:tc>
          <w:tcPr/>
          <w:p>
            <w:pPr>
              <w:pStyle w:val="Compact"/>
            </w:pPr>
            <w:r>
              <w:t xml:space="preserve">1 313</w:t>
            </w:r>
          </w:p>
        </w:tc>
        <w:tc>
          <w:tcPr/>
          <w:p>
            <w:pPr>
              <w:pStyle w:val="Compact"/>
            </w:pPr>
            <w:r>
              <w:t xml:space="preserve">-0,2</w:t>
            </w:r>
          </w:p>
        </w:tc>
      </w:tr>
    </w:tbl>
    <w:bookmarkEnd w:id="24"/>
    <w:bookmarkStart w:id="25" w:name="conclusiones"/>
    <w:p>
      <w:pPr>
        <w:pStyle w:val="Heading2"/>
      </w:pPr>
      <w:r>
        <w:t xml:space="preserve">6 6. Conclusiones</w:t>
      </w:r>
    </w:p>
    <w:p>
      <w:pPr>
        <w:pStyle w:val="FirstParagraph"/>
      </w:pPr>
      <w:r>
        <w:t xml:space="preserve">El árbol de decisión está compuesto por 48 cajas distribuidas en cuatro bloques: 25 en Identificación y Caracterización, 1 en la Pregunta Trazadora, 14 en Gestión Institucional y 8 en Módulos Finales. El tamaño de muestra de la encuesta ya está definido (7 876 encuestas a nivel nacional) y este informe describe únicamente su asignación entre esas cajas, no su cálculo.</w:t>
      </w:r>
    </w:p>
    <w:p>
      <w:pPr>
        <w:pStyle w:val="BodyText"/>
      </w:pPr>
      <w:r>
        <w:t xml:space="preserve">La asignación otorga un tamaño de muestra igual e independiente a cada uno de los seis dominios regionales (≈1 313 encuestas cada uno) en lugar de un reparto puramente proporcional a la población, lo que garantiza una precisión equivalente en cada región. Dentro de cada dominio regional, la asignación proporcional por régimen, sexo, grupo de edad y zona —con un mínimo garantizado de 10 encuestas por celda— asegura que incluso los subgrupos demográficos menos numerosos conserven una base mínima de análisis, a costa de una ligera sobrerrepresentación relativa frente a su peso poblacional real.</w:t>
      </w:r>
    </w:p>
    <w:p>
      <w:pPr>
        <w:pStyle w:val="BodyText"/>
      </w:pPr>
      <w:r>
        <w:t xml:space="preserve">Las cajas de gestión institucional y módulos finales del árbol de decisión no reciben una asignación de diseño independiente: la ruta que sigue cada persona depende de su respuesta real durante la aplicación del cuestionario, por lo que el número de casos en cada una de las nueve rutas es un resultado observado y no un parámetro de asignación previa.</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Metodológico</dc:title>
  <dc:creator/>
  <dc:language>es</dc:language>
  <cp:keywords/>
  <dcterms:created xsi:type="dcterms:W3CDTF">2026-07-01T17:22:03Z</dcterms:created>
  <dcterms:modified xsi:type="dcterms:W3CDTF">2026-07-01T17:22:03Z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Árbol de Decisión y Asignación del Tamaño de Muestra de la Encuesta Nacional de Salud</vt:lpwstr>
  </property>
  <property fmtid="{D5CDD505-2E9C-101B-9397-08002B2CF9AE}" pid="9" name="toc-title">
    <vt:lpwstr>Tabla de contenidos</vt:lpwstr>
  </property>
</Properties>
</file>