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agosto de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109"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la sobredispersión y las alternativas distribucionales consideradas en el diseño.</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ó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ón-de-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ó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La interpretación de los parámetros del modelo Poisson-lognormal requiere considerar la escala en la que opera cada componente. Dado que la densidad poblacional</w:t>
      </w:r>
      <w:r>
        <w:t xml:space="preserve"> </w:t>
      </w:r>
      <m:oMath>
        <m:sSub>
          <m:e>
            <m:r>
              <m:t>δ</m:t>
            </m:r>
          </m:e>
          <m:sub>
            <m:r>
              <m:t>i</m:t>
            </m:r>
          </m:sub>
        </m:sSub>
      </m:oMath>
      <w:r>
        <w:t xml:space="preserve"> </w:t>
      </w:r>
      <w:r>
        <w:t xml:space="preserve">sigue una distribución log-normal, el predictor lineal</w:t>
      </w:r>
      <w:r>
        <w:t xml:space="preserve"> </w:t>
      </w:r>
      <m:oMath>
        <m:sSub>
          <m:e>
            <m:r>
              <m:t>μ</m:t>
            </m:r>
          </m:e>
          <m:sub>
            <m:r>
              <m:t>i</m:t>
            </m:r>
          </m:sub>
        </m:sSub>
      </m:oMath>
      <w:r>
        <w:t xml:space="preserve"> </w:t>
      </w:r>
      <w:r>
        <w:t xml:space="preserve">actúa sobre el logaritmo de la densidad, lo que implica que los coeficientes</w:t>
      </w:r>
      <w:r>
        <w:t xml:space="preserve"> </w:t>
      </w:r>
      <m:oMath>
        <m:r>
          <m:rPr>
            <m:sty m:val="b"/>
          </m:rPr>
          <m:t>β</m:t>
        </m:r>
      </m:oMath>
      <w:r>
        <w:t xml:space="preserve"> </w:t>
      </w:r>
      <w:r>
        <w:t xml:space="preserve">y</w:t>
      </w:r>
      <w:r>
        <w:t xml:space="preserve"> </w:t>
      </w:r>
      <m:oMath>
        <m:r>
          <m:rPr>
            <m:sty m:val="b"/>
          </m:rPr>
          <m:t>γ</m:t>
        </m:r>
      </m:oMath>
      <w:r>
        <w:t xml:space="preserve"> </w:t>
      </w:r>
      <w:r>
        <w:t xml:space="preserve">se interpretan en escala logarítmica.</w:t>
      </w:r>
    </w:p>
    <w:p>
      <w:pPr>
        <w:pStyle w:val="BodyText"/>
      </w:pPr>
      <w:r>
        <w:t xml:space="preserve">Para los coeficientes de efectos fijos, el coeficiente</w:t>
      </w:r>
      <w:r>
        <w:t xml:space="preserve"> </w:t>
      </w:r>
      <m:oMath>
        <m:sSub>
          <m:e>
            <m:r>
              <m:t>β</m:t>
            </m:r>
          </m:e>
          <m:sub>
            <m:r>
              <m:t>k</m:t>
            </m:r>
          </m:sub>
        </m:sSub>
      </m:oMath>
      <w:r>
        <w:t xml:space="preserve"> </w:t>
      </w:r>
      <w:r>
        <w:t xml:space="preserve">representa el cambio esperado en el logaritmo de la densidad poblacional asociado a un incremento de una desviación estándar en la covariable estandarizada</w:t>
      </w:r>
      <w:r>
        <w:t xml:space="preserve"> </w:t>
      </w:r>
      <m:oMath>
        <m:sSub>
          <m:e>
            <m:acc>
              <m:accPr>
                <m:chr m:val="̃"/>
              </m:accPr>
              <m:e>
                <m:r>
                  <m:t>x</m:t>
                </m:r>
              </m:e>
            </m:acc>
          </m:e>
          <m:sub>
            <m:r>
              <m:t>i</m:t>
            </m:r>
            <m:r>
              <m:rPr>
                <m:sty m:val="p"/>
              </m:rPr>
              <m:t>,</m:t>
            </m:r>
            <m:r>
              <m:t>k</m:t>
            </m:r>
          </m:sub>
        </m:sSub>
      </m:oMath>
      <w:r>
        <w:t xml:space="preserve">, manteniendo constantes las demás covariables y los efectos aleatorios. Dado que</w:t>
      </w:r>
      <w:r>
        <w:t xml:space="preserve"> </w:t>
      </w:r>
      <m:oMath>
        <m:r>
          <m:rPr>
            <m:scr m:val="double-struck"/>
            <m:sty m:val="p"/>
          </m:rPr>
          <m:t>E</m:t>
        </m:r>
        <m:r>
          <m:rPr>
            <m:sty m:val="p"/>
          </m:rPr>
          <m:t>[</m:t>
        </m:r>
        <m:r>
          <m:rPr>
            <m:sty m:val="p"/>
          </m:rPr>
          <m:t>log</m:t>
        </m:r>
        <m:sSub>
          <m:e>
            <m:r>
              <m:t>δ</m:t>
            </m:r>
          </m:e>
          <m:sub>
            <m:r>
              <m:t>i</m:t>
            </m:r>
          </m:sub>
        </m:sSub>
        <m:r>
          <m:rPr>
            <m:sty m:val="p"/>
          </m:rPr>
          <m:t>∣</m:t>
        </m:r>
        <m:sSub>
          <m:e>
            <m:r>
              <m:t>μ</m:t>
            </m:r>
          </m:e>
          <m:sub>
            <m:r>
              <m:t>i</m:t>
            </m:r>
          </m:sub>
        </m:sSub>
        <m:r>
          <m:rPr>
            <m:sty m:val="p"/>
          </m:rPr>
          <m:t>,</m:t>
        </m:r>
        <m:r>
          <m:t>σ</m:t>
        </m:r>
        <m:r>
          <m:rPr>
            <m:sty m:val="p"/>
          </m:rPr>
          <m:t>]</m:t>
        </m:r>
        <m:r>
          <m:rPr>
            <m:sty m:val="p"/>
          </m:rPr>
          <m:t>=</m:t>
        </m:r>
        <m:sSub>
          <m:e>
            <m:r>
              <m:t>μ</m:t>
            </m:r>
          </m:e>
          <m:sub>
            <m:r>
              <m:t>i</m:t>
            </m:r>
          </m:sub>
        </m:sSub>
      </m:oMath>
      <w:r>
        <w:t xml:space="preserve"> </w:t>
      </w:r>
      <w:r>
        <w:t xml:space="preserve">para la distribución log-normal, la derivada parcial del predictor lineal respecto a la covariable</w:t>
      </w:r>
      <w:r>
        <w:t xml:space="preserve"> </w:t>
      </w:r>
      <m:oMath>
        <m:r>
          <m:t>k</m:t>
        </m:r>
      </m:oMath>
      <w:r>
        <w:t xml:space="preserve"> </w:t>
      </w:r>
      <w:r>
        <w:t xml:space="preserve">es directamente:</w:t>
      </w:r>
    </w:p>
    <w:p>
      <w:pPr>
        <w:pStyle w:val="BodyText"/>
      </w:pPr>
      <m:oMathPara>
        <m:oMathParaPr>
          <m:jc m:val="center"/>
        </m:oMathParaPr>
        <m:oMath>
          <m:sSub>
            <m:e>
              <m:r>
                <m:t>β</m:t>
              </m:r>
            </m:e>
            <m:sub>
              <m:r>
                <m:t>k</m:t>
              </m:r>
            </m:sub>
          </m:sSub>
          <m:r>
            <m:rPr>
              <m:sty m:val="p"/>
            </m:rPr>
            <m:t>=</m:t>
          </m:r>
          <m:f>
            <m:fPr>
              <m:type m:val="bar"/>
            </m:fPr>
            <m:num>
              <m:r>
                <m:rPr>
                  <m:sty m:val="p"/>
                </m:rPr>
                <m:t>∂</m:t>
              </m:r>
              <m:sSub>
                <m:e>
                  <m:r>
                    <m:t>μ</m:t>
                  </m:r>
                </m:e>
                <m:sub>
                  <m:r>
                    <m:t>i</m:t>
                  </m:r>
                </m:sub>
              </m:sSub>
            </m:num>
            <m:den>
              <m:r>
                <m:rPr>
                  <m:sty m:val="p"/>
                </m:rPr>
                <m:t>∂</m:t>
              </m:r>
              <m:sSub>
                <m:e>
                  <m:acc>
                    <m:accPr>
                      <m:chr m:val="̃"/>
                    </m:accPr>
                    <m:e>
                      <m:r>
                        <m:t>x</m:t>
                      </m:r>
                    </m:e>
                  </m:acc>
                </m:e>
                <m:sub>
                  <m:r>
                    <m:t>i</m:t>
                  </m:r>
                  <m:r>
                    <m:rPr>
                      <m:sty m:val="p"/>
                    </m:rPr>
                    <m:t>,</m:t>
                  </m:r>
                  <m:r>
                    <m:t>k</m:t>
                  </m:r>
                </m:sub>
              </m:sSub>
            </m:den>
          </m:f>
        </m:oMath>
      </m:oMathPara>
    </w:p>
    <w:p>
      <w:pPr>
        <w:pStyle w:val="FirstParagraph"/>
      </w:pPr>
      <w:r>
        <w:t xml:space="preserve">En escala multiplicativa,</w:t>
      </w:r>
      <w:r>
        <w:t xml:space="preserve"> </w:t>
      </w:r>
      <m:oMath>
        <m:r>
          <m:rPr>
            <m:sty m:val="p"/>
          </m:rPr>
          <m:t>exp</m:t>
        </m:r>
        <m:r>
          <m:rPr>
            <m:sty m:val="p"/>
          </m:rPr>
          <m:t>(</m:t>
        </m:r>
        <m:sSub>
          <m:e>
            <m:r>
              <m:t>β</m:t>
            </m:r>
          </m:e>
          <m:sub>
            <m:r>
              <m:t>k</m:t>
            </m:r>
          </m:sub>
        </m:sSub>
        <m:r>
          <m:rPr>
            <m:sty m:val="p"/>
          </m:rPr>
          <m:t>)</m:t>
        </m:r>
      </m:oMath>
      <w:r>
        <w:t xml:space="preserve"> </w:t>
      </w:r>
      <w:r>
        <w:t xml:space="preserve">representa el factor por el cual se multiplica la densidad mediana cuando la covariable</w:t>
      </w:r>
      <w:r>
        <w:t xml:space="preserve"> </w:t>
      </w:r>
      <m:oMath>
        <m:r>
          <m:t>k</m:t>
        </m:r>
      </m:oMath>
      <w:r>
        <w:t xml:space="preserve"> </w:t>
      </w:r>
      <w:r>
        <w:t xml:space="preserve">aumenta en una desviación estándar. Valores de</w:t>
      </w:r>
      <w:r>
        <w:t xml:space="preserve"> </w:t>
      </w:r>
      <m:oMath>
        <m:sSub>
          <m:e>
            <m:r>
              <m:t>β</m:t>
            </m:r>
          </m:e>
          <m:sub>
            <m:r>
              <m:t>k</m:t>
            </m:r>
          </m:sub>
        </m:sSub>
        <m:r>
          <m:rPr>
            <m:sty m:val="p"/>
          </m:rPr>
          <m:t>&gt;</m:t>
        </m:r>
        <m:r>
          <m:t>0</m:t>
        </m:r>
      </m:oMath>
      <w:r>
        <w:t xml:space="preserve"> </w:t>
      </w:r>
      <w:r>
        <w:t xml:space="preserve">indican que el segmento tiende a tener mayor densidad poblacional a medida que crece la covariable correspondiente; valores negativos indican la relación contraria.</w:t>
      </w:r>
    </w:p>
    <w:p>
      <w:pPr>
        <w:pStyle w:val="BodyText"/>
      </w:pPr>
      <w:r>
        <w:t xml:space="preserve">Para los efectos aleatorios, el coeficiente</w:t>
      </w:r>
      <w:r>
        <w:t xml:space="preserve"> </w:t>
      </w:r>
      <m:oMath>
        <m:sSub>
          <m:e>
            <m:r>
              <m:t>γ</m:t>
            </m:r>
          </m:e>
          <m:sub>
            <m:r>
              <m:t>j</m:t>
            </m:r>
          </m:sub>
        </m:sSub>
      </m:oMath>
      <w:r>
        <w:t xml:space="preserve"> </w:t>
      </w:r>
      <w:r>
        <w:t xml:space="preserve">representa el ajuste territorial específico de la unidad geográfica superior</w:t>
      </w:r>
      <w:r>
        <w:t xml:space="preserve"> </w:t>
      </w:r>
      <m:oMath>
        <m:r>
          <m:t>j</m:t>
        </m:r>
      </m:oMath>
      <w:r>
        <w:t xml:space="preserve"> </w:t>
      </w:r>
      <w:r>
        <w:t xml:space="preserve">una vez que el efecto de las covariables ha sido controlado. En escala multiplicativa,</w:t>
      </w:r>
      <w:r>
        <w:t xml:space="preserve"> </w:t>
      </w:r>
      <m:oMath>
        <m:r>
          <m:rPr>
            <m:sty m:val="p"/>
          </m:rPr>
          <m:t>exp</m:t>
        </m:r>
        <m:r>
          <m:rPr>
            <m:sty m:val="p"/>
          </m:rPr>
          <m:t>(</m:t>
        </m:r>
        <m:sSub>
          <m:e>
            <m:r>
              <m:t>γ</m:t>
            </m:r>
          </m:e>
          <m:sub>
            <m:r>
              <m:t>j</m:t>
            </m:r>
          </m:sub>
        </m:sSub>
        <m:r>
          <m:rPr>
            <m:sty m:val="p"/>
          </m:rPr>
          <m:t>)</m:t>
        </m:r>
      </m:oMath>
      <w:r>
        <w:t xml:space="preserve"> </w:t>
      </w:r>
      <w:r>
        <w:t xml:space="preserve">es el factor por el cual se ajusta la densidad de todos los segmentos pertenecientes al territorio</w:t>
      </w:r>
      <w:r>
        <w:t xml:space="preserve"> </w:t>
      </w:r>
      <m:oMath>
        <m:r>
          <m:t>j</m:t>
        </m:r>
      </m:oMath>
      <w:r>
        <w:t xml:space="preserve"> </w:t>
      </w:r>
      <w:r>
        <w:t xml:space="preserve">respecto al nivel implícito en los efectos fijos. La distribución previa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impone que estos ajustes se concentren alrededor de cero con una variabilidad determinada por</w:t>
      </w:r>
      <w:r>
        <w:t xml:space="preserve"> </w:t>
      </w:r>
      <m:oMath>
        <m:sSub>
          <m:e>
            <m:r>
              <m:t>σ</m:t>
            </m:r>
          </m:e>
          <m:sub>
            <m:r>
              <m:t>U</m:t>
            </m:r>
          </m:sub>
        </m:sSub>
      </m:oMath>
      <w:r>
        <w:t xml:space="preserve">, lo que produce el efecto de encogimiento sobre territorios con escasa información.</w:t>
      </w:r>
    </w:p>
    <w:p>
      <w:pPr>
        <w:pStyle w:val="BodyText"/>
      </w:pPr>
      <w:r>
        <w:t xml:space="preserve">El parámetro</w:t>
      </w:r>
      <w:r>
        <w:t xml:space="preserve"> </w:t>
      </w:r>
      <m:oMath>
        <m:r>
          <m:t>σ</m:t>
        </m:r>
      </m:oMath>
      <w:r>
        <w:t xml:space="preserve"> </w:t>
      </w:r>
      <w:r>
        <w:t xml:space="preserve">controla la dispersión de las densidades</w:t>
      </w:r>
      <w:r>
        <w:t xml:space="preserve"> </w:t>
      </w:r>
      <m:oMath>
        <m:sSub>
          <m:e>
            <m:r>
              <m:t>δ</m:t>
            </m:r>
          </m:e>
          <m:sub>
            <m:r>
              <m:t>i</m:t>
            </m:r>
          </m:sub>
        </m:sSub>
      </m:oMath>
      <w:r>
        <w:t xml:space="preserve"> </w:t>
      </w:r>
      <w:r>
        <w:t xml:space="preserve">alrededor de su media condicional</w:t>
      </w:r>
      <w:r>
        <w:t xml:space="preserve"> </w:t>
      </w:r>
      <m:oMath>
        <m:r>
          <m:rPr>
            <m:sty m:val="p"/>
          </m:rPr>
          <m:t>exp</m:t>
        </m:r>
        <m:r>
          <m:rPr>
            <m:sty m:val="p"/>
          </m:rPr>
          <m:t>(</m:t>
        </m:r>
        <m:sSub>
          <m:e>
            <m:r>
              <m:t>μ</m:t>
            </m:r>
          </m:e>
          <m:sub>
            <m:r>
              <m:t>i</m:t>
            </m:r>
          </m:sub>
        </m:sSub>
        <m:r>
          <m:rPr>
            <m:sty m:val="p"/>
          </m:rPr>
          <m:t>+</m:t>
        </m:r>
        <m:sSup>
          <m:e>
            <m:r>
              <m:t>σ</m:t>
            </m:r>
          </m:e>
          <m:sup>
            <m:r>
              <m:t>2</m:t>
            </m:r>
          </m:sup>
        </m:sSup>
        <m:r>
          <m:rPr>
            <m:sty m:val="p"/>
          </m:rPr>
          <m:t>/</m:t>
        </m:r>
        <m:r>
          <m:t>2</m:t>
        </m:r>
        <m:r>
          <m:rPr>
            <m:sty m:val="p"/>
          </m:rPr>
          <m:t>)</m:t>
        </m:r>
      </m:oMath>
      <w:r>
        <w:t xml:space="preserve">. En escala logarítmica,</w:t>
      </w:r>
      <w:r>
        <w:t xml:space="preserve"> </w:t>
      </w:r>
      <m:oMath>
        <m:r>
          <m:t>σ</m:t>
        </m:r>
      </m:oMath>
      <w:r>
        <w:t xml:space="preserve"> </w:t>
      </w:r>
      <w:r>
        <w:t xml:space="preserve">corresponde a la desviación estándar de</w:t>
      </w:r>
      <w:r>
        <w:t xml:space="preserve"> </w:t>
      </w:r>
      <m:oMath>
        <m:r>
          <m:rPr>
            <m:sty m:val="p"/>
          </m:rPr>
          <m:t>log</m:t>
        </m:r>
        <m:sSub>
          <m:e>
            <m:r>
              <m:t>δ</m:t>
            </m:r>
          </m:e>
          <m:sub>
            <m:r>
              <m:t>i</m:t>
            </m:r>
          </m:sub>
        </m:sSub>
      </m:oMath>
      <w:r>
        <w:t xml:space="preserve">; valores grandes de</w:t>
      </w:r>
      <w:r>
        <w:t xml:space="preserve"> </w:t>
      </w:r>
      <m:oMath>
        <m:r>
          <m:t>σ</m:t>
        </m:r>
      </m:oMath>
      <w:r>
        <w:t xml:space="preserve"> </w:t>
      </w:r>
      <w:r>
        <w:t xml:space="preserve">indican alta heterogeneidad residual en las densidades no explicada por las covariables ni por los efectos aleatorios. El hiperparámetro</w:t>
      </w:r>
      <w:r>
        <w:t xml:space="preserve"> </w:t>
      </w:r>
      <m:oMath>
        <m:sSub>
          <m:e>
            <m:r>
              <m:t>σ</m:t>
            </m:r>
          </m:e>
          <m:sub>
            <m:r>
              <m:t>U</m:t>
            </m:r>
          </m:sub>
        </m:sSub>
      </m:oMath>
      <w:r>
        <w:t xml:space="preserve"> </w:t>
      </w:r>
      <w:r>
        <w:t xml:space="preserve">cuantifica, por su parte, la dispersión de los efectos aleatorios entre unidades territoriales: valores grandes de</w:t>
      </w:r>
      <w:r>
        <w:t xml:space="preserve"> </w:t>
      </w:r>
      <m:oMath>
        <m:sSub>
          <m:e>
            <m:r>
              <m:t>σ</m:t>
            </m:r>
          </m:e>
          <m:sub>
            <m:r>
              <m:t>U</m:t>
            </m:r>
          </m:sub>
        </m:sSub>
      </m:oMath>
      <w:r>
        <w:t xml:space="preserve"> </w:t>
      </w:r>
      <w:r>
        <w:t xml:space="preserve">indican que los territorios presentan densidades sistemáticamente distintas incluso después de controlar por las covariables auxiliares.</w:t>
      </w:r>
    </w:p>
    <w:p>
      <w:pPr>
        <w:pStyle w:val="BodyText"/>
      </w:pPr>
      <w:r>
        <w:t xml:space="preserve">Finalmente, la densidad latente</w:t>
      </w:r>
      <w:r>
        <w:t xml:space="preserve"> </w:t>
      </w:r>
      <m:oMath>
        <m:sSub>
          <m:e>
            <m:r>
              <m:t>δ</m:t>
            </m:r>
          </m:e>
          <m:sub>
            <m:r>
              <m:t>i</m:t>
            </m:r>
          </m:sub>
        </m:sSub>
      </m:oMath>
      <w:r>
        <w:t xml:space="preserve"> </w:t>
      </w:r>
      <w:r>
        <w:t xml:space="preserve">tiene una interpretación demográfica directa: representa el número estimado de personas por estructura habitacional en el segmento</w:t>
      </w:r>
      <w:r>
        <w:t xml:space="preserve"> </w:t>
      </w:r>
      <m:oMath>
        <m:r>
          <m:t>i</m:t>
        </m:r>
      </m:oMath>
      <w:r>
        <w:t xml:space="preserve">. Este parámetro puede utilizarse para comparar la intensidad de ocupación habitacional entre segmentos, identificar áreas de alta concentración y construir predicciones de población condicionadas al número de estructuras disponibles. Su distribución posterior provee una medida de incertidumbre que refleja tanto la variabilidad del conteo observado como la posición del segmento en la distribución log-normal especificada por el modelo.</w:t>
      </w:r>
    </w:p>
    <w:bookmarkEnd w:id="73"/>
    <w:bookmarkEnd w:id="74"/>
    <w:bookmarkStart w:id="108"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w:t>
      </w:r>
      <w:r>
        <w:t xml:space="preserve"> </w:t>
      </w: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simétricas, transformación logarítmica para variables de conteo con cola derecha, o normalización al intervalo unitario para índices y proporciones.</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mediante análisis de correlación previo a la estimación y selección de variables basada en criterios estadísticos, complementados por el efecto regularizador de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que penalizan moderadamente los coeficientes de gran magnitud y estabilizan la estimación en presencia de predictores correlacionados.</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107" w:name="X25e9eecc3378d2374cc2fb4875ea350d0c6d1b9"/>
    <w:p>
      <w:pPr>
        <w:pStyle w:val="Heading3"/>
      </w:pPr>
      <w:r>
        <w:rPr>
          <w:rStyle w:val="SectionNumber"/>
        </w:rPr>
        <w:t xml:space="preserve">4.2.4</w:t>
      </w:r>
      <w:r>
        <w:tab/>
      </w:r>
      <w:r>
        <w:t xml:space="preserve">Sobredispersión, offset y alternativas distribucionales</w:t>
      </w:r>
    </w:p>
    <w:p>
      <w:pPr>
        <w:pStyle w:val="FirstParagraph"/>
      </w:pPr>
      <w:r>
        <w:t xml:space="preserve">El diseño del modelo Poisson-lognormal incorpora tres elementos adicionales que merecen consideración específica: el mecanismo de control de sobredispersión a través de la distribución log-normal, el uso del número de estructuras como offset del proceso de conteo, y las alternativas distribucionales consideradas frente al modelo propuesto.</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Formalmente, el modelo puede reescribirse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donde</w:t>
      </w:r>
      <w:r>
        <w:t xml:space="preserve"> </w:t>
      </w:r>
      <m:oMath>
        <m:sSub>
          <m:e>
            <m:r>
              <m:t>ε</m:t>
            </m:r>
          </m:e>
          <m:sub>
            <m:r>
              <m:t>i</m:t>
            </m:r>
          </m:sub>
        </m:sSub>
        <m:r>
          <m:rPr>
            <m:sty m:val="p"/>
          </m:rPr>
          <m:t>=</m:t>
        </m:r>
        <m:r>
          <m:rPr>
            <m:sty m:val="p"/>
          </m:rPr>
          <m:t>log</m:t>
        </m:r>
        <m:r>
          <m:rPr>
            <m:sty m:val="p"/>
          </m:rPr>
          <m:t>(</m:t>
        </m:r>
        <m:sSub>
          <m:e>
            <m:r>
              <m:t>δ</m:t>
            </m:r>
          </m:e>
          <m:sub>
            <m:r>
              <m:t>i</m:t>
            </m:r>
          </m:sub>
        </m:sSub>
        <m:r>
          <m:rPr>
            <m:sty m:val="p"/>
          </m:rPr>
          <m:t>)</m:t>
        </m:r>
        <m:r>
          <m:rPr>
            <m:sty m:val="p"/>
          </m:rPr>
          <m:t>−</m:t>
        </m:r>
        <m:sSub>
          <m:e>
            <m:r>
              <m:t>μ</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es el error log-normal. 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se tendría</w:t>
      </w:r>
      <w:r>
        <w:t xml:space="preserve"> </w:t>
      </w:r>
      <m:oMath>
        <m:r>
          <m:rPr>
            <m:no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
          <m:e>
            <m:r>
              <m:t>λ</m:t>
            </m:r>
          </m:e>
          <m:sub>
            <m:r>
              <m:t>i</m:t>
            </m:r>
          </m:sub>
        </m:sSub>
      </m:oMath>
      <w:r>
        <w:t xml:space="preserve">. La introducción de</w:t>
      </w:r>
      <w:r>
        <w:t xml:space="preserve"> </w:t>
      </w:r>
      <m:oMath>
        <m:sSub>
          <m:e>
            <m:r>
              <m:t>δ</m:t>
            </m:r>
          </m:e>
          <m:sub>
            <m:r>
              <m:t>i</m:t>
            </m:r>
          </m:sub>
        </m:sSub>
      </m:oMath>
      <w:r>
        <w:t xml:space="preserve"> </w:t>
      </w:r>
      <w:r>
        <w:t xml:space="preserve">log-normal rompe esta restricción de equidispersión e induce la varianza marginal presentada en la sección anterior, cuyo exceso sobre la media es estrictamente positivo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este exceso: a mayor</w:t>
      </w:r>
      <w:r>
        <w:t xml:space="preserve"> </w:t>
      </w:r>
      <m:oMath>
        <m:r>
          <m:t>σ</m:t>
        </m:r>
      </m:oMath>
      <w:r>
        <w:t xml:space="preserve">, mayor sobredispersión relativa. Esta parametrización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rPr>
          <w:b/>
          <w:bCs/>
        </w:rPr>
        <w:t xml:space="preserve">Especificación alternativa.</w:t>
      </w:r>
      <w:r>
        <w:t xml:space="preserve"> </w:t>
      </w:r>
      <w:r>
        <w:t xml:space="preserve">Un modelo de Poisson con efectos aleatorios gaussianos no estructurados en el predictor lineal —sin el componente de densidad latente— constituye una alternativa computacionalmente más sencilla que puede resultar apropiada cuando la sobredispersión es moderada. En ese caso, el predictor lineal incluye un término de error no estructurado</w:t>
      </w:r>
      <w:r>
        <w:t xml:space="preserve"> </w:t>
      </w:r>
      <m:oMath>
        <m:sSub>
          <m:e>
            <m:r>
              <m:t>u</m:t>
            </m:r>
          </m:e>
          <m:sub>
            <m:r>
              <m:t>i</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que absorbe la variabilidad residual no capturada por los efectos fijos ni por los efectos aleatorios territoriales: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sSub>
            <m:e>
              <m:r>
                <m:t>u</m:t>
              </m:r>
            </m:e>
            <m:sub>
              <m:r>
                <m:t>i</m:t>
              </m:r>
            </m:sub>
          </m:sSub>
          <m:r>
            <m:rPr>
              <m:sty m:val="p"/>
            </m:rPr>
            <m:t>+</m:t>
          </m:r>
          <m:r>
            <m:rPr>
              <m:sty m:val="p"/>
            </m:rPr>
            <m:t>log</m:t>
          </m:r>
          <m:r>
            <m:rPr>
              <m:sty m:val="p"/>
            </m:rPr>
            <m:t>(</m:t>
          </m:r>
          <m:sSub>
            <m:e>
              <m:r>
                <m:t>V</m:t>
              </m:r>
            </m:e>
            <m:sub>
              <m:r>
                <m:t>i</m:t>
              </m:r>
            </m:sub>
          </m:sSub>
          <m:r>
            <m:rPr>
              <m:sty m:val="p"/>
            </m:rPr>
            <m:t>)</m:t>
          </m:r>
        </m:oMath>
      </m:oMathPara>
    </w:p>
    <w:p>
      <w:pPr>
        <w:pStyle w:val="FirstParagraph"/>
      </w:pPr>
      <w:r>
        <w:t xml:space="preserve">La elección entre estas especificaciones debe fundamentarse en el diagnóstico exploratorio de los datos —en particular, en la relación empírica entre la media y la varianza de los conteos por segmento— y en la comparación posterior mediante criterios de información.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Start w:id="106" w:name="refs"/>
    <w:bookmarkStart w:id="78"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78"/>
    <w:bookmarkStart w:id="79"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79"/>
    <w:bookmarkStart w:id="81"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80">
        <w:r>
          <w:rPr>
            <w:rStyle w:val="Hyperlink"/>
          </w:rPr>
          <w:t xml:space="preserve">https://doi.org/10.1214/13-BA820</w:t>
        </w:r>
      </w:hyperlink>
      <w:r>
        <w:t xml:space="preserve">.</w:t>
      </w:r>
    </w:p>
    <w:bookmarkEnd w:id="81"/>
    <w:bookmarkStart w:id="82"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82"/>
    <w:bookmarkStart w:id="84"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83">
        <w:r>
          <w:rPr>
            <w:rStyle w:val="Hyperlink"/>
          </w:rPr>
          <w:t xml:space="preserve">https://doi.org/10.18637/jss.v076.i01</w:t>
        </w:r>
      </w:hyperlink>
      <w:r>
        <w:t xml:space="preserve">.</w:t>
      </w:r>
    </w:p>
    <w:bookmarkEnd w:id="84"/>
    <w:bookmarkStart w:id="85"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85"/>
    <w:bookmarkStart w:id="86"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86"/>
    <w:bookmarkStart w:id="8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87"/>
    <w:bookmarkStart w:id="89"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88">
        <w:r>
          <w:rPr>
            <w:rStyle w:val="Hyperlink"/>
          </w:rPr>
          <w:t xml:space="preserve">https://doi.org/10.1016/j.rse.2017.06.031</w:t>
        </w:r>
      </w:hyperlink>
      <w:r>
        <w:t xml:space="preserve">.</w:t>
      </w:r>
    </w:p>
    <w:bookmarkEnd w:id="89"/>
    <w:bookmarkStart w:id="90"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90"/>
    <w:bookmarkStart w:id="91"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91"/>
    <w:bookmarkStart w:id="92"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92"/>
    <w:bookmarkStart w:id="93"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93"/>
    <w:bookmarkStart w:id="94"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94"/>
    <w:bookmarkStart w:id="95"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95"/>
    <w:bookmarkStart w:id="97"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96">
        <w:r>
          <w:rPr>
            <w:rStyle w:val="Hyperlink"/>
          </w:rPr>
          <w:t xml:space="preserve">https://doi.org/10.1073/pnas.1211452109</w:t>
        </w:r>
      </w:hyperlink>
      <w:r>
        <w:t xml:space="preserve">.</w:t>
      </w:r>
    </w:p>
    <w:bookmarkEnd w:id="97"/>
    <w:bookmarkStart w:id="98"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98"/>
    <w:bookmarkStart w:id="99"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99"/>
    <w:bookmarkStart w:id="100"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00"/>
    <w:bookmarkStart w:id="102"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01">
        <w:r>
          <w:rPr>
            <w:rStyle w:val="Hyperlink"/>
          </w:rPr>
          <w:t xml:space="preserve">https://doi.org/10.1007/s11222-016-9696-4</w:t>
        </w:r>
      </w:hyperlink>
      <w:r>
        <w:t xml:space="preserve">.</w:t>
      </w:r>
    </w:p>
    <w:bookmarkEnd w:id="102"/>
    <w:bookmarkStart w:id="103"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03"/>
    <w:bookmarkStart w:id="105"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04">
        <w:r>
          <w:rPr>
            <w:rStyle w:val="Hyperlink"/>
          </w:rPr>
          <w:t xml:space="preserve">https://doi.org/10.1080/01621459.2012.737729</w:t>
        </w:r>
      </w:hyperlink>
      <w:r>
        <w:t xml:space="preserve">.</w:t>
      </w:r>
    </w:p>
    <w:bookmarkEnd w:id="105"/>
    <w:bookmarkEnd w:id="106"/>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01" Target="https://doi.org/10.1007/s11222-016-9696-4" TargetMode="External" /><Relationship Type="http://schemas.openxmlformats.org/officeDocument/2006/relationships/hyperlink" Id="rId88" Target="https://doi.org/10.1016/j.rse.2017.06.031" TargetMode="External" /><Relationship Type="http://schemas.openxmlformats.org/officeDocument/2006/relationships/hyperlink" Id="rId96" Target="https://doi.org/10.1073/pnas.1211452109" TargetMode="External" /><Relationship Type="http://schemas.openxmlformats.org/officeDocument/2006/relationships/hyperlink" Id="rId104" Target="https://doi.org/10.1080/01621459.2012.737729" TargetMode="External" /><Relationship Type="http://schemas.openxmlformats.org/officeDocument/2006/relationships/hyperlink" Id="rId80" Target="https://doi.org/10.1214/13-BA820" TargetMode="External" /><Relationship Type="http://schemas.openxmlformats.org/officeDocument/2006/relationships/hyperlink" Id="rId83" Target="https://doi.org/10.18637/jss.v076.i01" TargetMode="External" /><Relationship Type="http://schemas.openxmlformats.org/officeDocument/2006/relationships/hyperlink" Id="rId111" Target="mailto:andres.gutierrez@cepal.org" TargetMode="External" /><Relationship Type="http://schemas.openxmlformats.org/officeDocument/2006/relationships/hyperlink" Id="rId113"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1222-016-9696-4" TargetMode="External" /><Relationship Type="http://schemas.openxmlformats.org/officeDocument/2006/relationships/hyperlink" Id="rId88" Target="https://doi.org/10.1016/j.rse.2017.06.031" TargetMode="External" /><Relationship Type="http://schemas.openxmlformats.org/officeDocument/2006/relationships/hyperlink" Id="rId96" Target="https://doi.org/10.1073/pnas.1211452109" TargetMode="External" /><Relationship Type="http://schemas.openxmlformats.org/officeDocument/2006/relationships/hyperlink" Id="rId104" Target="https://doi.org/10.1080/01621459.2012.737729" TargetMode="External" /><Relationship Type="http://schemas.openxmlformats.org/officeDocument/2006/relationships/hyperlink" Id="rId80" Target="https://doi.org/10.1214/13-BA820" TargetMode="External" /><Relationship Type="http://schemas.openxmlformats.org/officeDocument/2006/relationships/hyperlink" Id="rId83" Target="https://doi.org/10.18637/jss.v076.i01" TargetMode="External" /><Relationship Type="http://schemas.openxmlformats.org/officeDocument/2006/relationships/hyperlink" Id="rId111" Target="mailto:andres.gutierrez@cepal.org" TargetMode="External" /><Relationship Type="http://schemas.openxmlformats.org/officeDocument/2006/relationships/hyperlink" Id="rId113"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2026-08-02T21:11:07Z</dcterms:created>
  <dcterms:modified xsi:type="dcterms:W3CDTF">2026-08-02T21:11:07Z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agosto de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