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julio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t>D</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6"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t>D</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5"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4"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3" w:name="cod-relacion-variables"/>
    <w:p>
      <w:pPr>
        <w:pStyle w:val="SourceCode"/>
      </w:pPr>
      <w:r>
        <w:rPr>
          <w:rStyle w:val="FunctionTok"/>
        </w:rPr>
        <w:t xml:space="preserve">library</w:t>
      </w:r>
      <w:r>
        <w:rPr>
          <w:rStyle w:val="NormalTok"/>
        </w:rPr>
        <w:t xml:space="preserve">(corrplot)</w:t>
      </w:r>
      <w:r>
        <w:br/>
      </w: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FunctionTok"/>
        </w:rPr>
        <w:t xml:space="preserve">corrplot</w:t>
      </w:r>
      <w:r>
        <w:rPr>
          <w:rStyle w:val="NormalTok"/>
        </w:rPr>
        <w:t xml:space="preserve">(cor_mat,</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number.cex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1.1</w:t>
      </w:r>
      <w:r>
        <w:rPr>
          <w:rStyle w:val="NormalTok"/>
        </w:rPr>
        <w:t xml:space="preserve">)</w:t>
      </w:r>
    </w:p>
    <w:p>
      <w:pPr>
        <w:pStyle w:val="FirstParagraph"/>
      </w:pPr>
      <w:r>
        <w:drawing>
          <wp:inline>
            <wp:extent cx="4267200" cy="4267200"/>
            <wp:effectExtent b="0" l="0" r="0" t="0"/>
            <wp:docPr descr="" title="" id="61" name="Picture"/>
            <a:graphic>
              <a:graphicData uri="http://schemas.openxmlformats.org/drawingml/2006/picture">
                <pic:pic>
                  <pic:nvPicPr>
                    <pic:cNvPr descr="05-InsumosModelamiento_files/figure-docx/relacion-variables-1.png" id="62" name="Picture"/>
                    <pic:cNvPicPr>
                      <a:picLocks noChangeArrowheads="1" noChangeAspect="1"/>
                    </pic:cNvPicPr>
                  </pic:nvPicPr>
                  <pic:blipFill>
                    <a:blip r:embed="rId60"/>
                    <a:stretch>
                      <a:fillRect/>
                    </a:stretch>
                  </pic:blipFill>
                  <pic:spPr bwMode="auto">
                    <a:xfrm>
                      <a:off x="0" y="0"/>
                      <a:ext cx="4267200" cy="4267200"/>
                    </a:xfrm>
                    <a:prstGeom prst="rect">
                      <a:avLst/>
                    </a:prstGeom>
                    <a:noFill/>
                    <a:ln w="9525">
                      <a:noFill/>
                      <a:headEnd/>
                      <a:tailEnd/>
                    </a:ln>
                  </pic:spPr>
                </pic:pic>
              </a:graphicData>
            </a:graphic>
          </wp:inline>
        </w:drawing>
      </w:r>
    </w:p>
    <w:p>
      <w:pPr>
        <w:pStyle w:val="SourceCode"/>
      </w:pP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car</w:t>
      </w:r>
      <w:r>
        <w:rPr>
          <w:rStyle w:val="SpecialCharTok"/>
        </w:rPr>
        <w:t xml:space="preserve">::</w:t>
      </w:r>
      <w:r>
        <w:rPr>
          <w:rStyle w:val="FunctionTok"/>
        </w:rPr>
        <w:t xml:space="preserve">vif</w:t>
      </w:r>
      <w:r>
        <w:rPr>
          <w:rStyle w:val="NormalTok"/>
        </w:rPr>
        <w:t xml:space="preserve">(modelo_ols)</w:t>
      </w:r>
    </w:p>
    <w:p>
      <w:pPr>
        <w:pStyle w:val="SourceCode"/>
      </w:pPr>
      <w:r>
        <w:rPr>
          <w:rStyle w:val="VerbatimChar"/>
        </w:rPr>
        <w:t xml:space="preserve">##     luminosidad area_construida     dist_urbano </w:t>
      </w:r>
      <w:r>
        <w:br/>
      </w:r>
      <w:r>
        <w:rPr>
          <w:rStyle w:val="VerbatimChar"/>
        </w:rPr>
        <w:t xml:space="preserve">##        1.005054        1.005835        1.002991</w:t>
      </w:r>
    </w:p>
    <w:bookmarkEnd w:id="63"/>
    <w:p>
      <w:pPr>
        <w:pStyle w:val="FirstParagraph"/>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rPr>
          <w:b/>
          <w:bCs/>
        </w:rPr>
        <w:t xml:space="preserve">Análisis por estrato territorial.</w:t>
      </w:r>
      <w:r>
        <w:t xml:space="preserve"> </w:t>
      </w:r>
      <w:r>
        <w:t xml:space="preserve">La relación entre la variable dependiente y las covariables puede variar entre distintos estratos territoriales —urbano/rural, región geográfica, nivel de cobertura—. La exploración estratificada permite detectar interacciones relevantes que podrían justificar la inclusión de términos de interacción o la estimación diferenciada de coeficientes por grupo.</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y auditabilidad de las estimaciones finales.</w:t>
      </w:r>
    </w:p>
    <w:bookmarkEnd w:id="64"/>
    <w:bookmarkEnd w:id="65"/>
    <w:bookmarkEnd w:id="66"/>
    <w:bookmarkStart w:id="102"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descrito los procedimientos de preparación de imágenes satelitales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p>
    <w:p>
      <w:pPr>
        <w:pStyle w:val="BodyText"/>
      </w:pPr>
      <w:r>
        <w:t xml:space="preserve">La estructura del capítulo se organiza en dos secciones principales. La primera presenta la especificación probabilística completa del modelo: definición formal, función de verosimilitud, distribuciones a priori, distribución posterior e interpretación de parámetros. La segunda describe en detalle los componentes del modelo: efectos fijos, efectos aleatorios, mecanismos de interacción y elementos adicionales como el offset, la sobredispersión y las alternativas distribucionales consideradas en el diseño.</w:t>
      </w:r>
    </w:p>
    <w:bookmarkStart w:id="72" w:name="modelo-poisson-lognormal"/>
    <w:p>
      <w:pPr>
        <w:pStyle w:val="Heading2"/>
      </w:pPr>
      <w:r>
        <w:rPr>
          <w:rStyle w:val="SectionNumber"/>
        </w:rPr>
        <w:t xml:space="preserve">4.1</w:t>
      </w:r>
      <w:r>
        <w:tab/>
      </w:r>
      <w:r>
        <w:t xml:space="preserve">Modelo Poisson-lognormal</w:t>
      </w:r>
    </w:p>
    <w:bookmarkStart w:id="67" w:name="definición-formal"/>
    <w:p>
      <w:pPr>
        <w:pStyle w:val="Heading3"/>
      </w:pPr>
      <w:r>
        <w:rPr>
          <w:rStyle w:val="SectionNumber"/>
        </w:rPr>
        <w:t xml:space="preserve">4.1.1</w:t>
      </w:r>
      <w:r>
        <w:tab/>
      </w:r>
      <w:r>
        <w:t xml:space="preserve">Definición formal</w:t>
      </w:r>
    </w:p>
    <w:p>
      <w:pPr>
        <w:pStyle w:val="FirstParagraph"/>
      </w:pPr>
      <w:r>
        <w:t xml:space="preserve">La especificación del modelo parte de dos cantidades fundamentales definidas para cada segmento censal</w:t>
      </w:r>
      <w:r>
        <w:t xml:space="preserve"> </w:t>
      </w:r>
      <m:oMath>
        <m:r>
          <m:t>i</m:t>
        </m:r>
      </m:oMath>
      <w:r>
        <w:t xml:space="preserve"> </w:t>
      </w:r>
      <w:r>
        <w:t xml:space="preserve">perteneciente al conjunto</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D</m:t>
        </m:r>
        <m:r>
          <m:rPr>
            <m:sty m:val="p"/>
          </m:rPr>
          <m:t>}</m:t>
        </m:r>
      </m:oMath>
      <w:r>
        <w:t xml:space="preserve"> </w:t>
      </w:r>
      <w:r>
        <w:t xml:space="preserve">de todos los segmentos del país. La primera es el conteo de población observado</w:t>
      </w:r>
      <w:r>
        <w:t xml:space="preserve"> </w:t>
      </w:r>
      <m:oMath>
        <m:sSub>
          <m:e>
            <m:r>
              <m:t>Y</m:t>
            </m:r>
          </m:e>
          <m:sub>
            <m:r>
              <m:t>i</m:t>
            </m:r>
          </m:sub>
        </m:sSub>
      </m:oMath>
      <w:r>
        <w:t xml:space="preserve">, disponible únicamente para los segmentos que alcanzaron cobertura efectiva durante el operativo censal. La segunda es el número de estructuras habitacionales</w:t>
      </w:r>
      <w:r>
        <w:t xml:space="preserve"> </w:t>
      </w:r>
      <m:oMath>
        <m:sSub>
          <m:e>
            <m:r>
              <m:t>V</m:t>
            </m:r>
          </m:e>
          <m:sub>
            <m:r>
              <m:t>i</m:t>
            </m:r>
          </m:sub>
        </m:sSub>
      </m:oMath>
      <w:r>
        <w:t xml:space="preserve">, derivado del preconteo operativo o de fuentes satelitales de área construida, y disponible para todos los segmentos del país.</w:t>
      </w:r>
    </w:p>
    <w:p>
      <w:pPr>
        <w:pStyle w:val="BodyText"/>
      </w:pPr>
      <w:r>
        <w:rPr>
          <w:b/>
          <w:bCs/>
        </w:rPr>
        <w:t xml:space="preserve">Nota de notación.</w:t>
      </w:r>
      <w:r>
        <w:t xml:space="preserve"> </w:t>
      </w:r>
      <w:r>
        <w:t xml:space="preserve">La cardinalidad</w:t>
      </w:r>
      <w:r>
        <w:t xml:space="preserve"> </w:t>
      </w:r>
      <m:oMath>
        <m:r>
          <m:t>D</m:t>
        </m:r>
        <m:r>
          <m:rPr>
            <m:sty m:val="p"/>
          </m:rPr>
          <m:t>=</m:t>
        </m:r>
        <m:r>
          <m:rPr>
            <m:sty m:val="p"/>
          </m:rPr>
          <m:t>|</m:t>
        </m:r>
        <m:r>
          <m:rPr>
            <m:scr m:val="script"/>
            <m:sty m:val="p"/>
          </m:rPr>
          <m:t>S</m:t>
        </m:r>
        <m:r>
          <m:rPr>
            <m:sty m:val="p"/>
          </m:rPr>
          <m:t>|</m:t>
        </m:r>
      </m:oMath>
      <w:r>
        <w:t xml:space="preserve"> </w:t>
      </w:r>
      <w:r>
        <w:t xml:space="preserve">corresponde al mismo conjunto de segmentos denotado</w:t>
      </w:r>
      <w:r>
        <w:t xml:space="preserve"> </w:t>
      </w:r>
      <m:oMath>
        <m:r>
          <m:rPr>
            <m:sty m:val="p"/>
          </m:rPr>
          <m:t>{</m:t>
        </m:r>
        <m:r>
          <m:t>1</m:t>
        </m:r>
        <m:r>
          <m:rPr>
            <m:sty m:val="p"/>
          </m:rPr>
          <m:t>,</m:t>
        </m:r>
        <m:r>
          <m:rPr>
            <m:sty m:val="p"/>
          </m:rPr>
          <m:t>…</m:t>
        </m:r>
        <m:r>
          <m:rPr>
            <m:sty m:val="p"/>
          </m:rPr>
          <m:t>,</m:t>
        </m:r>
        <m:r>
          <m:t>I</m:t>
        </m:r>
        <m:r>
          <m:rPr>
            <m:sty m:val="p"/>
          </m:rPr>
          <m:t>}</m:t>
        </m:r>
      </m:oMath>
      <w:r>
        <w:t xml:space="preserve"> </w:t>
      </w:r>
      <w:r>
        <w:t xml:space="preserve">en los Capítulos</w:t>
      </w:r>
      <w:r>
        <w:t xml:space="preserve"> </w:t>
      </w:r>
      <w:r>
        <w:t xml:space="preserve">1</w:t>
      </w:r>
      <w:r>
        <w:t xml:space="preserve"> </w:t>
      </w:r>
      <w:r>
        <w:t xml:space="preserve">y</w:t>
      </w:r>
      <w:r>
        <w:t xml:space="preserve"> </w:t>
      </w:r>
      <w:r>
        <w:t xml:space="preserve">3</w:t>
      </w:r>
      <w:r>
        <w:t xml:space="preserve">; se adopta aquí la notación</w:t>
      </w:r>
      <w:r>
        <w:t xml:space="preserve"> </w:t>
      </w:r>
      <m:oMath>
        <m:r>
          <m:t>D</m:t>
        </m:r>
      </m:oMath>
      <w:r>
        <w:t xml:space="preserve"> </w:t>
      </w:r>
      <w:r>
        <w:t xml:space="preserve">(</w:t>
      </w:r>
      <m:oMath>
        <m:sSub>
          <m:e>
            <m:r>
              <m:t>D</m:t>
            </m:r>
          </m:e>
          <m:sub>
            <m:r>
              <m:t>o</m:t>
            </m:r>
            <m:r>
              <m:t>b</m:t>
            </m:r>
            <m:r>
              <m:t>s</m:t>
            </m:r>
          </m:sub>
        </m:sSub>
      </m:oMath>
      <w:r>
        <w:t xml:space="preserve">,</w:t>
      </w:r>
      <w:r>
        <w:t xml:space="preserve"> </w:t>
      </w:r>
      <m:oMath>
        <m:sSub>
          <m:e>
            <m:r>
              <m:t>D</m:t>
            </m:r>
          </m:e>
          <m:sub>
            <m:r>
              <m:t>t</m:t>
            </m:r>
            <m:r>
              <m:t>o</m:t>
            </m:r>
            <m:r>
              <m:t>t</m:t>
            </m:r>
          </m:sub>
        </m:sSub>
      </m:oMath>
      <w:r>
        <w:t xml:space="preserve">) por su correspondencia directa con la implementación computacional en Stan (Sección</w:t>
      </w:r>
      <w:r>
        <w:t xml:space="preserve"> </w:t>
      </w:r>
      <w:r>
        <w:t xml:space="preserve">??</w:t>
      </w:r>
      <w:r>
        <w:t xml:space="preserve"> </w:t>
      </w:r>
      <w:r>
        <w:t xml:space="preserve">del capítulo siguiente). El número de estructuras habitacionales</w:t>
      </w:r>
      <w:r>
        <w:t xml:space="preserve"> </w:t>
      </w:r>
      <m:oMath>
        <m:sSub>
          <m:e>
            <m:r>
              <m:t>V</m:t>
            </m:r>
          </m:e>
          <m:sub>
            <m:r>
              <m:t>i</m:t>
            </m:r>
          </m:sub>
        </m:sSub>
      </m:oMath>
      <w:r>
        <w:t xml:space="preserve"> </w:t>
      </w:r>
      <w:r>
        <w:t xml:space="preserve">es el mismo preconteo introducido en el Capítulo</w:t>
      </w:r>
      <w:r>
        <w:t xml:space="preserve"> </w:t>
      </w:r>
      <w:r>
        <w:t xml:space="preserve">2</w:t>
      </w:r>
      <w:r>
        <w:t xml:space="preserve">. Finalmente, ni</w:t>
      </w:r>
      <w:r>
        <w:t xml:space="preserve"> </w:t>
      </w:r>
      <m:oMath>
        <m:r>
          <m:t>D</m:t>
        </m:r>
      </m:oMath>
      <w:r>
        <w:t xml:space="preserve"> </w:t>
      </w:r>
      <w:r>
        <w:t xml:space="preserve">ni sus variantes indexadas deben confundirse con la densidad poblacional por área</w:t>
      </w:r>
      <w:r>
        <w:t xml:space="preserve"> </w:t>
      </w:r>
      <m:oMath>
        <m:sSub>
          <m:e>
            <m:r>
              <m:t>D</m:t>
            </m:r>
          </m:e>
          <m:sub>
            <m:r>
              <m:t>i</m:t>
            </m:r>
          </m:sub>
        </m:sSub>
        <m:r>
          <m:rPr>
            <m:sty m:val="p"/>
          </m:rPr>
          <m:t>=</m:t>
        </m:r>
        <m:sSub>
          <m:e>
            <m:r>
              <m:t>N</m:t>
            </m:r>
          </m:e>
          <m:sub>
            <m:r>
              <m:t>i</m:t>
            </m:r>
          </m:sub>
        </m:sSub>
        <m:r>
          <m:rPr>
            <m:sty m:val="p"/>
          </m:rPr>
          <m:t>/</m:t>
        </m:r>
        <m:sSub>
          <m:e>
            <m:r>
              <m:t>A</m:t>
            </m:r>
          </m:e>
          <m:sub>
            <m:r>
              <m:t>i</m:t>
            </m:r>
          </m:sub>
        </m:sSub>
      </m:oMath>
      <w:r>
        <w:t xml:space="preserve"> </w:t>
      </w:r>
      <w:r>
        <w:t xml:space="preserve">definida en el Capítulo</w:t>
      </w:r>
      <w:r>
        <w:t xml:space="preserve"> </w:t>
      </w:r>
      <w:r>
        <w:t xml:space="preserve">1</w:t>
      </w:r>
      <w:r>
        <w:t xml:space="preserve">: la densidad de personas por estructura habitacional propia de este capítulo se denota</w:t>
      </w:r>
      <w:r>
        <w:t xml:space="preserve"> </w:t>
      </w:r>
      <m:oMath>
        <m:sSub>
          <m:e>
            <m:r>
              <m:t>δ</m:t>
            </m:r>
          </m:e>
          <m:sub>
            <m:r>
              <m:t>i</m:t>
            </m:r>
          </m:sub>
        </m:sSub>
      </m:oMath>
      <w:r>
        <w:t xml:space="preserve">.</w:t>
      </w:r>
    </w:p>
    <w:p>
      <w:pPr>
        <w:pStyle w:val="BodyText"/>
      </w:pPr>
      <w:r>
        <w:t xml:space="preserve">Sea</w:t>
      </w:r>
      <w:r>
        <w:t xml:space="preserve"> </w:t>
      </w:r>
      <m:oMath>
        <m:sSub>
          <m:e>
            <m:r>
              <m:rPr>
                <m:scr m:val="script"/>
                <m:sty m:val="p"/>
              </m:rPr>
              <m:t>S</m:t>
            </m:r>
          </m:e>
          <m:sub>
            <m:r>
              <m:t>o</m:t>
            </m:r>
            <m:r>
              <m:t>b</m:t>
            </m:r>
            <m:r>
              <m:t>s</m:t>
            </m:r>
          </m:sub>
        </m:sSub>
        <m:r>
          <m:rPr>
            <m:sty m:val="p"/>
          </m:rPr>
          <m:t>⊂</m:t>
        </m:r>
        <m:r>
          <m:rPr>
            <m:scr m:val="script"/>
            <m:sty m:val="p"/>
          </m:rPr>
          <m:t>S</m:t>
        </m:r>
      </m:oMath>
      <w:r>
        <w:t xml:space="preserve"> </w:t>
      </w:r>
      <w:r>
        <w:t xml:space="preserve">el subconjunto de segmentos con información censal observada, de cardinalidad</w:t>
      </w:r>
      <w:r>
        <w:t xml:space="preserve"> </w:t>
      </w:r>
      <m:oMath>
        <m:sSub>
          <m:e>
            <m:r>
              <m:t>D</m:t>
            </m:r>
          </m:e>
          <m:sub>
            <m:r>
              <m:t>o</m:t>
            </m:r>
            <m:r>
              <m:t>b</m:t>
            </m:r>
            <m:r>
              <m:t>s</m:t>
            </m:r>
          </m:sub>
        </m:sSub>
        <m:r>
          <m:rPr>
            <m:sty m:val="p"/>
          </m:rPr>
          <m:t>=</m:t>
        </m:r>
        <m:r>
          <m:rPr>
            <m:sty m:val="p"/>
          </m:rPr>
          <m:t>|</m:t>
        </m:r>
        <m:sSub>
          <m:e>
            <m:r>
              <m:rPr>
                <m:scr m:val="script"/>
                <m:sty m:val="p"/>
              </m:rPr>
              <m:t>S</m:t>
            </m:r>
          </m:e>
          <m:sub>
            <m:r>
              <m:t>o</m:t>
            </m:r>
            <m:r>
              <m:t>b</m:t>
            </m:r>
            <m:r>
              <m:t>s</m:t>
            </m:r>
          </m:sub>
        </m:sSub>
        <m:r>
          <m:rPr>
            <m:sty m:val="p"/>
          </m:rPr>
          <m:t>|</m:t>
        </m:r>
      </m:oMath>
      <w:r>
        <w:t xml:space="preserve">. El modelo distingue explícitamente entre estos dos conjuntos: los parámetros se estiman a partir de</w:t>
      </w:r>
      <w:r>
        <w:t xml:space="preserve"> </w:t>
      </w:r>
      <m:oMath>
        <m:sSub>
          <m:e>
            <m:r>
              <m:rPr>
                <m:scr m:val="script"/>
                <m:sty m:val="p"/>
              </m:rPr>
              <m:t>S</m:t>
            </m:r>
          </m:e>
          <m:sub>
            <m:r>
              <m:t>o</m:t>
            </m:r>
            <m:r>
              <m:t>b</m:t>
            </m:r>
            <m:r>
              <m:t>s</m:t>
            </m:r>
          </m:sub>
        </m:sSub>
      </m:oMath>
      <w:r>
        <w:t xml:space="preserve"> </w:t>
      </w:r>
      <w:r>
        <w:t xml:space="preserve">y se utilizan posteriormente para generar predicciones sobre la totalidad de</w:t>
      </w:r>
      <w:r>
        <w:t xml:space="preserve"> </w:t>
      </w:r>
      <m:oMath>
        <m:r>
          <m:rPr>
            <m:scr m:val="script"/>
            <m:sty m:val="p"/>
          </m:rPr>
          <m:t>S</m:t>
        </m:r>
      </m:oMath>
      <w:r>
        <w:t xml:space="preserve">, incluyendo los segmentos no observados en el operativo censal.</w:t>
      </w:r>
    </w:p>
    <w:p>
      <w:pPr>
        <w:pStyle w:val="BodyText"/>
      </w:pPr>
      <w:r>
        <w:t xml:space="preserve">El elemento central del modelo es la densidad poblacional</w:t>
      </w:r>
      <w:r>
        <w:t xml:space="preserve"> </w:t>
      </w:r>
      <m:oMath>
        <m:sSub>
          <m:e>
            <m:r>
              <m:t>δ</m:t>
            </m:r>
          </m:e>
          <m:sub>
            <m:r>
              <m:t>i</m:t>
            </m:r>
          </m:sub>
        </m:sSub>
      </m:oMath>
      <w:r>
        <w:t xml:space="preserve">, definida como el número esperado de personas por estructura habitacional en el segmento</w:t>
      </w:r>
      <w:r>
        <w:t xml:space="preserve"> </w:t>
      </w:r>
      <m:oMath>
        <m:r>
          <m:t>i</m:t>
        </m:r>
      </m:oMath>
      <w:r>
        <w:t xml:space="preserve">:</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oMath>
      </m:oMathPara>
    </w:p>
    <w:p>
      <w:pPr>
        <w:pStyle w:val="FirstParagraph"/>
      </w:pPr>
      <w:r>
        <w:t xml:space="preserve">donde</w:t>
      </w:r>
      <w:r>
        <w:t xml:space="preserve"> </w:t>
      </w:r>
      <m:oMath>
        <m:sSub>
          <m:e>
            <m:r>
              <m:t>N</m:t>
            </m:r>
          </m:e>
          <m:sub>
            <m:r>
              <m:t>i</m:t>
            </m:r>
          </m:sub>
        </m:sSub>
      </m:oMath>
      <w:r>
        <w:t xml:space="preserve"> </w:t>
      </w:r>
      <w:r>
        <w:t xml:space="preserve">denota la población verdadera del segmento, tal como se definió en el capítulo de conceptos generales. Esta cantidad no es directamente observable sino que debe inferirse a partir de la información disponible. La densidad</w:t>
      </w:r>
      <w:r>
        <w:t xml:space="preserve"> </w:t>
      </w:r>
      <m:oMath>
        <m:sSub>
          <m:e>
            <m:r>
              <m:t>δ</m:t>
            </m:r>
          </m:e>
          <m:sub>
            <m:r>
              <m:t>i</m:t>
            </m:r>
          </m:sub>
        </m:sSub>
      </m:oMath>
      <w:r>
        <w:t xml:space="preserve"> </w:t>
      </w:r>
      <w:r>
        <w:t xml:space="preserve">representa una medida de intensidad específica de ocupación habitacional que permite comparar segmentos con distinto número de estructuras bajo una escala común y facilita la incorporación del número de viviendas como referencia natural del proceso de conteo.</w:t>
      </w:r>
    </w:p>
    <w:p>
      <w:pPr>
        <w:pStyle w:val="BodyText"/>
      </w:pPr>
      <w:r>
        <w:t xml:space="preserve">El modelo Poisson-lognormal se formula mediante dos componentes probabilísticos anidados. En el primer nivel, la densidad latente</w:t>
      </w:r>
      <w:r>
        <w:t xml:space="preserve"> </w:t>
      </w:r>
      <m:oMath>
        <m:sSub>
          <m:e>
            <m:r>
              <m:t>δ</m:t>
            </m:r>
          </m:e>
          <m:sub>
            <m:r>
              <m:t>i</m:t>
            </m:r>
          </m:sub>
        </m:sSub>
      </m:oMath>
      <w:r>
        <w:t xml:space="preserve"> </w:t>
      </w:r>
      <w:r>
        <w:t xml:space="preserve">sigue una distribución log-normal con parámetro de localización</w:t>
      </w:r>
      <w:r>
        <w:t xml:space="preserve"> </w:t>
      </w:r>
      <m:oMath>
        <m:sSub>
          <m:e>
            <m:r>
              <m:t>μ</m:t>
            </m:r>
          </m:e>
          <m:sub>
            <m:r>
              <m:t>i</m:t>
            </m:r>
          </m:sub>
        </m:sSub>
      </m:oMath>
      <w:r>
        <w:t xml:space="preserve"> </w:t>
      </w:r>
      <w:r>
        <w:t xml:space="preserve">y parámetro de escala</w:t>
      </w:r>
      <w:r>
        <w:t xml:space="preserve"> </w:t>
      </w:r>
      <m:oMath>
        <m:r>
          <m:t>σ</m:t>
        </m:r>
      </m:oMath>
      <w:r>
        <w:t xml:space="preserve">:</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r>
            <m:t>  </m:t>
          </m:r>
          <m:r>
            <m:t>i</m:t>
          </m:r>
          <m:r>
            <m:rPr>
              <m:sty m:val="p"/>
            </m:rPr>
            <m:t>∈</m:t>
          </m:r>
          <m:sSub>
            <m:e>
              <m:r>
                <m:rPr>
                  <m:scr m:val="script"/>
                  <m:sty m:val="p"/>
                </m:rPr>
                <m:t>S</m:t>
              </m:r>
            </m:e>
            <m:sub>
              <m:r>
                <m:t>o</m:t>
              </m:r>
              <m:r>
                <m:t>b</m:t>
              </m:r>
              <m:r>
                <m:t>s</m:t>
              </m:r>
            </m:sub>
          </m:sSub>
        </m:oMath>
      </m:oMathPara>
    </w:p>
    <w:p>
      <w:pPr>
        <w:pStyle w:val="FirstParagraph"/>
      </w:pPr>
      <w:r>
        <w:t xml:space="preserve">La distribución log-normal garantiza que</w:t>
      </w:r>
      <w:r>
        <w:t xml:space="preserve"> </w:t>
      </w:r>
      <m:oMath>
        <m:sSub>
          <m:e>
            <m:r>
              <m:t>δ</m:t>
            </m:r>
          </m:e>
          <m:sub>
            <m:r>
              <m:t>i</m:t>
            </m:r>
          </m:sub>
        </m:sSub>
        <m:r>
          <m:rPr>
            <m:sty m:val="p"/>
          </m:rPr>
          <m:t>&gt;</m:t>
        </m:r>
        <m:r>
          <m:t>0</m:t>
        </m:r>
      </m:oMath>
      <w:r>
        <w:t xml:space="preserve"> </w:t>
      </w:r>
      <w:r>
        <w:t xml:space="preserve">por construcción, lo cual es consistente con la interpretación de</w:t>
      </w:r>
      <w:r>
        <w:t xml:space="preserve"> </w:t>
      </w:r>
      <m:oMath>
        <m:sSub>
          <m:e>
            <m:r>
              <m:t>δ</m:t>
            </m:r>
          </m:e>
          <m:sub>
            <m:r>
              <m:t>i</m:t>
            </m:r>
          </m:sub>
        </m:sSub>
      </m:oMath>
      <w:r>
        <w:t xml:space="preserve"> </w:t>
      </w:r>
      <w:r>
        <w:t xml:space="preserve">como densidad de personas por estructura. El parámetro</w:t>
      </w:r>
      <w:r>
        <w:t xml:space="preserve"> </w:t>
      </w:r>
      <m:oMath>
        <m:sSub>
          <m:e>
            <m:r>
              <m:t>μ</m:t>
            </m:r>
          </m:e>
          <m:sub>
            <m:r>
              <m:t>i</m:t>
            </m:r>
          </m:sub>
        </m:sSub>
      </m:oMath>
      <w:r>
        <w:t xml:space="preserve"> </w:t>
      </w:r>
      <w:r>
        <w:t xml:space="preserve">captura la localización de la distribución en escala logarítmica y es modelado como función lineal de las covariables disponibles para el segmento. El parámetro</w:t>
      </w:r>
      <w:r>
        <w:t xml:space="preserve"> </w:t>
      </w:r>
      <m:oMath>
        <m:r>
          <m:t>σ</m:t>
        </m:r>
        <m:r>
          <m:rPr>
            <m:sty m:val="p"/>
          </m:rPr>
          <m:t>&gt;</m:t>
        </m:r>
        <m:r>
          <m:t>0</m:t>
        </m:r>
      </m:oMath>
      <w:r>
        <w:t xml:space="preserve"> </w:t>
      </w:r>
      <w:r>
        <w:t xml:space="preserve">controla la dispersión de las densidades alrededor de dicha localización.</w:t>
      </w:r>
    </w:p>
    <w:p>
      <w:pPr>
        <w:pStyle w:val="BodyText"/>
      </w:pPr>
      <w:r>
        <w:t xml:space="preserve">En el segundo nivel, los conteos de población se modelan como realizaciones de una distribución de Poisson cuyo parámetro de intensidad es el producto entre la densidad estimada y el número de estructuras del segmento:</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t> </m:t>
          </m:r>
          <m:r>
            <m:rPr>
              <m:sty m:val="p"/>
            </m:rPr>
            <m:t>∼</m:t>
          </m:r>
          <m:r>
            <m:t> </m:t>
          </m:r>
          <m:r>
            <m:rPr>
              <m:nor/>
              <m:sty m:val="p"/>
            </m:rPr>
            <m:t>Poisson</m:t>
          </m:r>
          <m:r>
            <m:rPr>
              <m:sty m:val="p"/>
            </m:rPr>
            <m:t>(</m:t>
          </m:r>
          <m:sSub>
            <m:e>
              <m:r>
                <m:t>λ</m:t>
              </m:r>
            </m:e>
            <m:sub>
              <m:r>
                <m:t>i</m:t>
              </m:r>
            </m:sub>
          </m:sSub>
          <m:r>
            <m:rPr>
              <m:sty m:val="p"/>
            </m:rPr>
            <m:t>)</m:t>
          </m:r>
          <m:r>
            <m:rPr>
              <m:sty m:val="p"/>
            </m:rPr>
            <m:t>,</m:t>
          </m:r>
          <m:r>
            <m:t>  </m:t>
          </m:r>
          <m:sSub>
            <m:e>
              <m:r>
                <m:t>λ</m:t>
              </m:r>
            </m:e>
            <m:sub>
              <m:r>
                <m:t>i</m:t>
              </m:r>
            </m:sub>
          </m:sSub>
          <m:r>
            <m:rPr>
              <m:sty m:val="p"/>
            </m:rPr>
            <m:t>=</m:t>
          </m:r>
          <m:sSub>
            <m:e>
              <m:r>
                <m:t>δ</m:t>
              </m:r>
            </m:e>
            <m:sub>
              <m:r>
                <m:t>i</m:t>
              </m:r>
            </m:sub>
          </m:sSub>
          <m:r>
            <m:rPr>
              <m:sty m:val="p"/>
            </m:rPr>
            <m:t>⋅</m:t>
          </m:r>
          <m:sSub>
            <m:e>
              <m:r>
                <m:t>V</m:t>
              </m:r>
            </m:e>
            <m:sub>
              <m:r>
                <m:t>i</m:t>
              </m:r>
            </m:sub>
          </m:sSub>
          <m:r>
            <m:rPr>
              <m:sty m:val="p"/>
            </m:rPr>
            <m:t>,</m:t>
          </m:r>
          <m:r>
            <m:t>  </m:t>
          </m:r>
          <m:r>
            <m:t>i</m:t>
          </m:r>
          <m:r>
            <m:rPr>
              <m:sty m:val="p"/>
            </m:rPr>
            <m:t>∈</m:t>
          </m:r>
          <m:sSub>
            <m:e>
              <m:r>
                <m:rPr>
                  <m:scr m:val="script"/>
                  <m:sty m:val="p"/>
                </m:rPr>
                <m:t>S</m:t>
              </m:r>
            </m:e>
            <m:sub>
              <m:r>
                <m:t>o</m:t>
              </m:r>
              <m:r>
                <m:t>b</m:t>
              </m:r>
              <m:r>
                <m:t>s</m:t>
              </m:r>
            </m:sub>
          </m:sSub>
        </m:oMath>
      </m:oMathPara>
    </w:p>
    <w:p>
      <w:pPr>
        <w:pStyle w:val="FirstParagraph"/>
      </w:pPr>
      <w:r>
        <w:t xml:space="preserve">Esta parametrización incorpora el número de estructuras</w:t>
      </w:r>
      <w:r>
        <w:t xml:space="preserve"> </w:t>
      </w:r>
      <m:oMath>
        <m:sSub>
          <m:e>
            <m:r>
              <m:t>V</m:t>
            </m:r>
          </m:e>
          <m:sub>
            <m:r>
              <m:t>i</m:t>
            </m:r>
          </m:sub>
        </m:sSub>
      </m:oMath>
      <w:r>
        <w:t xml:space="preserve"> </w:t>
      </w:r>
      <w:r>
        <w:t xml:space="preserve">como referencia natural de escala. Segmentos con mayor número de estructuras tienen, en igualdad de condiciones, una intensidad esperada proporcionalmente mayor. El parámetro de localización de la densidad sigue un predictor lineal de la forma:</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r>
          <m:rPr>
            <m:sty m:val="p"/>
          </m:rPr>
          <m:t>∈</m:t>
        </m:r>
        <m:sSup>
          <m:e>
            <m:r>
              <m:rPr>
                <m:scr m:val="double-struck"/>
                <m:sty m:val="p"/>
              </m:rPr>
              <m:t>R</m:t>
            </m:r>
          </m:e>
          <m:sup>
            <m:r>
              <m:t>P</m:t>
            </m:r>
          </m:sup>
        </m:sSup>
      </m:oMath>
      <w:r>
        <w:t xml:space="preserve"> </w:t>
      </w:r>
      <w:r>
        <w:t xml:space="preserve">es el vector de covariables auxiliares estandarizadas del segmento</w:t>
      </w:r>
      <w:r>
        <w:t xml:space="preserve"> </w:t>
      </w:r>
      <m:oMath>
        <m:r>
          <m:t>i</m:t>
        </m:r>
      </m:oMath>
      <w:r>
        <w:t xml:space="preserve">,</w:t>
      </w:r>
      <w:r>
        <w:t xml:space="preserve"> </w:t>
      </w:r>
      <m:oMath>
        <m:r>
          <m:rPr>
            <m:sty m:val="b"/>
          </m:rPr>
          <m:t>β</m:t>
        </m:r>
        <m:r>
          <m:rPr>
            <m:sty m:val="p"/>
          </m:rPr>
          <m:t>∈</m:t>
        </m:r>
        <m:sSup>
          <m:e>
            <m:r>
              <m:rPr>
                <m:scr m:val="double-struck"/>
                <m:sty m:val="p"/>
              </m:rPr>
              <m:t>R</m:t>
            </m:r>
          </m:e>
          <m:sup>
            <m:r>
              <m:t>P</m:t>
            </m:r>
          </m:sup>
        </m:sSup>
      </m:oMath>
      <w:r>
        <w:t xml:space="preserve"> </w:t>
      </w:r>
      <w:r>
        <w:t xml:space="preserve">es el vector de coeficientes de efectos fijos,</w:t>
      </w:r>
      <w:r>
        <w:t xml:space="preserve"> </w:t>
      </w:r>
      <m:oMath>
        <m:sSub>
          <m:e>
            <m:r>
              <m:rPr>
                <m:sty m:val="b"/>
              </m:rPr>
              <m:t>z</m:t>
            </m:r>
          </m:e>
          <m:sub>
            <m:r>
              <m:t>i</m:t>
            </m:r>
          </m:sub>
        </m:sSub>
        <m:r>
          <m:rPr>
            <m:sty m:val="p"/>
          </m:rPr>
          <m:t>∈</m:t>
        </m:r>
        <m:r>
          <m:rPr>
            <m:sty m:val="p"/>
          </m:rPr>
          <m:t>{</m:t>
        </m:r>
        <m:r>
          <m:t>0</m:t>
        </m:r>
        <m:r>
          <m:rPr>
            <m:sty m:val="p"/>
          </m:rPr>
          <m:t>,</m:t>
        </m:r>
        <m:r>
          <m:t>1</m:t>
        </m:r>
        <m:sSup>
          <m:e>
            <m:r>
              <m:rPr>
                <m:sty m:val="p"/>
              </m:rPr>
              <m:t>}</m:t>
            </m:r>
          </m:e>
          <m:sup>
            <m:r>
              <m:t>Q</m:t>
            </m:r>
          </m:sup>
        </m:sSup>
      </m:oMath>
      <w:r>
        <w:t xml:space="preserve"> </w:t>
      </w:r>
      <w:r>
        <w:t xml:space="preserve">es el vector de indicadores para los efectos aleatorios territoriales y</w:t>
      </w:r>
      <w:r>
        <w:t xml:space="preserve"> </w:t>
      </w:r>
      <m:oMath>
        <m:r>
          <m:rPr>
            <m:sty m:val="b"/>
          </m:rPr>
          <m:t>γ</m:t>
        </m:r>
        <m:r>
          <m:rPr>
            <m:sty m:val="p"/>
          </m:rPr>
          <m:t>∈</m:t>
        </m:r>
        <m:sSup>
          <m:e>
            <m:r>
              <m:rPr>
                <m:scr m:val="double-struck"/>
                <m:sty m:val="p"/>
              </m:rPr>
              <m:t>R</m:t>
            </m:r>
          </m:e>
          <m:sup>
            <m:r>
              <m:t>Q</m:t>
            </m:r>
          </m:sup>
        </m:sSup>
      </m:oMath>
      <w:r>
        <w:t xml:space="preserve"> </w:t>
      </w:r>
      <w:r>
        <w:t xml:space="preserve">es el vector de coeficientes de efectos aleatorios. La dimensión</w:t>
      </w:r>
      <w:r>
        <w:t xml:space="preserve"> </w:t>
      </w:r>
      <m:oMath>
        <m:r>
          <m:t>P</m:t>
        </m:r>
      </m:oMath>
      <w:r>
        <w:t xml:space="preserve"> </w:t>
      </w:r>
      <w:r>
        <w:t xml:space="preserve">corresponde al número de covariables auxiliares seleccionadas y</w:t>
      </w:r>
      <w:r>
        <w:t xml:space="preserve"> </w:t>
      </w:r>
      <m:oMath>
        <m:r>
          <m:t>Q</m:t>
        </m:r>
      </m:oMath>
      <w:r>
        <w:t xml:space="preserve"> </w:t>
      </w:r>
      <w:r>
        <w:t xml:space="preserve">al número de unidades territoriales de nivel superior —provincias, departamentos o regiones— en las que se anidan los segmentos.</w:t>
      </w:r>
    </w:p>
    <w:p>
      <w:pPr>
        <w:pStyle w:val="BodyText"/>
      </w:pPr>
      <w:r>
        <w:t xml:space="preserve">El conjunto de parámetros estructurales del modelo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 donde</w:t>
      </w:r>
      <w:r>
        <w:t xml:space="preserve"> </w:t>
      </w:r>
      <m:oMath>
        <m:sSub>
          <m:e>
            <m:r>
              <m:t>σ</m:t>
            </m:r>
          </m:e>
          <m:sub>
            <m:r>
              <m:t>U</m:t>
            </m:r>
          </m:sub>
        </m:sSub>
        <m:r>
          <m:rPr>
            <m:sty m:val="p"/>
          </m:rPr>
          <m:t>&gt;</m:t>
        </m:r>
        <m:r>
          <m:t>0</m:t>
        </m:r>
      </m:oMath>
      <w:r>
        <w:t xml:space="preserve"> </w:t>
      </w:r>
      <w:r>
        <w:t xml:space="preserve">es el hiperparámetro que controla la variabilidad de los efectos aleatorios, cuya especificación se detalla en la sección de distribuciones a priori. Adicionalmente,</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es el vector de densidades latentes para los segmentos observados, que se trata como conjunto de parámetros latentes en la inferencia bayesiana de manera conjunta con</w:t>
      </w:r>
      <w:r>
        <w:t xml:space="preserve"> </w:t>
      </w:r>
      <m:oMath>
        <m:r>
          <m:rPr>
            <m:sty m:val="b"/>
          </m:rPr>
          <m:t>θ</m:t>
        </m:r>
      </m:oMath>
      <w:r>
        <w:t xml:space="preserve">.</w:t>
      </w:r>
    </w:p>
    <w:bookmarkEnd w:id="67"/>
    <w:bookmarkStart w:id="68" w:name="función-de-verosimilitud"/>
    <w:p>
      <w:pPr>
        <w:pStyle w:val="Heading3"/>
      </w:pPr>
      <w:r>
        <w:rPr>
          <w:rStyle w:val="SectionNumber"/>
        </w:rPr>
        <w:t xml:space="preserve">4.1.2</w:t>
      </w:r>
      <w:r>
        <w:tab/>
      </w:r>
      <w:r>
        <w:t xml:space="preserve">Función de verosimilitud</w:t>
      </w:r>
    </w:p>
    <w:p>
      <w:pPr>
        <w:pStyle w:val="FirstParagraph"/>
      </w:pPr>
      <w:r>
        <w:t xml:space="preserve">La función de verosimilitud del modelo Poisson-lognormal se construye sobre la información disponible en los segmentos observados</w:t>
      </w:r>
      <w:r>
        <w:t xml:space="preserve"> </w:t>
      </w:r>
      <m:oMath>
        <m:sSub>
          <m:e>
            <m:r>
              <m:rPr>
                <m:scr m:val="script"/>
                <m:sty m:val="p"/>
              </m:rPr>
              <m:t>S</m:t>
            </m:r>
          </m:e>
          <m:sub>
            <m:r>
              <m:t>o</m:t>
            </m:r>
            <m:r>
              <m:t>b</m:t>
            </m:r>
            <m:r>
              <m:t>s</m:t>
            </m:r>
          </m:sub>
        </m:sSub>
      </m:oMath>
      <w:r>
        <w:t xml:space="preserve">. Dado que las densidades</w:t>
      </w:r>
      <w:r>
        <w:t xml:space="preserve"> </w:t>
      </w:r>
      <m:oMath>
        <m:sSub>
          <m:e>
            <m:r>
              <m:t>δ</m:t>
            </m:r>
          </m:e>
          <m:sub>
            <m:r>
              <m:t>i</m:t>
            </m:r>
          </m:sub>
        </m:sSub>
      </m:oMath>
      <w:r>
        <w:t xml:space="preserve"> </w:t>
      </w:r>
      <w:r>
        <w:t xml:space="preserve">son tratadas como parámetros latentes, la verosimilitud conjunta factoriza sobre segmentos bajo el supuesto de independencia condicional entre observaciones dado el vector de parámetros</w:t>
      </w:r>
      <w:r>
        <w:t xml:space="preserve"> </w:t>
      </w:r>
      <m:oMath>
        <m:r>
          <m:rPr>
            <m:sty m:val="b"/>
          </m:rPr>
          <m:t>θ</m:t>
        </m:r>
      </m:oMath>
      <w:r>
        <w:t xml:space="preserv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es el vector de conteos observados. Expandiendo cada factor con sus formas funcionales explícitas: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oMath>
      </m:oMathPara>
    </w:p>
    <w:p>
      <w:pPr>
        <w:pStyle w:val="FirstParagraph"/>
      </w:pPr>
      <w:r>
        <w:t xml:space="preserve">La verosimilitud log-conjunta, omitiendo constantes respecto a los parámetros, adopta la forma:</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sSub>
                    <m:e>
                      <m:r>
                        <m:t>δ</m:t>
                      </m:r>
                    </m:e>
                    <m:sub>
                      <m:r>
                        <m:t>i</m:t>
                      </m:r>
                    </m:sub>
                  </m:sSub>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t>σ</m:t>
                  </m:r>
                </m:e>
              </m:d>
            </m:e>
          </m:nary>
        </m:oMath>
      </m:oMathPara>
    </w:p>
    <w:p>
      <w:pPr>
        <w:pStyle w:val="FirstParagraph"/>
      </w:pPr>
      <w:r>
        <w:t xml:space="preserve">Esta expresión pone de manifiesto la naturaleza jerárquica del modelo: el primer par de términos corresponde a la contribución de la distribución de Poisson para los conteos observados, mientras que los términos restantes corresponden a la contribución de la distribución log-normal para las densidades latentes. El término</w:t>
      </w:r>
      <w:r>
        <w:t xml:space="preserve"> </w:t>
      </w:r>
      <m:oMath>
        <m:r>
          <m:rPr>
            <m:sty m:val="p"/>
          </m:rPr>
          <m:t>−</m:t>
        </m:r>
        <m:r>
          <m:rPr>
            <m:sty m:val="p"/>
          </m:rPr>
          <m:t>log</m:t>
        </m:r>
        <m:sSub>
          <m:e>
            <m:r>
              <m:t>δ</m:t>
            </m:r>
          </m:e>
          <m:sub>
            <m:r>
              <m:t>i</m:t>
            </m:r>
          </m:sub>
        </m:sSub>
      </m:oMath>
      <w:r>
        <w:t xml:space="preserve"> </w:t>
      </w:r>
      <w:r>
        <w:t xml:space="preserve">proviene del jacobiano de la densidad log-normal —resultado de la transformación entre la escala multiplicativa de</w:t>
      </w:r>
      <w:r>
        <w:t xml:space="preserve"> </w:t>
      </w:r>
      <m:oMath>
        <m:sSub>
          <m:e>
            <m:r>
              <m:t>δ</m:t>
            </m:r>
          </m:e>
          <m:sub>
            <m:r>
              <m:t>i</m:t>
            </m:r>
          </m:sub>
        </m:sSub>
      </m:oMath>
      <w:r>
        <w:t xml:space="preserve"> </w:t>
      </w:r>
      <w:r>
        <w:t xml:space="preserve">y la escala logarítmica— y garantiza la corrección del volumen en el cambio de variables. Ambas contribuciones están conectadas a través del parámetro</w:t>
      </w:r>
      <w:r>
        <w:t xml:space="preserve"> </w:t>
      </w:r>
      <m:oMath>
        <m:sSub>
          <m:e>
            <m:r>
              <m:t>δ</m:t>
            </m:r>
          </m:e>
          <m:sub>
            <m:r>
              <m:t>i</m:t>
            </m:r>
          </m:sub>
        </m:sSub>
      </m:oMath>
      <w:r>
        <w:t xml:space="preserve">, cuya estimación equilibra simultáneamente el ajuste a los conteos observados y la regularización impuesta por el modelo de densidad.</w:t>
      </w:r>
    </w:p>
    <w:p>
      <w:pPr>
        <w:pStyle w:val="BodyText"/>
      </w:pPr>
      <w:r>
        <w:t xml:space="preserve">Una propiedad relevante de esta formulación es que la distribución marginal de</w:t>
      </w:r>
      <w:r>
        <w:t xml:space="preserve"> </w:t>
      </w:r>
      <m:oMath>
        <m:sSub>
          <m:e>
            <m:r>
              <m:t>Y</m:t>
            </m:r>
          </m:e>
          <m:sub>
            <m:r>
              <m:t>i</m:t>
            </m:r>
          </m:sub>
        </m:sSub>
      </m:oMath>
      <w:r>
        <w:t xml:space="preserve">, obtenida al integrar</w:t>
      </w:r>
      <w:r>
        <w:t xml:space="preserve"> </w:t>
      </w:r>
      <m:oMath>
        <m:sSub>
          <m:e>
            <m:r>
              <m:t>δ</m:t>
            </m:r>
          </m:e>
          <m:sub>
            <m:r>
              <m:t>i</m:t>
            </m:r>
          </m:sub>
        </m:sSub>
      </m:oMath>
      <w:r>
        <w:t xml:space="preserve"> </w:t>
      </w:r>
      <w:r>
        <w:t xml:space="preserve">de la expresión conjunta, resulta en una mezcla de Poisson con distribución de mezcla log-normal. Esta mezcla genera mayor dispersión que la Poisson pura. Formalmente, si</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w:t>
      </w:r>
      <w:r>
        <w:t xml:space="preserve">y</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entonces la media y la varianza marginales del conteo son:</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m:oMathPara>
    </w:p>
    <w:p>
      <w:pPr>
        <w:pStyle w:val="FirstParagraph"/>
      </w:pPr>
      <m:oMathPara>
        <m:oMathParaPr>
          <m:jc m:val="center"/>
        </m:oMathParaPr>
        <m:oMath>
          <m:r>
            <m:rPr>
              <m:no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m:oMathPara>
    </w:p>
    <w:p>
      <w:pPr>
        <w:pStyle w:val="FirstParagraph"/>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Poisson-lognormal es inherentemente sobredisperso respecto a la distribución de Poisson pura, con el grado de sobredispersión controlado por el parámetro</w:t>
      </w:r>
      <w:r>
        <w:t xml:space="preserve"> </w:t>
      </w:r>
      <m:oMath>
        <m:r>
          <m:t>σ</m:t>
        </m:r>
      </m:oMath>
      <w:r>
        <w:t xml:space="preserve">. Esta propiedad lo hace apropiado para datos censales donde la varianza observada supera sistemáticamente la esperada bajo el supuesto de equidispersión.</w:t>
      </w:r>
    </w:p>
    <w:bookmarkEnd w:id="68"/>
    <w:bookmarkStart w:id="69" w:name="distribuciones-a-priori"/>
    <w:p>
      <w:pPr>
        <w:pStyle w:val="Heading3"/>
      </w:pPr>
      <w:r>
        <w:rPr>
          <w:rStyle w:val="SectionNumber"/>
        </w:rPr>
        <w:t xml:space="preserve">4.1.3</w:t>
      </w:r>
      <w:r>
        <w:tab/>
      </w:r>
      <w:r>
        <w:t xml:space="preserve">Distribuciones a priori</w:t>
      </w:r>
    </w:p>
    <w:p>
      <w:pPr>
        <w:pStyle w:val="FirstParagraph"/>
      </w:pPr>
      <w:r>
        <w:t xml:space="preserve">La especificación bayesiana del modelo requiere asignar distribuciones a priori a todos los parámetros desconocidos. En el contexto del modelo Poisson-lognormal, el conjunto de parámetros a los que se asignan distribuciones a priori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La elección de distribuciones a priori débilmente informativas ofrece un equilibrio entre la ausencia de información fuerte sobre los parámetros y la estabilización del proceso de estimación. Bajo este enfoque, las distribuciones a priori incorporan restricciones de signo y magnitud consistentes con el conocimiento sustantivo del problema sin imponer concentración excesiva sobre valores específicos. Esta estrategia resulta especialmente adecuada en modelos con alta dimensionalidad paramétrica, donde las distribuciones no informativas pueden generar problemas de identificación o inestabilidad en la inferencia.</w:t>
      </w:r>
    </w:p>
    <w:p>
      <w:pPr>
        <w:pStyle w:val="BodyText"/>
      </w:pPr>
      <w:r>
        <w:t xml:space="preserve">Para los coeficientes de efectos fijos se adopta una distribución normal centrada en cero con varianza unitaria:</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r>
            <m:t>1</m:t>
          </m:r>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Esta distribución a priori es apropiada cuando las covariables han sido previamente estandarizadas, de modo que un coeficiente con valor absoluto superior a dos corresponde a un efecto sustancialmente grande en términos de la escala de las covariables. La centrada en cero refleja la ausencia de conocimiento previo sobre la dirección del efecto de cada covariable, mientras que la varianza unitaria actúa como regularización suave que favorece efectos de magnitud moderada.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a priori.</w:t>
      </w:r>
    </w:p>
    <w:p>
      <w:pPr>
        <w:pStyle w:val="BodyText"/>
      </w:pPr>
      <w:r>
        <w:t xml:space="preserve">Para el hiperparámetro de variabilidad de los efectos aleatorios se adopta una distribución normal positiva:</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r>
            <m:t>1</m:t>
          </m:r>
          <m:r>
            <m:rPr>
              <m:sty m:val="p"/>
            </m:rPr>
            <m:t>)</m:t>
          </m:r>
        </m:oMath>
      </m:oMathPara>
    </w:p>
    <w:p>
      <w:pPr>
        <w:pStyle w:val="FirstParagraph"/>
      </w:pPr>
      <w:r>
        <w:t xml:space="preserve">Esta elección permite que el modelo aprenda la magnitud de la variabilidad territorial a partir de los datos, sin imponer un valor fijo. La distribución normal positiva asigna probabilidad significativa a valores cercanos a cero —compatibles con un modelo sin efectos aleatorios relevantes— mientras permite valores mayores si los datos los respaldan.</w:t>
      </w:r>
    </w:p>
    <w:p>
      <w:pPr>
        <w:pStyle w:val="BodyText"/>
      </w:pPr>
      <w:r>
        <w:t xml:space="preserve">Para el parámetro de escala de la densidad se adopta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r>
            <m:t>2</m:t>
          </m:r>
          <m:r>
            <m:rPr>
              <m:sty m:val="p"/>
            </m:rPr>
            <m:t>,</m:t>
          </m:r>
          <m:r>
            <m:t>5</m:t>
          </m:r>
          <m:r>
            <m:rPr>
              <m:sty m:val="p"/>
            </m:rPr>
            <m:t>)</m:t>
          </m:r>
        </m:oMath>
      </m:oMathPara>
    </w:p>
    <w:p>
      <w:pPr>
        <w:pStyle w:val="FirstParagraph"/>
      </w:pPr>
      <w:r>
        <w:t xml:space="preserve">La distribución de Cauchy positiva presenta colas más pesadas que la distribución exponencial o que la gamma inversa, lo que permite una amplia dispersión a priori sin concentrar excesiva probabilidad en valores pequeños. Esta propiedad es útil cuando la variabilidad real de las densidades entre segmentos es sustancialmente alta, como suele ocurrir en contextos con marcada heterogeneidad territorial y cobertura censal diferencial.</w:t>
      </w:r>
    </w:p>
    <w:bookmarkEnd w:id="69"/>
    <w:bookmarkStart w:id="70" w:name="distribución-posterior"/>
    <w:p>
      <w:pPr>
        <w:pStyle w:val="Heading3"/>
      </w:pPr>
      <w:r>
        <w:rPr>
          <w:rStyle w:val="SectionNumber"/>
        </w:rPr>
        <w:t xml:space="preserve">4.1.4</w:t>
      </w:r>
      <w:r>
        <w:tab/>
      </w:r>
      <w:r>
        <w:t xml:space="preserve">Distribución posterior</w:t>
      </w:r>
    </w:p>
    <w:p>
      <w:pPr>
        <w:pStyle w:val="FirstParagraph"/>
      </w:pPr>
      <w:r>
        <w:t xml:space="preserve">La distribución posterior del modelo Poisson-lognormal combina la verosimilitud conjunta con las distribuciones a priori de todos los parámetros. Aplicando el teorema de Bayes,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 proporcional al producto de la verosimilitud y las previas: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Expandiendo cada componente con sus formas funcionales específicas: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nor/>
                      <m:sty m:val="p"/>
                    </m:rPr>
                    <m:t>Poisson</m:t>
                  </m:r>
                </m:e>
              </m:nary>
              <m:r>
                <m:rPr>
                  <m:sty m:val="p"/>
                </m:rPr>
                <m:t>(</m:t>
              </m:r>
              <m:sSub>
                <m:e>
                  <m:r>
                    <m:t>Y</m:t>
                  </m:r>
                </m:e>
                <m:sub>
                  <m:r>
                    <m:t>i</m:t>
                  </m:r>
                </m:sub>
              </m:sSub>
              <m:r>
                <m:rPr>
                  <m:sty m:val="p"/>
                </m:rPr>
                <m:t>∣</m:t>
              </m:r>
              <m:sSub>
                <m:e>
                  <m:r>
                    <m:t>δ</m:t>
                  </m:r>
                </m:e>
                <m:sub>
                  <m:r>
                    <m:t>i</m:t>
                  </m:r>
                </m:sub>
              </m:sSub>
              <m:sSub>
                <m:e>
                  <m:r>
                    <m:t>V</m:t>
                  </m:r>
                </m:e>
                <m:sub>
                  <m:r>
                    <m:t>i</m:t>
                  </m:r>
                </m:sub>
              </m:sSub>
              <m:r>
                <m:rPr>
                  <m:sty m:val="p"/>
                </m:rPr>
                <m:t>)</m:t>
              </m:r>
              <m:r>
                <m:rPr>
                  <m:sty m:val="p"/>
                </m:rPr>
                <m:t>⋅</m:t>
              </m:r>
              <m:r>
                <m:rPr>
                  <m:nor/>
                  <m:sty m:val="p"/>
                </m:rPr>
                <m:t>LogNormal</m:t>
              </m:r>
              <m:r>
                <m:rPr>
                  <m:sty m:val="p"/>
                </m:rPr>
                <m:t>(</m:t>
              </m:r>
              <m:sSub>
                <m:e>
                  <m:r>
                    <m:t>δ</m:t>
                  </m:r>
                </m:e>
                <m:sub>
                  <m:r>
                    <m:t>i</m:t>
                  </m:r>
                </m:sub>
              </m:sSub>
              <m:r>
                <m:rPr>
                  <m:sty m:val="p"/>
                </m:rPr>
                <m:t>∣</m:t>
              </m:r>
              <m:sSub>
                <m:e>
                  <m:r>
                    <m:t>μ</m:t>
                  </m:r>
                </m:e>
                <m:sub>
                  <m:r>
                    <m:t>i</m:t>
                  </m:r>
                </m:sub>
              </m:sSub>
              <m:r>
                <m:rPr>
                  <m:sty m:val="p"/>
                </m:rPr>
                <m:t>,</m:t>
              </m:r>
              <m:r>
                <m:t>σ</m:t>
              </m:r>
              <m:r>
                <m:rPr>
                  <m:sty m:val="p"/>
                </m:rPr>
                <m:t>)</m:t>
              </m:r>
            </m:e>
          </m:d>
          <m:r>
            <m:rPr>
              <m:sty m:val="p"/>
            </m:rPr>
            <m:t>⋅</m:t>
          </m:r>
          <m:nary>
            <m:naryPr>
              <m:chr m:val="∏"/>
              <m:limLoc m:val="undOvr"/>
              <m:subHide m:val="off"/>
              <m:supHide m:val="off"/>
            </m:naryPr>
            <m:sub>
              <m:r>
                <m:t>j</m:t>
              </m:r>
              <m:r>
                <m:rPr>
                  <m:sty m:val="p"/>
                </m:rPr>
                <m:t>=</m:t>
              </m:r>
              <m:r>
                <m:t>1</m:t>
              </m:r>
            </m:sub>
            <m:sup>
              <m:r>
                <m:t>Q</m:t>
              </m:r>
            </m:sup>
            <m:e>
              <m:r>
                <m:rPr>
                  <m:scr m:val="script"/>
                  <m:sty m:val="p"/>
                </m:rPr>
                <m:t>N</m:t>
              </m:r>
            </m:e>
          </m:nary>
          <m:r>
            <m:rPr>
              <m:sty m:val="p"/>
            </m:rPr>
            <m:t>(</m:t>
          </m:r>
          <m:sSub>
            <m:e>
              <m:r>
                <m:t>γ</m:t>
              </m:r>
            </m:e>
            <m:sub>
              <m:r>
                <m:t>j</m:t>
              </m:r>
            </m:sub>
          </m:sSub>
          <m:r>
            <m:rPr>
              <m:sty m:val="p"/>
            </m:rPr>
            <m:t>∣</m:t>
          </m:r>
          <m:r>
            <m:t>0</m:t>
          </m:r>
          <m:r>
            <m:rPr>
              <m:sty m:val="p"/>
            </m:rPr>
            <m:t>,</m:t>
          </m:r>
          <m:sSubSup>
            <m:e>
              <m:r>
                <m:t>σ</m:t>
              </m:r>
            </m:e>
            <m:sub>
              <m:r>
                <m:t>U</m:t>
              </m:r>
            </m:sub>
            <m:sup>
              <m:r>
                <m:t>2</m:t>
              </m:r>
            </m:sup>
          </m:sSubSup>
          <m:r>
            <m:rPr>
              <m:sty m:val="p"/>
            </m:rPr>
            <m:t>)</m:t>
          </m:r>
          <m:r>
            <m:rPr>
              <m:sty m:val="p"/>
            </m:rPr>
            <m:t>⋅</m:t>
          </m:r>
          <m:nary>
            <m:naryPr>
              <m:chr m:val="∏"/>
              <m:limLoc m:val="undOvr"/>
              <m:subHide m:val="off"/>
              <m:supHide m:val="off"/>
            </m:naryPr>
            <m:sub>
              <m:r>
                <m:t>k</m:t>
              </m:r>
              <m:r>
                <m:rPr>
                  <m:sty m:val="p"/>
                </m:rPr>
                <m:t>=</m:t>
              </m:r>
              <m:r>
                <m:t>1</m:t>
              </m:r>
            </m:sub>
            <m:sup>
              <m:r>
                <m:t>P</m:t>
              </m:r>
            </m:sup>
            <m:e>
              <m:r>
                <m:rPr>
                  <m:scr m:val="script"/>
                  <m:sty m:val="p"/>
                </m:rPr>
                <m:t>N</m:t>
              </m:r>
            </m:e>
          </m:nary>
          <m:r>
            <m:rPr>
              <m:sty m:val="p"/>
            </m:rPr>
            <m:t>(</m:t>
          </m:r>
          <m:sSub>
            <m:e>
              <m:r>
                <m:t>β</m:t>
              </m:r>
            </m:e>
            <m:sub>
              <m:r>
                <m:t>k</m:t>
              </m:r>
            </m:sub>
          </m:sSub>
          <m:r>
            <m:rPr>
              <m:sty m:val="p"/>
            </m:rPr>
            <m:t>∣</m:t>
          </m:r>
          <m:r>
            <m:t>0</m:t>
          </m:r>
          <m:r>
            <m:rPr>
              <m:sty m:val="p"/>
            </m:rPr>
            <m:t>,</m:t>
          </m:r>
          <m:r>
            <m:t>1</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La distribución posterior no tiene forma analítica cerrada debido a la combinación de la distribución de Poisson para los conteos y la distribución log-normal para las densidades latentes. En consecuencia, la inferencia se realiza mediante métodos de Monte Carlo por cadenas de Markov (MCMC), específicamente mediante el algoritmo de Monte Carlo Hamiltoniano implementado en Stan, cuya descripción se desarrolla en el capítulo siguiente.</w:t>
      </w:r>
    </w:p>
    <w:p>
      <w:pPr>
        <w:pStyle w:val="BodyText"/>
      </w:pPr>
      <w:r>
        <w:t xml:space="preserve">Las cantidades de interés inferencial se derivan directamente de la distribución posterior conjunta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Para cada segmento</w:t>
      </w:r>
      <w:r>
        <w:t xml:space="preserve"> </w:t>
      </w:r>
      <m:oMath>
        <m:r>
          <m:t>i</m:t>
        </m:r>
        <m:r>
          <m:rPr>
            <m:sty m:val="p"/>
          </m:rPr>
          <m:t>∈</m:t>
        </m:r>
        <m:sSub>
          <m:e>
            <m:r>
              <m:rPr>
                <m:scr m:val="script"/>
                <m:sty m:val="p"/>
              </m:rPr>
              <m:t>S</m:t>
            </m:r>
          </m:e>
          <m:sub>
            <m:r>
              <m:t>o</m:t>
            </m:r>
            <m:r>
              <m:t>b</m:t>
            </m:r>
            <m:r>
              <m:t>s</m:t>
            </m:r>
          </m:sub>
        </m:sSub>
      </m:oMath>
      <w:r>
        <w:t xml:space="preserve">, la estimación puntual de la densidad poblacional se obtiene como la media posterior:</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oMath>
      </m:oMathPara>
    </w:p>
    <w:p>
      <w:pPr>
        <w:pStyle w:val="FirstParagraph"/>
      </w:pPr>
      <w:r>
        <w:t xml:space="preserve">donde</w:t>
      </w:r>
      <w:r>
        <w:t xml:space="preserve"> </w:t>
      </w:r>
      <m:oMath>
        <m:sSubSup>
          <m:e>
            <m:r>
              <m:t>δ</m:t>
            </m:r>
          </m:e>
          <m:sub>
            <m:r>
              <m:t>i</m:t>
            </m:r>
          </m:sub>
          <m:sup>
            <m:r>
              <m:rPr>
                <m:sty m:val="p"/>
              </m:rPr>
              <m:t>(</m:t>
            </m:r>
            <m:r>
              <m:t>1</m:t>
            </m:r>
            <m:r>
              <m:rPr>
                <m:sty m:val="p"/>
              </m:rPr>
              <m:t>)</m:t>
            </m:r>
          </m:sup>
        </m:sSubSup>
        <m:r>
          <m:rPr>
            <m:sty m:val="p"/>
          </m:rPr>
          <m:t>,</m:t>
        </m:r>
        <m:r>
          <m:rPr>
            <m:sty m:val="p"/>
          </m:rPr>
          <m:t>…</m:t>
        </m:r>
        <m:r>
          <m:rPr>
            <m:sty m:val="p"/>
          </m:rPr>
          <m:t>,</m:t>
        </m:r>
        <m:sSubSup>
          <m:e>
            <m:r>
              <m:t>δ</m:t>
            </m:r>
          </m:e>
          <m:sub>
            <m:r>
              <m:t>i</m:t>
            </m:r>
          </m:sub>
          <m:sup>
            <m:r>
              <m:rPr>
                <m:sty m:val="p"/>
              </m:rPr>
              <m:t>(</m:t>
            </m:r>
            <m:r>
              <m:t>T</m:t>
            </m:r>
            <m:r>
              <m:rPr>
                <m:sty m:val="p"/>
              </m:rPr>
              <m:t>)</m:t>
            </m:r>
          </m:sup>
        </m:sSubSup>
      </m:oMath>
      <w:r>
        <w:t xml:space="preserve"> </w:t>
      </w:r>
      <w:r>
        <w:t xml:space="preserve">son las muestras de la distribución posterior generadas mediante MCMC. Para los segmentos no observados</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la predicción se obtiene generando muestras de la distribución predictiva posterior en el bloque de cantidades generadas del modelo:</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oMath>
      </m:oMathPara>
    </w:p>
    <w:p>
      <w:pPr>
        <w:pStyle w:val="FirstParagraph"/>
      </w:pPr>
      <w:r>
        <w:t xml:space="preserve">donde</w:t>
      </w:r>
      <w:r>
        <w:t xml:space="preserve"> </w:t>
      </w: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oMath>
      <w:r>
        <w:t xml:space="preserve"> </w:t>
      </w:r>
      <w:r>
        <w:t xml:space="preserve">se evalúa utilizando los parámetros de la muestra</w:t>
      </w:r>
      <w:r>
        <w:t xml:space="preserve"> </w:t>
      </w:r>
      <m:oMath>
        <m:r>
          <m:t>t</m:t>
        </m:r>
      </m:oMath>
      <w:r>
        <w:t xml:space="preserve">. Esta predicción se realiza sobre la totalidad de</w:t>
      </w:r>
      <w:r>
        <w:t xml:space="preserve"> </w:t>
      </w:r>
      <m:oMath>
        <m:r>
          <m:rPr>
            <m:scr m:val="script"/>
            <m:sty m:val="p"/>
          </m:rPr>
          <m:t>S</m:t>
        </m:r>
      </m:oMath>
      <w:r>
        <w:t xml:space="preserve">, lo que permite obtener estimaciones de población para todos los segmentos del país, incluidos aquellos sin cobertura censal directa.</w:t>
      </w:r>
    </w:p>
    <w:p>
      <w:pPr>
        <w:pStyle w:val="BodyText"/>
      </w:pPr>
      <w:r>
        <w:t xml:space="preserve">La estimación del total de población de un nivel geográfico superior —municipio, departamento o país— se obtiene agregando las distribuciones predictivas posteriores de los segmentos que lo componen. Si</w:t>
      </w:r>
      <w:r>
        <w:t xml:space="preserve"> </w:t>
      </w:r>
      <m:oMath>
        <m:sSub>
          <m:e>
            <m:r>
              <m:rPr>
                <m:scr m:val="script"/>
                <m:sty m:val="p"/>
              </m:rPr>
              <m:t>S</m:t>
            </m:r>
          </m:e>
          <m:sub>
            <m:r>
              <m:t>k</m:t>
            </m:r>
          </m:sub>
        </m:sSub>
        <m:r>
          <m:rPr>
            <m:sty m:val="p"/>
          </m:rPr>
          <m:t>⊂</m:t>
        </m:r>
        <m:r>
          <m:rPr>
            <m:scr m:val="script"/>
            <m:sty m:val="p"/>
          </m:rPr>
          <m:t>S</m:t>
        </m:r>
      </m:oMath>
      <w:r>
        <w:t xml:space="preserve"> </w:t>
      </w:r>
      <w:r>
        <w:t xml:space="preserve">denota el conjunto de segmentos del municipio</w:t>
      </w:r>
      <w:r>
        <w:t xml:space="preserve"> </w:t>
      </w:r>
      <m:oMath>
        <m:r>
          <m:t>k</m:t>
        </m:r>
      </m:oMath>
      <w:r>
        <w:t xml:space="preserve">, el conteo total estimado para ese municipio —nivel (3) en la jerarquía geográfica utilizada en el Capítulo</w:t>
      </w:r>
      <w:r>
        <w:t xml:space="preserve"> </w:t>
      </w:r>
      <w:r>
        <w:t xml:space="preserve">1</w:t>
      </w:r>
      <w:r>
        <w:t xml:space="preserve">, donde el departamento corresponde al nivel (2) y el segmento censal al nivel (4)— es:</w:t>
      </w:r>
    </w:p>
    <w:p>
      <w:pPr>
        <w:pStyle w:val="BodyText"/>
      </w:pPr>
      <m:oMathPara>
        <m:oMathParaPr>
          <m:jc m:val="center"/>
        </m:oMathParaPr>
        <m:oMath>
          <m:sSubSup>
            <m:e>
              <m:acc>
                <m:accPr>
                  <m:chr m:val="̂"/>
                </m:accPr>
                <m:e>
                  <m:r>
                    <m:t>N</m:t>
                  </m:r>
                </m:e>
              </m:acc>
            </m:e>
            <m:sub>
              <m:r>
                <m:t>k</m:t>
              </m:r>
            </m:sub>
            <m:sup>
              <m:r>
                <m:rPr>
                  <m:sty m:val="p"/>
                </m:rPr>
                <m:t>(</m:t>
              </m:r>
              <m:r>
                <m:t>3</m:t>
              </m:r>
              <m:r>
                <m:rPr>
                  <m:sty m:val="p"/>
                </m:rPr>
                <m:t>)</m:t>
              </m:r>
            </m:sup>
          </m:sSubSup>
          <m:r>
            <m:rPr>
              <m:sty m:val="p"/>
            </m:rPr>
            <m:t>=</m:t>
          </m:r>
          <m:nary>
            <m:naryPr>
              <m:chr m:val="∑"/>
              <m:limLoc m:val="undOvr"/>
              <m:subHide m:val="off"/>
              <m:supHide m:val="on"/>
            </m:naryPr>
            <m:sub>
              <m:r>
                <m:t>i</m:t>
              </m:r>
              <m:r>
                <m:rPr>
                  <m:sty m:val="p"/>
                </m:rPr>
                <m:t>∈</m:t>
              </m:r>
              <m:sSub>
                <m:e>
                  <m:r>
                    <m:rPr>
                      <m:scr m:val="script"/>
                      <m:sty m:val="p"/>
                    </m:rPr>
                    <m:t>S</m:t>
                  </m:r>
                </m:e>
                <m:sub>
                  <m:r>
                    <m:t>k</m:t>
                  </m:r>
                </m:sub>
              </m:sSub>
            </m:sub>
            <m:sup>
              <m:r>
                <m:t>​</m:t>
              </m:r>
            </m:sup>
            <m:e>
              <m:sSub>
                <m:e>
                  <m:acc>
                    <m:accPr>
                      <m:chr m:val="̂"/>
                    </m:accPr>
                    <m:e>
                      <m:r>
                        <m:t>N</m:t>
                      </m:r>
                    </m:e>
                  </m:acc>
                </m:e>
                <m:sub>
                  <m:r>
                    <m:t>i</m:t>
                  </m:r>
                </m:sub>
              </m:sSub>
            </m:e>
          </m:nary>
          <m:r>
            <m:rPr>
              <m:sty m:val="p"/>
            </m:rPr>
            <m:t>,</m:t>
          </m:r>
          <m:r>
            <m:t>  </m:t>
          </m:r>
          <m:sSub>
            <m:e>
              <m:acc>
                <m:accPr>
                  <m:chr m:val="̂"/>
                </m:accPr>
                <m:e>
                  <m:r>
                    <m:t>N</m:t>
                  </m:r>
                </m:e>
              </m:acc>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Y</m:t>
                        </m:r>
                      </m:e>
                      <m:sub>
                        <m:r>
                          <m:t>i</m:t>
                        </m:r>
                      </m:sub>
                    </m:sSub>
                    <m:r>
                      <m:rPr>
                        <m:sty m:val="p"/>
                      </m:rPr>
                      <m:t>+</m:t>
                    </m:r>
                    <m:sSubSup>
                      <m:e>
                        <m:acc>
                          <m:accPr>
                            <m:chr m:val="̂"/>
                          </m:accPr>
                          <m:e>
                            <m:r>
                              <m:t>Y</m:t>
                            </m:r>
                          </m:e>
                        </m:acc>
                      </m:e>
                      <m:sub>
                        <m:r>
                          <m:t>i</m:t>
                        </m:r>
                      </m:sub>
                      <m:sup>
                        <m:r>
                          <m:rPr>
                            <m:sty m:val="p"/>
                          </m:rPr>
                          <m:t>(</m:t>
                        </m:r>
                        <m:r>
                          <m:t>a</m:t>
                        </m:r>
                        <m:r>
                          <m:t>u</m:t>
                        </m:r>
                        <m:r>
                          <m:t>s</m:t>
                        </m:r>
                        <m:r>
                          <m:rPr>
                            <m:sty m:val="p"/>
                          </m:rPr>
                          <m:t>)</m:t>
                        </m:r>
                      </m:sup>
                    </m:sSubSup>
                  </m:e>
                  <m:e>
                    <m:r>
                      <m:rPr>
                        <m:nor/>
                        <m:sty m:val="p"/>
                      </m:rPr>
                      <m:t>si </m:t>
                    </m:r>
                    <m:r>
                      <m:t>i</m:t>
                    </m:r>
                    <m:r>
                      <m:rPr>
                        <m:sty m:val="p"/>
                      </m:rPr>
                      <m:t>∈</m:t>
                    </m:r>
                    <m:sSub>
                      <m:e>
                        <m:r>
                          <m:rPr>
                            <m:scr m:val="script"/>
                            <m:sty m:val="p"/>
                          </m:rPr>
                          <m:t>S</m:t>
                        </m:r>
                      </m:e>
                      <m:sub>
                        <m:r>
                          <m:t>o</m:t>
                        </m:r>
                        <m:r>
                          <m:t>b</m:t>
                        </m:r>
                        <m:r>
                          <m:t>s</m:t>
                        </m:r>
                      </m:sub>
                    </m:sSub>
                  </m:e>
                </m:mr>
                <m:mr>
                  <m:e>
                    <m:sSub>
                      <m:e>
                        <m:acc>
                          <m:accPr>
                            <m:chr m:val="̃"/>
                          </m:accPr>
                          <m:e>
                            <m:r>
                              <m:t>Y</m:t>
                            </m:r>
                          </m:e>
                        </m:acc>
                      </m:e>
                      <m:sub>
                        <m:r>
                          <m:t>i</m:t>
                        </m:r>
                      </m:sub>
                    </m:sSub>
                  </m:e>
                  <m:e>
                    <m:r>
                      <m:rPr>
                        <m:nor/>
                        <m:sty m:val="p"/>
                      </m:rPr>
                      <m:t>si </m:t>
                    </m:r>
                    <m:r>
                      <m:t>i</m:t>
                    </m:r>
                    <m:r>
                      <m:rPr>
                        <m:sty m:val="p"/>
                      </m:rPr>
                      <m:t>∉</m:t>
                    </m:r>
                    <m:sSub>
                      <m:e>
                        <m:r>
                          <m:rPr>
                            <m:scr m:val="script"/>
                            <m:sty m:val="p"/>
                          </m:rPr>
                          <m:t>S</m:t>
                        </m:r>
                      </m:e>
                      <m:sub>
                        <m:r>
                          <m:t>o</m:t>
                        </m:r>
                        <m:r>
                          <m:t>b</m:t>
                        </m:r>
                        <m:r>
                          <m:t>s</m:t>
                        </m:r>
                      </m:sub>
                    </m:sSub>
                  </m:e>
                </m:mr>
              </m:m>
            </m:e>
          </m:d>
        </m:oMath>
      </m:oMathPara>
    </w:p>
    <w:p>
      <w:pPr>
        <w:pStyle w:val="FirstParagraph"/>
      </w:pPr>
      <w:r>
        <w:t xml:space="preserve">donde</w:t>
      </w:r>
      <w:r>
        <w:t xml:space="preserve"> </w:t>
      </w:r>
      <m:oMath>
        <m:sSubSup>
          <m:e>
            <m:acc>
              <m:accPr>
                <m:chr m:val="̂"/>
              </m:accPr>
              <m:e>
                <m:r>
                  <m:t>Y</m:t>
                </m:r>
              </m:e>
            </m:acc>
          </m:e>
          <m:sub>
            <m:r>
              <m:t>i</m:t>
            </m:r>
          </m:sub>
          <m:sup>
            <m:r>
              <m:rPr>
                <m:sty m:val="p"/>
              </m:rPr>
              <m:t>(</m:t>
            </m:r>
            <m:r>
              <m:t>a</m:t>
            </m:r>
            <m:r>
              <m:t>u</m:t>
            </m:r>
            <m:r>
              <m:t>s</m:t>
            </m:r>
            <m:r>
              <m:rPr>
                <m:sty m:val="p"/>
              </m:rPr>
              <m:t>)</m:t>
            </m:r>
          </m:sup>
        </m:sSubSup>
      </m:oMath>
      <w:r>
        <w:t xml:space="preserve"> </w:t>
      </w:r>
      <w:r>
        <w:t xml:space="preserve">representa la predicción para las personas no observadas dentro de un segmento con cobertura parcial y</w:t>
      </w:r>
      <w:r>
        <w:t xml:space="preserve"> </w:t>
      </w:r>
      <m:oMath>
        <m:sSub>
          <m:e>
            <m:acc>
              <m:accPr>
                <m:chr m:val="̃"/>
              </m:accPr>
              <m:e>
                <m:r>
                  <m:t>Y</m:t>
                </m:r>
              </m:e>
            </m:acc>
          </m:e>
          <m:sub>
            <m:r>
              <m:t>i</m:t>
            </m:r>
          </m:sub>
        </m:sSub>
      </m:oMath>
      <w:r>
        <w:t xml:space="preserve"> </w:t>
      </w:r>
      <w:r>
        <w:t xml:space="preserve">la predicción completa para segmentos sin cobertura. La incertidumbre de esta agregación se cuantifica mediante la distribución posterior del total, cuya varianza refleja simultáneamente la incertidumbre sobre los parámetros del modelo y la variabilidad del proceso de Poisson.</w:t>
      </w:r>
    </w:p>
    <w:bookmarkEnd w:id="70"/>
    <w:bookmarkStart w:id="71" w:name="interpretación-de-parámetros"/>
    <w:p>
      <w:pPr>
        <w:pStyle w:val="Heading3"/>
      </w:pPr>
      <w:r>
        <w:rPr>
          <w:rStyle w:val="SectionNumber"/>
        </w:rPr>
        <w:t xml:space="preserve">4.1.5</w:t>
      </w:r>
      <w:r>
        <w:tab/>
      </w:r>
      <w:r>
        <w:t xml:space="preserve">Interpretación de parámetros</w:t>
      </w:r>
    </w:p>
    <w:p>
      <w:pPr>
        <w:pStyle w:val="FirstParagraph"/>
      </w:pPr>
      <w:r>
        <w:t xml:space="preserve">La interpretación de los parámetros del modelo Poisson-lognormal requiere considerar la escala en la que opera cada componente. Dado que la densidad poblacional</w:t>
      </w:r>
      <w:r>
        <w:t xml:space="preserve"> </w:t>
      </w:r>
      <m:oMath>
        <m:sSub>
          <m:e>
            <m:r>
              <m:t>δ</m:t>
            </m:r>
          </m:e>
          <m:sub>
            <m:r>
              <m:t>i</m:t>
            </m:r>
          </m:sub>
        </m:sSub>
      </m:oMath>
      <w:r>
        <w:t xml:space="preserve"> </w:t>
      </w:r>
      <w:r>
        <w:t xml:space="preserve">sigue una distribución log-normal, el predictor lineal</w:t>
      </w:r>
      <w:r>
        <w:t xml:space="preserve"> </w:t>
      </w:r>
      <m:oMath>
        <m:sSub>
          <m:e>
            <m:r>
              <m:t>μ</m:t>
            </m:r>
          </m:e>
          <m:sub>
            <m:r>
              <m:t>i</m:t>
            </m:r>
          </m:sub>
        </m:sSub>
      </m:oMath>
      <w:r>
        <w:t xml:space="preserve"> </w:t>
      </w:r>
      <w:r>
        <w:t xml:space="preserve">actúa sobre el logaritmo de la densidad, lo que implica que los coeficientes</w:t>
      </w:r>
      <w:r>
        <w:t xml:space="preserve"> </w:t>
      </w:r>
      <m:oMath>
        <m:r>
          <m:rPr>
            <m:sty m:val="b"/>
          </m:rPr>
          <m:t>β</m:t>
        </m:r>
      </m:oMath>
      <w:r>
        <w:t xml:space="preserve"> </w:t>
      </w:r>
      <w:r>
        <w:t xml:space="preserve">y</w:t>
      </w:r>
      <w:r>
        <w:t xml:space="preserve"> </w:t>
      </w:r>
      <m:oMath>
        <m:r>
          <m:rPr>
            <m:sty m:val="b"/>
          </m:rPr>
          <m:t>γ</m:t>
        </m:r>
      </m:oMath>
      <w:r>
        <w:t xml:space="preserve"> </w:t>
      </w:r>
      <w:r>
        <w:t xml:space="preserve">se interpretan en escala logarítmica.</w:t>
      </w:r>
    </w:p>
    <w:p>
      <w:pPr>
        <w:pStyle w:val="BodyText"/>
      </w:pPr>
      <w:r>
        <w:t xml:space="preserve">Para los coeficientes de efectos fijos, el coeficiente</w:t>
      </w:r>
      <w:r>
        <w:t xml:space="preserve"> </w:t>
      </w:r>
      <m:oMath>
        <m:sSub>
          <m:e>
            <m:r>
              <m:t>β</m:t>
            </m:r>
          </m:e>
          <m:sub>
            <m:r>
              <m:t>k</m:t>
            </m:r>
          </m:sub>
        </m:sSub>
      </m:oMath>
      <w:r>
        <w:t xml:space="preserve"> </w:t>
      </w:r>
      <w:r>
        <w:t xml:space="preserve">representa el cambio esperado en el logaritmo de la densidad poblacional asociado a un incremento de una desviación estándar en la covariable estandarizada</w:t>
      </w:r>
      <w:r>
        <w:t xml:space="preserve"> </w:t>
      </w:r>
      <m:oMath>
        <m:sSub>
          <m:e>
            <m:acc>
              <m:accPr>
                <m:chr m:val="̃"/>
              </m:accPr>
              <m:e>
                <m:r>
                  <m:t>x</m:t>
                </m:r>
              </m:e>
            </m:acc>
          </m:e>
          <m:sub>
            <m:r>
              <m:t>i</m:t>
            </m:r>
            <m:r>
              <m:rPr>
                <m:sty m:val="p"/>
              </m:rPr>
              <m:t>,</m:t>
            </m:r>
            <m:r>
              <m:t>k</m:t>
            </m:r>
          </m:sub>
        </m:sSub>
      </m:oMath>
      <w:r>
        <w:t xml:space="preserve">, manteniendo constantes las demás covariables y los efectos aleatorios. Dado que</w:t>
      </w:r>
      <w:r>
        <w:t xml:space="preserve"> </w:t>
      </w:r>
      <m:oMath>
        <m:r>
          <m:rPr>
            <m:scr m:val="double-struck"/>
            <m:sty m:val="p"/>
          </m:rPr>
          <m:t>E</m:t>
        </m:r>
        <m:r>
          <m:rPr>
            <m:sty m:val="p"/>
          </m:rPr>
          <m:t>[</m:t>
        </m:r>
        <m:r>
          <m:rPr>
            <m:sty m:val="p"/>
          </m:rPr>
          <m:t>log</m:t>
        </m:r>
        <m:sSub>
          <m:e>
            <m:r>
              <m:t>δ</m:t>
            </m:r>
          </m:e>
          <m:sub>
            <m:r>
              <m:t>i</m:t>
            </m:r>
          </m:sub>
        </m:sSub>
        <m:r>
          <m:rPr>
            <m:sty m:val="p"/>
          </m:rPr>
          <m:t>∣</m:t>
        </m:r>
        <m:sSub>
          <m:e>
            <m:r>
              <m:t>μ</m:t>
            </m:r>
          </m:e>
          <m:sub>
            <m:r>
              <m:t>i</m:t>
            </m:r>
          </m:sub>
        </m:sSub>
        <m:r>
          <m:rPr>
            <m:sty m:val="p"/>
          </m:rPr>
          <m:t>,</m:t>
        </m:r>
        <m:r>
          <m:t>σ</m:t>
        </m:r>
        <m:r>
          <m:rPr>
            <m:sty m:val="p"/>
          </m:rPr>
          <m:t>]</m:t>
        </m:r>
        <m:r>
          <m:rPr>
            <m:sty m:val="p"/>
          </m:rPr>
          <m:t>=</m:t>
        </m:r>
        <m:sSub>
          <m:e>
            <m:r>
              <m:t>μ</m:t>
            </m:r>
          </m:e>
          <m:sub>
            <m:r>
              <m:t>i</m:t>
            </m:r>
          </m:sub>
        </m:sSub>
      </m:oMath>
      <w:r>
        <w:t xml:space="preserve"> </w:t>
      </w:r>
      <w:r>
        <w:t xml:space="preserve">para la distribución log-normal, la derivada parcial del predictor lineal respecto a la covariable</w:t>
      </w:r>
      <w:r>
        <w:t xml:space="preserve"> </w:t>
      </w:r>
      <m:oMath>
        <m:r>
          <m:t>k</m:t>
        </m:r>
      </m:oMath>
      <w:r>
        <w:t xml:space="preserve"> </w:t>
      </w:r>
      <w:r>
        <w:t xml:space="preserve">es directamente:</w:t>
      </w:r>
    </w:p>
    <w:p>
      <w:pPr>
        <w:pStyle w:val="BodyText"/>
      </w:pPr>
      <m:oMathPara>
        <m:oMathParaPr>
          <m:jc m:val="center"/>
        </m:oMathParaPr>
        <m:oMath>
          <m:sSub>
            <m:e>
              <m:r>
                <m:t>β</m:t>
              </m:r>
            </m:e>
            <m:sub>
              <m:r>
                <m:t>k</m:t>
              </m:r>
            </m:sub>
          </m:sSub>
          <m:r>
            <m:rPr>
              <m:sty m:val="p"/>
            </m:rPr>
            <m:t>=</m:t>
          </m:r>
          <m:f>
            <m:fPr>
              <m:type m:val="bar"/>
            </m:fPr>
            <m:num>
              <m:r>
                <m:rPr>
                  <m:sty m:val="p"/>
                </m:rPr>
                <m:t>∂</m:t>
              </m:r>
              <m:sSub>
                <m:e>
                  <m:r>
                    <m:t>μ</m:t>
                  </m:r>
                </m:e>
                <m:sub>
                  <m:r>
                    <m:t>i</m:t>
                  </m:r>
                </m:sub>
              </m:sSub>
            </m:num>
            <m:den>
              <m:r>
                <m:rPr>
                  <m:sty m:val="p"/>
                </m:rPr>
                <m:t>∂</m:t>
              </m:r>
              <m:sSub>
                <m:e>
                  <m:acc>
                    <m:accPr>
                      <m:chr m:val="̃"/>
                    </m:accPr>
                    <m:e>
                      <m:r>
                        <m:t>x</m:t>
                      </m:r>
                    </m:e>
                  </m:acc>
                </m:e>
                <m:sub>
                  <m:r>
                    <m:t>i</m:t>
                  </m:r>
                  <m:r>
                    <m:rPr>
                      <m:sty m:val="p"/>
                    </m:rPr>
                    <m:t>,</m:t>
                  </m:r>
                  <m:r>
                    <m:t>k</m:t>
                  </m:r>
                </m:sub>
              </m:sSub>
            </m:den>
          </m:f>
        </m:oMath>
      </m:oMathPara>
    </w:p>
    <w:p>
      <w:pPr>
        <w:pStyle w:val="FirstParagraph"/>
      </w:pPr>
      <w:r>
        <w:t xml:space="preserve">En escala multiplicativa,</w:t>
      </w:r>
      <w:r>
        <w:t xml:space="preserve"> </w:t>
      </w:r>
      <m:oMath>
        <m:r>
          <m:rPr>
            <m:sty m:val="p"/>
          </m:rPr>
          <m:t>exp</m:t>
        </m:r>
        <m:r>
          <m:rPr>
            <m:sty m:val="p"/>
          </m:rPr>
          <m:t>(</m:t>
        </m:r>
        <m:sSub>
          <m:e>
            <m:r>
              <m:t>β</m:t>
            </m:r>
          </m:e>
          <m:sub>
            <m:r>
              <m:t>k</m:t>
            </m:r>
          </m:sub>
        </m:sSub>
        <m:r>
          <m:rPr>
            <m:sty m:val="p"/>
          </m:rPr>
          <m:t>)</m:t>
        </m:r>
      </m:oMath>
      <w:r>
        <w:t xml:space="preserve"> </w:t>
      </w:r>
      <w:r>
        <w:t xml:space="preserve">representa el factor por el cual se multiplica la densidad mediana cuando la covariable</w:t>
      </w:r>
      <w:r>
        <w:t xml:space="preserve"> </w:t>
      </w:r>
      <m:oMath>
        <m:r>
          <m:t>k</m:t>
        </m:r>
      </m:oMath>
      <w:r>
        <w:t xml:space="preserve"> </w:t>
      </w:r>
      <w:r>
        <w:t xml:space="preserve">aumenta en una desviación estándar. Valores de</w:t>
      </w:r>
      <w:r>
        <w:t xml:space="preserve"> </w:t>
      </w:r>
      <m:oMath>
        <m:sSub>
          <m:e>
            <m:r>
              <m:t>β</m:t>
            </m:r>
          </m:e>
          <m:sub>
            <m:r>
              <m:t>k</m:t>
            </m:r>
          </m:sub>
        </m:sSub>
        <m:r>
          <m:rPr>
            <m:sty m:val="p"/>
          </m:rPr>
          <m:t>&gt;</m:t>
        </m:r>
        <m:r>
          <m:t>0</m:t>
        </m:r>
      </m:oMath>
      <w:r>
        <w:t xml:space="preserve"> </w:t>
      </w:r>
      <w:r>
        <w:t xml:space="preserve">indican que el segmento tiende a tener mayor densidad poblacional a medida que crece la covariable correspondiente; valores negativos indican la relación contraria.</w:t>
      </w:r>
    </w:p>
    <w:p>
      <w:pPr>
        <w:pStyle w:val="BodyText"/>
      </w:pPr>
      <w:r>
        <w:t xml:space="preserve">Para los efectos aleatorios, el coeficiente</w:t>
      </w:r>
      <w:r>
        <w:t xml:space="preserve"> </w:t>
      </w:r>
      <m:oMath>
        <m:sSub>
          <m:e>
            <m:r>
              <m:t>γ</m:t>
            </m:r>
          </m:e>
          <m:sub>
            <m:r>
              <m:t>j</m:t>
            </m:r>
          </m:sub>
        </m:sSub>
      </m:oMath>
      <w:r>
        <w:t xml:space="preserve"> </w:t>
      </w:r>
      <w:r>
        <w:t xml:space="preserve">representa el ajuste territorial específico de la unidad geográfica superior</w:t>
      </w:r>
      <w:r>
        <w:t xml:space="preserve"> </w:t>
      </w:r>
      <m:oMath>
        <m:r>
          <m:t>j</m:t>
        </m:r>
      </m:oMath>
      <w:r>
        <w:t xml:space="preserve"> </w:t>
      </w:r>
      <w:r>
        <w:t xml:space="preserve">una vez que el efecto de las covariables ha sido controlado. En escala multiplicativa,</w:t>
      </w:r>
      <w:r>
        <w:t xml:space="preserve"> </w:t>
      </w:r>
      <m:oMath>
        <m:r>
          <m:rPr>
            <m:sty m:val="p"/>
          </m:rPr>
          <m:t>exp</m:t>
        </m:r>
        <m:r>
          <m:rPr>
            <m:sty m:val="p"/>
          </m:rPr>
          <m:t>(</m:t>
        </m:r>
        <m:sSub>
          <m:e>
            <m:r>
              <m:t>γ</m:t>
            </m:r>
          </m:e>
          <m:sub>
            <m:r>
              <m:t>j</m:t>
            </m:r>
          </m:sub>
        </m:sSub>
        <m:r>
          <m:rPr>
            <m:sty m:val="p"/>
          </m:rPr>
          <m:t>)</m:t>
        </m:r>
      </m:oMath>
      <w:r>
        <w:t xml:space="preserve"> </w:t>
      </w:r>
      <w:r>
        <w:t xml:space="preserve">es el factor por el cual se ajusta la densidad de todos los segmentos pertenecientes al territorio</w:t>
      </w:r>
      <w:r>
        <w:t xml:space="preserve"> </w:t>
      </w:r>
      <m:oMath>
        <m:r>
          <m:t>j</m:t>
        </m:r>
      </m:oMath>
      <w:r>
        <w:t xml:space="preserve"> </w:t>
      </w:r>
      <w:r>
        <w:t xml:space="preserve">respecto al nivel implícito en los efectos fijos. La distribución a priori</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impone que estos ajustes se concentren alrededor de cero con una variabilidad determinada por</w:t>
      </w:r>
      <w:r>
        <w:t xml:space="preserve"> </w:t>
      </w:r>
      <m:oMath>
        <m:sSub>
          <m:e>
            <m:r>
              <m:t>σ</m:t>
            </m:r>
          </m:e>
          <m:sub>
            <m:r>
              <m:t>U</m:t>
            </m:r>
          </m:sub>
        </m:sSub>
      </m:oMath>
      <w:r>
        <w:t xml:space="preserve">, lo que produce el efecto de encogimiento sobre territorios con escasa información.</w:t>
      </w:r>
    </w:p>
    <w:p>
      <w:pPr>
        <w:pStyle w:val="BodyText"/>
      </w:pPr>
      <w:r>
        <w:t xml:space="preserve">El parámetro</w:t>
      </w:r>
      <w:r>
        <w:t xml:space="preserve"> </w:t>
      </w:r>
      <m:oMath>
        <m:r>
          <m:t>σ</m:t>
        </m:r>
      </m:oMath>
      <w:r>
        <w:t xml:space="preserve"> </w:t>
      </w:r>
      <w:r>
        <w:t xml:space="preserve">controla la dispersión de las densidades</w:t>
      </w:r>
      <w:r>
        <w:t xml:space="preserve"> </w:t>
      </w:r>
      <m:oMath>
        <m:sSub>
          <m:e>
            <m:r>
              <m:t>δ</m:t>
            </m:r>
          </m:e>
          <m:sub>
            <m:r>
              <m:t>i</m:t>
            </m:r>
          </m:sub>
        </m:sSub>
      </m:oMath>
      <w:r>
        <w:t xml:space="preserve"> </w:t>
      </w:r>
      <w:r>
        <w:t xml:space="preserve">alrededor de su media condicional</w:t>
      </w:r>
      <w:r>
        <w:t xml:space="preserve"> </w:t>
      </w:r>
      <m:oMath>
        <m:r>
          <m:rPr>
            <m:sty m:val="p"/>
          </m:rPr>
          <m:t>exp</m:t>
        </m:r>
        <m:r>
          <m:rPr>
            <m:sty m:val="p"/>
          </m:rPr>
          <m:t>(</m:t>
        </m:r>
        <m:sSub>
          <m:e>
            <m:r>
              <m:t>μ</m:t>
            </m:r>
          </m:e>
          <m:sub>
            <m:r>
              <m:t>i</m:t>
            </m:r>
          </m:sub>
        </m:sSub>
        <m:r>
          <m:rPr>
            <m:sty m:val="p"/>
          </m:rPr>
          <m:t>+</m:t>
        </m:r>
        <m:sSup>
          <m:e>
            <m:r>
              <m:t>σ</m:t>
            </m:r>
          </m:e>
          <m:sup>
            <m:r>
              <m:t>2</m:t>
            </m:r>
          </m:sup>
        </m:sSup>
        <m:r>
          <m:rPr>
            <m:sty m:val="p"/>
          </m:rPr>
          <m:t>/</m:t>
        </m:r>
        <m:r>
          <m:t>2</m:t>
        </m:r>
        <m:r>
          <m:rPr>
            <m:sty m:val="p"/>
          </m:rPr>
          <m:t>)</m:t>
        </m:r>
      </m:oMath>
      <w:r>
        <w:t xml:space="preserve">. En escala logarítmica,</w:t>
      </w:r>
      <w:r>
        <w:t xml:space="preserve"> </w:t>
      </w:r>
      <m:oMath>
        <m:r>
          <m:t>σ</m:t>
        </m:r>
      </m:oMath>
      <w:r>
        <w:t xml:space="preserve"> </w:t>
      </w:r>
      <w:r>
        <w:t xml:space="preserve">corresponde a la desviación estándar de</w:t>
      </w:r>
      <w:r>
        <w:t xml:space="preserve"> </w:t>
      </w:r>
      <m:oMath>
        <m:r>
          <m:rPr>
            <m:sty m:val="p"/>
          </m:rPr>
          <m:t>log</m:t>
        </m:r>
        <m:sSub>
          <m:e>
            <m:r>
              <m:t>δ</m:t>
            </m:r>
          </m:e>
          <m:sub>
            <m:r>
              <m:t>i</m:t>
            </m:r>
          </m:sub>
        </m:sSub>
      </m:oMath>
      <w:r>
        <w:t xml:space="preserve">; valores grandes de</w:t>
      </w:r>
      <w:r>
        <w:t xml:space="preserve"> </w:t>
      </w:r>
      <m:oMath>
        <m:r>
          <m:t>σ</m:t>
        </m:r>
      </m:oMath>
      <w:r>
        <w:t xml:space="preserve"> </w:t>
      </w:r>
      <w:r>
        <w:t xml:space="preserve">indican alta heterogeneidad residual en las densidades no explicada por las covariables ni por los efectos aleatorios. El hiperparámetro</w:t>
      </w:r>
      <w:r>
        <w:t xml:space="preserve"> </w:t>
      </w:r>
      <m:oMath>
        <m:sSub>
          <m:e>
            <m:r>
              <m:t>σ</m:t>
            </m:r>
          </m:e>
          <m:sub>
            <m:r>
              <m:t>U</m:t>
            </m:r>
          </m:sub>
        </m:sSub>
      </m:oMath>
      <w:r>
        <w:t xml:space="preserve"> </w:t>
      </w:r>
      <w:r>
        <w:t xml:space="preserve">cuantifica, por su parte, la dispersión de los efectos aleatorios entre unidades territoriales: valores grandes de</w:t>
      </w:r>
      <w:r>
        <w:t xml:space="preserve"> </w:t>
      </w:r>
      <m:oMath>
        <m:sSub>
          <m:e>
            <m:r>
              <m:t>σ</m:t>
            </m:r>
          </m:e>
          <m:sub>
            <m:r>
              <m:t>U</m:t>
            </m:r>
          </m:sub>
        </m:sSub>
      </m:oMath>
      <w:r>
        <w:t xml:space="preserve"> </w:t>
      </w:r>
      <w:r>
        <w:t xml:space="preserve">indican que los territorios presentan densidades sistemáticamente distintas incluso después de controlar por las covariables auxiliares.</w:t>
      </w:r>
    </w:p>
    <w:p>
      <w:pPr>
        <w:pStyle w:val="BodyText"/>
      </w:pPr>
      <w:r>
        <w:t xml:space="preserve">Finalmente, la densidad latente</w:t>
      </w:r>
      <w:r>
        <w:t xml:space="preserve"> </w:t>
      </w:r>
      <m:oMath>
        <m:sSub>
          <m:e>
            <m:r>
              <m:t>δ</m:t>
            </m:r>
          </m:e>
          <m:sub>
            <m:r>
              <m:t>i</m:t>
            </m:r>
          </m:sub>
        </m:sSub>
      </m:oMath>
      <w:r>
        <w:t xml:space="preserve"> </w:t>
      </w:r>
      <w:r>
        <w:t xml:space="preserve">tiene una interpretación demográfica directa: representa el número estimado de personas por estructura habitacional en el segmento</w:t>
      </w:r>
      <w:r>
        <w:t xml:space="preserve"> </w:t>
      </w:r>
      <m:oMath>
        <m:r>
          <m:t>i</m:t>
        </m:r>
      </m:oMath>
      <w:r>
        <w:t xml:space="preserve">. Este parámetro puede utilizarse para comparar la intensidad de ocupación habitacional entre segmentos, identificar áreas de alta concentración y construir predicciones de población condicionadas al número de estructuras disponibles. Su distribución posterior provee una medida de incertidumbre que refleja tanto la variabilidad del conteo observado como la posición del segmento en la distribución log-normal especificada por el modelo.</w:t>
      </w:r>
    </w:p>
    <w:bookmarkEnd w:id="71"/>
    <w:bookmarkEnd w:id="72"/>
    <w:bookmarkStart w:id="101"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w:t>
      </w:r>
      <w:r>
        <w:t xml:space="preserve"> </w:t>
      </w: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3"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simétricas, transformación logarítmica para variables de conteo con cola derecha, o normalización al intervalo unitario para índices y proporciones.</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mediante análisis de correlación previo a la estimación y selección de variables basada en criterios estadísticos, complementados por el efecto regularizador de las distribuciones a priori</w:t>
      </w:r>
      <w:r>
        <w:t xml:space="preserve"> </w:t>
      </w:r>
      <m:oMath>
        <m:sSub>
          <m:e>
            <m:r>
              <m:t>β</m:t>
            </m:r>
          </m:e>
          <m:sub>
            <m:r>
              <m:t>k</m:t>
            </m:r>
          </m:sub>
        </m:sSub>
        <m:r>
          <m:rPr>
            <m:sty m:val="p"/>
          </m:rPr>
          <m:t>∼</m:t>
        </m:r>
        <m:r>
          <m:rPr>
            <m:scr m:val="script"/>
            <m:sty m:val="p"/>
          </m:rPr>
          <m:t>N</m:t>
        </m:r>
        <m:r>
          <m:rPr>
            <m:sty m:val="p"/>
          </m:rPr>
          <m:t>(</m:t>
        </m:r>
        <m:r>
          <m:t>0</m:t>
        </m:r>
        <m:r>
          <m:rPr>
            <m:sty m:val="p"/>
          </m:rPr>
          <m:t>,</m:t>
        </m:r>
        <m:r>
          <m:t>1</m:t>
        </m:r>
        <m:r>
          <m:rPr>
            <m:sty m:val="p"/>
          </m:rPr>
          <m:t>)</m:t>
        </m:r>
      </m:oMath>
      <w:r>
        <w:t xml:space="preserve">, que penalizan moderadamente los coeficientes de gran magnitud y estabilizan la estimación en presencia de predictores correlacionados.</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3"/>
    <w:bookmarkStart w:id="74"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a priori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4"/>
    <w:bookmarkStart w:id="75"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a priori</w:t>
      </w:r>
      <w:r>
        <w:t xml:space="preserve"> </w:t>
      </w:r>
      <m:oMath>
        <m:sSub>
          <m:e>
            <m:r>
              <m:t>β</m:t>
            </m:r>
          </m:e>
          <m:sub>
            <m:r>
              <m:t>k</m:t>
            </m:r>
            <m:r>
              <m:t>l</m:t>
            </m:r>
          </m:sub>
        </m:sSub>
        <m:r>
          <m:rPr>
            <m:sty m:val="p"/>
          </m:rPr>
          <m:t>∼</m:t>
        </m:r>
        <m:r>
          <m:rPr>
            <m:scr m:val="script"/>
            <m:sty m:val="p"/>
          </m:rPr>
          <m:t>N</m:t>
        </m:r>
        <m:r>
          <m:rPr>
            <m:sty m:val="p"/>
          </m:rPr>
          <m:t>(</m:t>
        </m:r>
        <m:r>
          <m:t>0</m:t>
        </m:r>
        <m:r>
          <m:rPr>
            <m:sty m:val="p"/>
          </m:rPr>
          <m:t>,</m:t>
        </m:r>
        <m:r>
          <m:t>1</m:t>
        </m:r>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 cuyas bases se desarrollan en el capítulo dedicado al diagnóstico y validación.</w:t>
      </w:r>
    </w:p>
    <w:bookmarkEnd w:id="75"/>
    <w:bookmarkStart w:id="100" w:name="X25e9eecc3378d2374cc2fb4875ea350d0c6d1b9"/>
    <w:p>
      <w:pPr>
        <w:pStyle w:val="Heading3"/>
      </w:pPr>
      <w:r>
        <w:rPr>
          <w:rStyle w:val="SectionNumber"/>
        </w:rPr>
        <w:t xml:space="preserve">4.2.4</w:t>
      </w:r>
      <w:r>
        <w:tab/>
      </w:r>
      <w:r>
        <w:t xml:space="preserve">Sobredispersión, offset y alternativas distribucionales</w:t>
      </w:r>
    </w:p>
    <w:p>
      <w:pPr>
        <w:pStyle w:val="FirstParagraph"/>
      </w:pPr>
      <w:r>
        <w:t xml:space="preserve">El diseño del modelo Poisson-lognormal incorpora tres elementos adicionales que merecen consideración específica: el mecanismo de control de sobredispersión a través de la distribución log-normal, el uso del número de estructuras como offset del proceso de conteo, y las alternativas distribucionales consideradas frente al modelo propuesto.</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Formalmente, el modelo puede reescribirse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donde</w:t>
      </w:r>
      <w:r>
        <w:t xml:space="preserve"> </w:t>
      </w:r>
      <m:oMath>
        <m:sSub>
          <m:e>
            <m:r>
              <m:t>ε</m:t>
            </m:r>
          </m:e>
          <m:sub>
            <m:r>
              <m:t>i</m:t>
            </m:r>
          </m:sub>
        </m:sSub>
        <m:r>
          <m:rPr>
            <m:sty m:val="p"/>
          </m:rPr>
          <m:t>=</m:t>
        </m:r>
        <m:r>
          <m:rPr>
            <m:sty m:val="p"/>
          </m:rPr>
          <m:t>log</m:t>
        </m:r>
        <m:r>
          <m:rPr>
            <m:sty m:val="p"/>
          </m:rPr>
          <m:t>(</m:t>
        </m:r>
        <m:sSub>
          <m:e>
            <m:r>
              <m:t>δ</m:t>
            </m:r>
          </m:e>
          <m:sub>
            <m:r>
              <m:t>i</m:t>
            </m:r>
          </m:sub>
        </m:sSub>
        <m:r>
          <m:rPr>
            <m:sty m:val="p"/>
          </m:rPr>
          <m:t>)</m:t>
        </m:r>
        <m:r>
          <m:rPr>
            <m:sty m:val="p"/>
          </m:rPr>
          <m:t>−</m:t>
        </m:r>
        <m:sSub>
          <m:e>
            <m:r>
              <m:t>μ</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es el error log-normal. 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se tendría</w:t>
      </w:r>
      <w:r>
        <w:t xml:space="preserve"> </w:t>
      </w:r>
      <m:oMath>
        <m:r>
          <m:rPr>
            <m:no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
          <m:e>
            <m:r>
              <m:t>λ</m:t>
            </m:r>
          </m:e>
          <m:sub>
            <m:r>
              <m:t>i</m:t>
            </m:r>
          </m:sub>
        </m:sSub>
      </m:oMath>
      <w:r>
        <w:t xml:space="preserve">. La introducción de</w:t>
      </w:r>
      <w:r>
        <w:t xml:space="preserve"> </w:t>
      </w:r>
      <m:oMath>
        <m:sSub>
          <m:e>
            <m:r>
              <m:t>δ</m:t>
            </m:r>
          </m:e>
          <m:sub>
            <m:r>
              <m:t>i</m:t>
            </m:r>
          </m:sub>
        </m:sSub>
      </m:oMath>
      <w:r>
        <w:t xml:space="preserve"> </w:t>
      </w:r>
      <w:r>
        <w:t xml:space="preserve">log-normal rompe esta restricción de equidispersión e induce la varianza marginal presentada en la sección anterior, cuyo exceso sobre la media es estrictamente positivo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este exceso: a mayor</w:t>
      </w:r>
      <w:r>
        <w:t xml:space="preserve"> </w:t>
      </w:r>
      <m:oMath>
        <m:r>
          <m:t>σ</m:t>
        </m:r>
      </m:oMath>
      <w:r>
        <w:t xml:space="preserve">, mayor sobredispersión relativa. Esta parametrización permite que el modelo se adapte automáticamente al nivel de variabilidad presente en los datos, sin requerir la especificación a priori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rPr>
          <w:b/>
          <w:bCs/>
        </w:rPr>
        <w:t xml:space="preserve">Especificación alternativa.</w:t>
      </w:r>
      <w:r>
        <w:t xml:space="preserve"> </w:t>
      </w:r>
      <w:r>
        <w:t xml:space="preserve">Un modelo de Poisson con efectos aleatorios gaussianos no estructurados en el predictor lineal —sin el componente de densidad latente— constituye una alternativa computacionalmente más sencilla que puede resultar apropiada cuando la sobredispersión es moderada. En ese caso, el predictor lineal incluye un término de error no estructurado</w:t>
      </w:r>
      <w:r>
        <w:t xml:space="preserve"> </w:t>
      </w:r>
      <m:oMath>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que absorbe la variabilidad residual no capturada por los efectos fijos ni por los efectos aleatorios territoriales: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sSub>
            <m:e>
              <m:r>
                <m:t>u</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La elección entre estas especificaciones debe fundamentarse en el diagnóstico exploratorio de los datos —en particular, en la relación empírica entre la media y la varianza de los conteos por segmento— y en la comparación posterior mediante criterios de información.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 y ha mostrado buen desempeño en las aplicaciones desarrolladas sobre censos de América Latina y el Caribe que sirven de referencia para este libro.</w:t>
      </w:r>
    </w:p>
    <w:bookmarkStart w:id="99" w:name="refs"/>
    <w:bookmarkStart w:id="76"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76"/>
    <w:bookmarkStart w:id="78"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77">
        <w:r>
          <w:rPr>
            <w:rStyle w:val="Hyperlink"/>
          </w:rPr>
          <w:t xml:space="preserve">https://doi.org/10.1214/13-BA820</w:t>
        </w:r>
      </w:hyperlink>
      <w:r>
        <w:t xml:space="preserve">.</w:t>
      </w:r>
    </w:p>
    <w:bookmarkEnd w:id="78"/>
    <w:bookmarkStart w:id="79"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79"/>
    <w:bookmarkStart w:id="81"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80">
        <w:r>
          <w:rPr>
            <w:rStyle w:val="Hyperlink"/>
          </w:rPr>
          <w:t xml:space="preserve">https://doi.org/10.18637/jss.v076.i01</w:t>
        </w:r>
      </w:hyperlink>
      <w:r>
        <w:t xml:space="preserve">.</w:t>
      </w:r>
    </w:p>
    <w:bookmarkEnd w:id="81"/>
    <w:bookmarkStart w:id="82"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82"/>
    <w:bookmarkStart w:id="83"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83"/>
    <w:bookmarkStart w:id="85"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84">
        <w:r>
          <w:rPr>
            <w:rStyle w:val="Hyperlink"/>
          </w:rPr>
          <w:t xml:space="preserve">https://doi.org/10.1016/j.rse.2017.06.031</w:t>
        </w:r>
      </w:hyperlink>
      <w:r>
        <w:t xml:space="preserve">.</w:t>
      </w:r>
    </w:p>
    <w:bookmarkEnd w:id="85"/>
    <w:bookmarkStart w:id="86"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86"/>
    <w:bookmarkStart w:id="87"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87"/>
    <w:bookmarkStart w:id="88"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88"/>
    <w:bookmarkStart w:id="89"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89"/>
    <w:bookmarkStart w:id="90"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90"/>
    <w:bookmarkStart w:id="91"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91"/>
    <w:bookmarkStart w:id="93"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92">
        <w:r>
          <w:rPr>
            <w:rStyle w:val="Hyperlink"/>
          </w:rPr>
          <w:t xml:space="preserve">https://doi.org/10.1073/pnas.1211452109</w:t>
        </w:r>
      </w:hyperlink>
      <w:r>
        <w:t xml:space="preserve">.</w:t>
      </w:r>
    </w:p>
    <w:bookmarkEnd w:id="93"/>
    <w:bookmarkStart w:id="94"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94"/>
    <w:bookmarkStart w:id="95"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95"/>
    <w:bookmarkStart w:id="96"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96"/>
    <w:bookmarkStart w:id="98"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97">
        <w:r>
          <w:rPr>
            <w:rStyle w:val="Hyperlink"/>
          </w:rPr>
          <w:t xml:space="preserve">https://doi.org/10.1080/01621459.2012.737729</w:t>
        </w:r>
      </w:hyperlink>
      <w:r>
        <w:t xml:space="preserve">.</w:t>
      </w:r>
    </w:p>
    <w:bookmarkEnd w:id="98"/>
    <w:bookmarkEnd w:id="99"/>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84" Target="https://doi.org/10.1016/j.rse.2017.06.031" TargetMode="External" /><Relationship Type="http://schemas.openxmlformats.org/officeDocument/2006/relationships/hyperlink" Id="rId92" Target="https://doi.org/10.1073/pnas.1211452109" TargetMode="External" /><Relationship Type="http://schemas.openxmlformats.org/officeDocument/2006/relationships/hyperlink" Id="rId97" Target="https://doi.org/10.1080/01621459.2012.737729" TargetMode="External" /><Relationship Type="http://schemas.openxmlformats.org/officeDocument/2006/relationships/hyperlink" Id="rId77" Target="https://doi.org/10.1214/13-BA820" TargetMode="External" /><Relationship Type="http://schemas.openxmlformats.org/officeDocument/2006/relationships/hyperlink" Id="rId80" Target="https://doi.org/10.18637/jss.v076.i01" TargetMode="External" /><Relationship Type="http://schemas.openxmlformats.org/officeDocument/2006/relationships/hyperlink" Id="rId104" Target="mailto:andres.gutierrez@cepal.org" TargetMode="External" /><Relationship Type="http://schemas.openxmlformats.org/officeDocument/2006/relationships/hyperlink" Id="rId106"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16/j.rse.2017.06.031" TargetMode="External" /><Relationship Type="http://schemas.openxmlformats.org/officeDocument/2006/relationships/hyperlink" Id="rId92" Target="https://doi.org/10.1073/pnas.1211452109" TargetMode="External" /><Relationship Type="http://schemas.openxmlformats.org/officeDocument/2006/relationships/hyperlink" Id="rId97" Target="https://doi.org/10.1080/01621459.2012.737729" TargetMode="External" /><Relationship Type="http://schemas.openxmlformats.org/officeDocument/2006/relationships/hyperlink" Id="rId77" Target="https://doi.org/10.1214/13-BA820" TargetMode="External" /><Relationship Type="http://schemas.openxmlformats.org/officeDocument/2006/relationships/hyperlink" Id="rId80" Target="https://doi.org/10.18637/jss.v076.i01" TargetMode="External" /><Relationship Type="http://schemas.openxmlformats.org/officeDocument/2006/relationships/hyperlink" Id="rId104" Target="mailto:andres.gutierrez@cepal.org" TargetMode="External" /><Relationship Type="http://schemas.openxmlformats.org/officeDocument/2006/relationships/hyperlink" Id="rId106"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2026-07-30T22:51:57Z</dcterms:created>
  <dcterms:modified xsi:type="dcterms:W3CDTF">2026-07-30T22:51:57Z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julio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