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agosto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cap-modelos-poblacion"/>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 Se usa la notación</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para evitar toda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conjunto de segmentos introducida en el Capítulo</w:t>
      </w:r>
      <w:r>
        <w:t xml:space="preserve"> </w:t>
      </w:r>
      <w:r>
        <w:t xml:space="preserve">4</w:t>
      </w:r>
      <w:r>
        <w:t xml:space="preserv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subcobertura-omision"/>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6"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4</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4</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w:t>
      </w:r>
      <w:r>
        <w:t xml:space="preserve"> </w:t>
      </w:r>
      <w:r>
        <w:rPr>
          <w:b/>
          <w:bCs/>
        </w:rPr>
        <w:t xml:space="preserve">Nota de notación.</w:t>
      </w:r>
      <w:r>
        <w:t xml:space="preserve"> </w:t>
      </w:r>
      <w:r>
        <w:t xml:space="preserve">A partir de aquí, el acento ancho</w:t>
      </w:r>
      <w:r>
        <w:t xml:space="preserve"> </w:t>
      </w:r>
      <m:oMath>
        <m:sSub>
          <m:e>
            <m:acc>
              <m:accPr>
                <m:chr m:val="̂"/>
              </m:accPr>
              <m:e>
                <m:r>
                  <m:t>N</m:t>
                </m:r>
              </m:e>
            </m:acc>
          </m:e>
          <m:sub>
            <m:r>
              <m:t>i</m:t>
            </m:r>
          </m:sub>
        </m:sSub>
      </m:oMath>
      <w:r>
        <w:t xml:space="preserve"> </w:t>
      </w:r>
      <w:r>
        <w:t xml:space="preserve">(comando LaTeX</w:t>
      </w:r>
      <w:r>
        <w:t xml:space="preserve"> </w:t>
      </w:r>
      <w:r>
        <w:rPr>
          <w:rStyle w:val="VerbatimChar"/>
        </w:rPr>
        <w:t xml:space="preserve">\widehat</w:t>
      </w:r>
      <w:r>
        <w:t xml:space="preserve">) se reserva exclusivamente para referencias poblacionales externas al modelo, como la empleada en este estimador de cobertura. El acento angosto</w:t>
      </w:r>
      <w:r>
        <w:t xml:space="preserve"> </w:t>
      </w:r>
      <m:oMath>
        <m:acc>
          <m:accPr>
            <m:chr m:val="̂"/>
          </m:accPr>
          <m:e>
            <m:r>
              <m:t>N</m:t>
            </m:r>
          </m:e>
        </m:acc>
      </m:oMath>
      <w:r>
        <w:t xml:space="preserve"> </w:t>
      </w:r>
      <w:r>
        <w:t xml:space="preserve">(</w:t>
      </w:r>
      <w:r>
        <w:rPr>
          <w:rStyle w:val="VerbatimChar"/>
        </w:rPr>
        <w:t xml:space="preserve">\hat</w:t>
      </w:r>
      <w:r>
        <w:t xml:space="preserve">), utilizado más arriba en esta misma sección para la coherencia jerárquica y retomado en los Capítulos</w:t>
      </w:r>
      <w:r>
        <w:t xml:space="preserve"> </w:t>
      </w:r>
      <w:r>
        <w:t xml:space="preserve">4</w:t>
      </w:r>
      <w:r>
        <w:t xml:space="preserve">,</w:t>
      </w:r>
      <w:r>
        <w:t xml:space="preserve"> </w:t>
      </w:r>
      <w:r>
        <w:t xml:space="preserve">??</w:t>
      </w:r>
      <w:r>
        <w:t xml:space="preserve"> </w:t>
      </w:r>
      <w:r>
        <w:t xml:space="preserve">y</w:t>
      </w:r>
      <w:r>
        <w:t xml:space="preserve"> </w:t>
      </w:r>
      <w:r>
        <w:t xml:space="preserve">??</w:t>
      </w:r>
      <w:r>
        <w:t xml:space="preserve">, denota en cambio la propia estimación agregada del modelo bayesiano —la cantidad que en el Capítulo</w:t>
      </w:r>
      <w:r>
        <w:t xml:space="preserve"> </w:t>
      </w:r>
      <w:r>
        <w:t xml:space="preserve">??</w:t>
      </w:r>
      <w:r>
        <w:t xml:space="preserve"> </w:t>
      </w:r>
      <w:r>
        <w:t xml:space="preserve">se calibra frente a un total de control externo—. Ambas cantidades son conceptualmente distintas —una es insumo para evaluar cobertura, la otra es un resultado del modelo— y no deben confundirse pese a la similitud visual del símbolo. Este estimador se utiliza para clasificar los segmentos según su nivel de cobertura y definir el tratamiento que recibirán en las etapas posteriores del modelamiento: los segmentos con cobertura completa (</w:t>
      </w:r>
      <m:oMath>
        <m:sSub>
          <m:e>
            <m:acc>
              <m:accPr>
                <m:chr m:val="̂"/>
              </m:accPr>
              <m:e>
                <m:r>
                  <m:t>c</m:t>
                </m:r>
              </m:e>
            </m:acc>
          </m:e>
          <m:sub>
            <m:r>
              <m:t>i</m:t>
            </m:r>
          </m:sub>
        </m:sSub>
        <m:r>
          <m:rPr>
            <m:sty m:val="p"/>
          </m:rPr>
          <m:t>=</m:t>
        </m:r>
        <m:r>
          <m:t>1</m:t>
        </m:r>
      </m:oMath>
      <w:r>
        <w:t xml:space="preserve">) utilizan directamente el conteo censal; los segmentos con cobertura parcial (</w:t>
      </w:r>
      <m:oMath>
        <m:r>
          <m:t>0</m:t>
        </m:r>
        <m:r>
          <m:rPr>
            <m:sty m:val="p"/>
          </m:rPr>
          <m:t>&lt;</m:t>
        </m:r>
        <m:sSub>
          <m:e>
            <m:acc>
              <m:accPr>
                <m:chr m:val="̂"/>
              </m:accPr>
              <m:e>
                <m:r>
                  <m:t>c</m:t>
                </m:r>
              </m:e>
            </m:acc>
          </m:e>
          <m:sub>
            <m:r>
              <m:t>i</m:t>
            </m:r>
          </m:sub>
        </m:sSub>
        <m:r>
          <m:rPr>
            <m:sty m:val="p"/>
          </m:rPr>
          <m:t>&lt;</m:t>
        </m:r>
        <m:r>
          <m:t>1</m:t>
        </m:r>
      </m:oMath>
      <w:r>
        <w:t xml:space="preserve">) combinan el conteo observado con la predicción del modelo para la población omitida; y los segmentos con cobertura nula (</w:t>
      </w:r>
      <m:oMath>
        <m:sSub>
          <m:e>
            <m:acc>
              <m:accPr>
                <m:chr m:val="̂"/>
              </m:accPr>
              <m:e>
                <m:r>
                  <m:t>c</m:t>
                </m:r>
              </m:e>
            </m:acc>
          </m:e>
          <m:sub>
            <m:r>
              <m:t>i</m:t>
            </m:r>
          </m:sub>
        </m:sSub>
        <m:r>
          <m:rPr>
            <m:sty m:val="p"/>
          </m:rPr>
          <m:t>=</m:t>
        </m:r>
        <m:r>
          <m:t>0</m:t>
        </m:r>
      </m:oMath>
      <w:r>
        <w:t xml:space="preserve">) se estiman íntegramente mediante las covariables auxiliares y la estructura jerárquica del modelo. Esta clasificación se formaliza en la Sección</w:t>
      </w:r>
      <w:r>
        <w:t xml:space="preserve"> </w:t>
      </w:r>
      <w:r>
        <w:t xml:space="preserve">3.2</w:t>
      </w:r>
      <w:r>
        <w:t xml:space="preserve"> </w:t>
      </w:r>
      <w:r>
        <w:t xml:space="preserve">del Capítulo</w:t>
      </w:r>
      <w:r>
        <w:t xml:space="preserve"> </w:t>
      </w:r>
      <w:r>
        <w:t xml:space="preserve">3</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35"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34"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4</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4"/>
    <w:bookmarkEnd w:id="35"/>
    <w:bookmarkEnd w:id="36"/>
    <w:bookmarkStart w:id="68" w:name="cap-insumos"/>
    <w:p>
      <w:pPr>
        <w:pStyle w:val="Heading1"/>
      </w:pPr>
      <w:r>
        <w:rPr>
          <w:rStyle w:val="SectionNumber"/>
        </w:rPr>
        <w:t xml:space="preserve">3</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39" w:name="estandarización-de-fuentes"/>
    <w:p>
      <w:pPr>
        <w:pStyle w:val="Heading2"/>
      </w:pPr>
      <w:r>
        <w:rPr>
          <w:rStyle w:val="SectionNumber"/>
        </w:rPr>
        <w:t xml:space="preserve">3.1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37" w:name="homologación-de-variables"/>
    <w:p>
      <w:pPr>
        <w:pStyle w:val="Heading3"/>
      </w:pPr>
      <w:r>
        <w:rPr>
          <w:rStyle w:val="SectionNumber"/>
        </w:rPr>
        <w:t xml:space="preserve">3.1.1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departamentos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—un marco de referencia distinto del nivel territorial superior indexado también por</w:t>
      </w:r>
      <w:r>
        <w:t xml:space="preserve"> </w:t>
      </w:r>
      <m:oMath>
        <m:r>
          <m:t>j</m:t>
        </m:r>
      </m:oMath>
      <w:r>
        <w:t xml:space="preserve"> </w:t>
      </w:r>
      <w:r>
        <w:t xml:space="preserve">en los efectos aleatorios del Capítulo</w:t>
      </w:r>
      <w:r>
        <w:t xml:space="preserve"> </w:t>
      </w:r>
      <w:r>
        <w:t xml:space="preserve">4</w:t>
      </w:r>
      <w:r>
        <w:t xml:space="preserve">, con el que puede o no coincidir—. La asignación de cada registro al segmento correspondiente requiere construir una función de mapeo</w:t>
      </w:r>
      <w:r>
        <w:t xml:space="preserve"> </w:t>
      </w:r>
      <m:oMath>
        <m:r>
          <m:t>ϕ</m:t>
        </m:r>
        <m:r>
          <m:rPr>
            <m:sty m:val="p"/>
          </m:rPr>
          <m:t>:</m:t>
        </m:r>
        <m:r>
          <m:rPr>
            <m:scr m:val="script"/>
            <m:sty m:val="p"/>
          </m:rPr>
          <m:t>S</m:t>
        </m:r>
        <m:r>
          <m:rPr>
            <m:sty m:val="p"/>
          </m:rPr>
          <m:t>→</m:t>
        </m:r>
        <m:r>
          <m:rPr>
            <m:scr m:val="script"/>
            <m:sty m:val="p"/>
          </m:rPr>
          <m:t>U</m:t>
        </m:r>
      </m:oMath>
      <w:r>
        <w:t xml:space="preserve"> </w:t>
      </w:r>
      <w:r>
        <w:t xml:space="preserve">que identifica, para cada segmento</w:t>
      </w:r>
      <w:r>
        <w:t xml:space="preserve"> </w:t>
      </w:r>
      <m:oMath>
        <m:r>
          <m:t>i</m:t>
        </m:r>
      </m:oMath>
      <w:r>
        <w:t xml:space="preserve">, la unidad administrativa</w:t>
      </w:r>
      <w:r>
        <w:t xml:space="preserve"> </w:t>
      </w:r>
      <m:oMath>
        <m:r>
          <m:t>j</m:t>
        </m:r>
        <m:r>
          <m:rPr>
            <m:sty m:val="p"/>
          </m:rPr>
          <m:t>(</m:t>
        </m:r>
        <m:r>
          <m:t>i</m:t>
        </m:r>
        <m:r>
          <m:rPr>
            <m:sty m:val="p"/>
          </m:rPr>
          <m:t>)</m:t>
        </m:r>
      </m:oMath>
      <w:r>
        <w:t xml:space="preserve"> </w:t>
      </w:r>
      <w:r>
        <w:t xml:space="preserve">que lo contiene, basada en la intersección espacial entre las geometrías de ambos marcos.</w:t>
      </w:r>
    </w:p>
    <w:p>
      <w:pPr>
        <w:pStyle w:val="BodyText"/>
      </w:pPr>
      <w:r>
        <w:t xml:space="preserve">Cuando las unidades del registro son más grandes que los segmentos censales —el caso habitual en la región, donde un municipio, provincia o departamento agrupa numerosos segmentos—, la compatibilización no desagrega el conteo administrativo entre esos segmentos: todos los segmentos pertenecientes a una misma unidad territorial reciben el mismo valor, el de la unidad que los contiene. Formalmente:</w:t>
      </w:r>
    </w:p>
    <w:p>
      <w:pPr>
        <w:pStyle w:val="BodyText"/>
      </w:pPr>
      <m:oMathPara>
        <m:oMathParaPr>
          <m:jc m:val="center"/>
        </m:oMathParaPr>
        <m:oMath>
          <m:sSubSup>
            <m:e>
              <m:acc>
                <m:accPr>
                  <m:chr m:val="̂"/>
                </m:accPr>
                <m:e>
                  <m:r>
                    <m:t>Y</m:t>
                  </m:r>
                </m:e>
              </m:acc>
            </m:e>
            <m:sub>
              <m:r>
                <m:t>i</m:t>
              </m:r>
            </m:sub>
            <m:sup>
              <m:r>
                <m:rPr>
                  <m:sty m:val="p"/>
                </m:rPr>
                <m:t>(</m:t>
              </m:r>
              <m:r>
                <m:t>A</m:t>
              </m:r>
              <m:r>
                <m:rPr>
                  <m:sty m:val="p"/>
                </m:rPr>
                <m:t>)</m:t>
              </m:r>
            </m:sup>
          </m:sSubSup>
          <m:r>
            <m:rPr>
              <m:sty m:val="p"/>
            </m:rPr>
            <m:t>=</m:t>
          </m:r>
          <m:sSubSup>
            <m:e>
              <m:r>
                <m:t>Y</m:t>
              </m:r>
            </m:e>
            <m:sub>
              <m:r>
                <m:t>j</m:t>
              </m:r>
              <m:r>
                <m:rPr>
                  <m:sty m:val="p"/>
                </m:rPr>
                <m:t>(</m:t>
              </m:r>
              <m:r>
                <m:t>i</m:t>
              </m:r>
              <m:r>
                <m:rPr>
                  <m:sty m:val="p"/>
                </m:rPr>
                <m:t>)</m:t>
              </m:r>
            </m:sub>
            <m:sup>
              <m:r>
                <m:rPr>
                  <m:sty m:val="p"/>
                </m:rPr>
                <m:t>(</m:t>
              </m:r>
              <m:r>
                <m:t>A</m:t>
              </m:r>
              <m:r>
                <m:rPr>
                  <m:sty m:val="p"/>
                </m:rPr>
                <m:t>)</m:t>
              </m:r>
            </m:sup>
          </m:sSubSup>
        </m:oMath>
      </m:oMathPara>
    </w:p>
    <w:p>
      <w:pPr>
        <w:pStyle w:val="FirstParagraph"/>
      </w:pPr>
      <w:r>
        <w:t xml:space="preserve">donde</w:t>
      </w:r>
      <w:r>
        <w:t xml:space="preserve"> </w:t>
      </w:r>
      <m:oMath>
        <m:sSubSup>
          <m:e>
            <m:r>
              <m:t>Y</m:t>
            </m:r>
          </m:e>
          <m:sub>
            <m:r>
              <m:t>j</m:t>
            </m:r>
            <m:r>
              <m:rPr>
                <m:sty m:val="p"/>
              </m:rPr>
              <m:t>(</m:t>
            </m:r>
            <m:r>
              <m:t>i</m:t>
            </m:r>
            <m:r>
              <m:rPr>
                <m:sty m:val="p"/>
              </m:rPr>
              <m:t>)</m:t>
            </m:r>
          </m:sub>
          <m:sup>
            <m:r>
              <m:rPr>
                <m:sty m:val="p"/>
              </m:rPr>
              <m:t>(</m:t>
            </m:r>
            <m:r>
              <m:t>A</m:t>
            </m:r>
            <m:r>
              <m:rPr>
                <m:sty m:val="p"/>
              </m:rPr>
              <m:t>)</m:t>
            </m:r>
          </m:sup>
        </m:sSubSup>
      </m:oMath>
      <w:r>
        <w:t xml:space="preserve"> </w:t>
      </w:r>
      <w:r>
        <w:t xml:space="preserve">es el conteo total del registro administrativo (Sección</w:t>
      </w:r>
      <w:r>
        <w:t xml:space="preserve"> </w:t>
      </w:r>
      <w:r>
        <w:t xml:space="preserve">2.2.3</w:t>
      </w:r>
      <w:r>
        <w:t xml:space="preserve"> </w:t>
      </w:r>
      <w:r>
        <w:t xml:space="preserve">del Capítulo</w:t>
      </w:r>
      <w:r>
        <w:t xml:space="preserve"> </w:t>
      </w:r>
      <w:r>
        <w:t xml:space="preserve">2</w:t>
      </w:r>
      <w:r>
        <w:t xml:space="preserve">) en la unidad territorial</w:t>
      </w:r>
      <w:r>
        <w:t xml:space="preserve"> </w:t>
      </w:r>
      <m:oMath>
        <m:r>
          <m:t>j</m:t>
        </m:r>
        <m:r>
          <m:rPr>
            <m:sty m:val="p"/>
          </m:rPr>
          <m:t>(</m:t>
        </m:r>
        <m:r>
          <m:t>i</m:t>
        </m:r>
        <m:r>
          <m:rPr>
            <m:sty m:val="p"/>
          </m:rPr>
          <m:t>)</m:t>
        </m:r>
      </m:oMath>
      <w:r>
        <w:t xml:space="preserve"> </w:t>
      </w:r>
      <w:r>
        <w:t xml:space="preserve">a la que pertenece el segmento</w:t>
      </w:r>
      <w:r>
        <w:t xml:space="preserve"> </w:t>
      </w:r>
      <m:oMath>
        <m:r>
          <m:t>i</m:t>
        </m:r>
      </m:oMath>
      <w:r>
        <w:t xml:space="preserve">. Bajo este esquema, la covariable resultante es constante entre los segmentos de una misma unidad administrativa y solo varía de una unidad a otra, por lo que su capacidad para explicar diferencias de población entre segmentos vecinos de la misma unidad es limitada; esta limitación debe documentarse al evaluar la pertinencia de la covariable en el diagnóstico exploratorio (Sección</w:t>
      </w:r>
      <w:r>
        <w:t xml:space="preserve"> </w:t>
      </w:r>
      <w:r>
        <w:t xml:space="preserve">3.4.3</w:t>
      </w:r>
      <w:r>
        <w:t xml:space="preserve"> </w:t>
      </w:r>
      <w:r>
        <w:t xml:space="preserve">más adelante en este capítulo). La notación</w:t>
      </w:r>
      <w:r>
        <w:t xml:space="preserve"> </w:t>
      </w:r>
      <m:oMath>
        <m:sSup>
          <m:e>
            <m:r>
              <m:t>Y</m:t>
            </m:r>
          </m:e>
          <m:sup>
            <m:r>
              <m:rPr>
                <m:sty m:val="p"/>
              </m:rPr>
              <m:t>(</m:t>
            </m:r>
            <m:r>
              <m:t>A</m:t>
            </m:r>
            <m:r>
              <m:rPr>
                <m:sty m:val="p"/>
              </m:rPr>
              <m:t>)</m:t>
            </m:r>
          </m:sup>
        </m:sSup>
      </m:oMath>
      <w:r>
        <w:t xml:space="preserve"> </w:t>
      </w:r>
      <w:r>
        <w:t xml:space="preserve">sigue el mismo convenio de superíndices por fuente empleado más adelante para el conteo censal</w:t>
      </w:r>
      <w:r>
        <w:t xml:space="preserve"> </w:t>
      </w:r>
      <m:oMath>
        <m:sSubSup>
          <m:e>
            <m:r>
              <m:t>Y</m:t>
            </m:r>
          </m:e>
          <m:sub>
            <m:r>
              <m:t>i</m:t>
            </m:r>
          </m:sub>
          <m:sup>
            <m:r>
              <m:rPr>
                <m:sty m:val="p"/>
              </m:rPr>
              <m:t>(</m:t>
            </m:r>
            <m:r>
              <m:t>C</m:t>
            </m:r>
            <m:r>
              <m:rPr>
                <m:sty m:val="p"/>
              </m:rPr>
              <m:t>)</m:t>
            </m:r>
          </m:sup>
        </m:sSubSup>
      </m:oMath>
      <w:r>
        <w:t xml:space="preserve">.</w:t>
      </w:r>
    </w:p>
    <w:p>
      <w:pPr>
        <w:pStyle w:val="BodyText"/>
      </w:pPr>
      <w:r>
        <w:rPr>
          <w:b/>
          <w:bCs/>
        </w:rPr>
        <w:t xml:space="preserve">Validación de la completitud y pertinencia del registro administrativo.</w:t>
      </w:r>
      <w:r>
        <w:t xml:space="preserve"> </w:t>
      </w:r>
      <w:r>
        <w:t xml:space="preserve">Las distintas fuentes administrativas pueden diferir de los censos en la definición de su unidad de observación. Mientras que los censos contabilizan personas según su residencia habitual o su presencia durante el operativo censal, los padrones electorales registran ciudadanos habilitados para votar, los sistemas de salud registran afiliados activos y los registros civiles documentan hechos vitales. Estas diferencias responden a los objetivos específicos de cada sistema de información y no impiden su utilización como fuentes auxiliares para el modelamiento de la población.</w:t>
      </w:r>
    </w:p>
    <w:p>
      <w:pPr>
        <w:pStyle w:val="BodyText"/>
      </w:pPr>
      <w:r>
        <w:t xml:space="preserve">Dado que los registros administrativos se incorporan como covariables explicativas y no como una medición alternativa de la población, su evaluación se centra en dos aspectos fundamentales: la completitud y la pertinencia. La completitud hace referencia a la cobertura territorial del registro, verificando que no existan segmentos sistemáticamente ausentes o con información insuficiente. La pertinencia evalúa si la unidad de observación y las variables disponibles mantienen una relación conceptual con la población que se desea modelar. En consecuencia, las diferencias conceptuales entre las fuentes deben documentarse como parte de la caracterización de las covariables, ya que constituyen un elemento clave para interpretar adecuadamente su contribución al modelo.</w:t>
      </w:r>
    </w:p>
    <w:p>
      <w:pPr>
        <w:pStyle w:val="BodyText"/>
      </w:pPr>
      <w:r>
        <w:rPr>
          <w:b/>
          <w:bCs/>
        </w:rPr>
        <w:t xml:space="preserve">Desfase temporal entre fuentes</w:t>
      </w:r>
      <w:r>
        <w:t xml:space="preserve">. Las fuentes de información suelen corresponder a diferentes fechas de referencia. Los preconteos pueden realizarse meses antes del censo, los registros administrativos responden a fechas de corte específicas y las imágenes satelitales capturan el territorio en distintos momentos del año. Dado que estas fuentes se utilizan como covariables auxiliares y no como mediciones directas de la población, el desfase temporal se documenta como una fuente adicional de incertidumbre y las variables se incorporan en la fecha en que se encuentran disponibles. Cuando una misma fuente dispone de información para varios periodos, se evalúa la redundancia entre las distintas versiones mediante análisis de correlación y del factor de inflación de la varianza (VIF) (Sección</w:t>
      </w:r>
      <w:r>
        <w:t xml:space="preserve"> </w:t>
      </w:r>
      <w:r>
        <w:t xml:space="preserve">3.4.3</w:t>
      </w:r>
      <w:r>
        <w:t xml:space="preserve">), conservando únicamente aquellas que aportan información adicional al modelo.</w:t>
      </w:r>
    </w:p>
    <w:bookmarkEnd w:id="37"/>
    <w:bookmarkStart w:id="38" w:name="normalización-de-variables"/>
    <w:p>
      <w:pPr>
        <w:pStyle w:val="Heading3"/>
      </w:pPr>
      <w:r>
        <w:rPr>
          <w:rStyle w:val="SectionNumber"/>
        </w:rPr>
        <w:t xml:space="preserve">3.1.2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38"/>
    <w:bookmarkEnd w:id="39"/>
    <w:bookmarkStart w:id="41" w:name="evaluacion-cobertura"/>
    <w:p>
      <w:pPr>
        <w:pStyle w:val="Heading2"/>
      </w:pPr>
      <w:r>
        <w:rPr>
          <w:rStyle w:val="SectionNumber"/>
        </w:rPr>
        <w:t xml:space="preserve">3.2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p>
      <w:pPr>
        <w:pStyle w:val="BodyText"/>
      </w:pPr>
      <w:r>
        <w:t xml:space="preserve">La tasa de cobertura de un segmento censal expresa la proporción de la población del segmento que fue efectivamente enumerada durante el operativo censal. Como la población verdadera no es observable, la cobertura debe estimarse utilizando una referencia externa, como un preconteo operativo ajustado o una estimación demográfica independiente.</w:t>
      </w:r>
    </w:p>
    <w:p>
      <w:pPr>
        <w:pStyle w:val="BodyText"/>
      </w:pPr>
      <w:r>
        <w:t xml:space="preserve">Si</w:t>
      </w:r>
      <w:r>
        <w:t xml:space="preserve"> </w:t>
      </w:r>
      <m:oMath>
        <m:sSub>
          <m:e>
            <m:acc>
              <m:accPr>
                <m:chr m:val="̂"/>
              </m:accPr>
              <m:e>
                <m:r>
                  <m:t>N</m:t>
                </m:r>
              </m:e>
            </m:acc>
          </m:e>
          <m:sub>
            <m:r>
              <m:t>i</m:t>
            </m:r>
          </m:sub>
        </m:sSub>
      </m:oMath>
      <w:r>
        <w:t xml:space="preserve"> </w:t>
      </w:r>
      <w:r>
        <w:t xml:space="preserve">representa la población de referencia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obtenido por el censo, la tasa de cobertura se calcula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Un valor cercano a uno indica que el conteo censal es consistente con la población de referencia. Valores inferiores a uno sugieren subcobertura, mientras que valores superiores a uno pueden reflejar sobrecobertura o diferencias entre el conteo censal y la fuente utilizada como referencia.</w:t>
      </w:r>
    </w:p>
    <w:p>
      <w:pPr>
        <w:pStyle w:val="BodyText"/>
      </w:pPr>
      <w:r>
        <w:t xml:space="preserve">La comparación de las tasas de cobertura entre segmentos permite identificar áreas donde el operativo censal presentó mayores dificultades de enumeración. Cuando la cobertura varía significativamente entre segmentos, la omisión deja de ser un fenómeno aleatorio y pasa a depender de características territoriales u operativas. En estos casos, la información sobre cobertura constituye un insumo importante para interpretar la calidad de los datos y para definir la estrategia de modelamiento de la población en los segmentos afectados.</w:t>
      </w:r>
    </w:p>
    <w:bookmarkStart w:id="40" w:name="clasificacion-segmentos"/>
    <w:p>
      <w:pPr>
        <w:pStyle w:val="Heading3"/>
      </w:pPr>
      <w:r>
        <w:rPr>
          <w:rStyle w:val="SectionNumber"/>
        </w:rPr>
        <w:t xml:space="preserve">3.2.1</w:t>
      </w:r>
      <w:r>
        <w:tab/>
      </w:r>
      <w:r>
        <w:t xml:space="preserve">Clasificación de segmentos</w:t>
      </w:r>
    </w:p>
    <w:p>
      <w:pPr>
        <w:pStyle w:val="FirstParagraph"/>
      </w:pPr>
      <w:r>
        <w:t xml:space="preserve">La estrategia de estimación depende del nivel de cobertura observado en cada segmento censal. Con base en la tasa de cobertura estimada, los segmentos se clasifican en tres grupos:</w:t>
      </w:r>
    </w:p>
    <w:p>
      <w:pPr>
        <w:numPr>
          <w:ilvl w:val="0"/>
          <w:numId w:val="1002"/>
        </w:numPr>
      </w:pPr>
      <w:r>
        <w:rPr>
          <w:b/>
          <w:bCs/>
        </w:rPr>
        <w:t xml:space="preserve">Cobertura completa</w:t>
      </w:r>
      <w:r>
        <w:t xml:space="preserve"> </w:t>
      </w:r>
      <w:r>
        <w:t xml:space="preserve">(</w:t>
      </w:r>
      <m:oMath>
        <m:sSub>
          <m:e>
            <m:acc>
              <m:accPr>
                <m:chr m:val="̂"/>
              </m:accPr>
              <m:e>
                <m:r>
                  <m:t>c</m:t>
                </m:r>
              </m:e>
            </m:acc>
          </m:e>
          <m:sub>
            <m:r>
              <m:t>i</m:t>
            </m:r>
          </m:sub>
        </m:sSub>
        <m:r>
          <m:rPr>
            <m:sty m:val="p"/>
          </m:rPr>
          <m:t>=</m:t>
        </m:r>
        <m:r>
          <m:t>1</m:t>
        </m:r>
      </m:oMath>
      <w:r>
        <w:t xml:space="preserve">). El operativo censal logró enumerar la totalidad de la población del segmento. En este caso, el conteo observado se considera completo y se utiliza para ajustar el modelo de población.</w:t>
      </w:r>
    </w:p>
    <w:p>
      <w:pPr>
        <w:numPr>
          <w:ilvl w:val="0"/>
          <w:numId w:val="1002"/>
        </w:numPr>
      </w:pPr>
      <w:r>
        <w:rPr>
          <w:b/>
          <w:bCs/>
        </w:rPr>
        <w:t xml:space="preserve">Cobertura nula</w:t>
      </w:r>
      <w:r>
        <w:t xml:space="preserve"> </w:t>
      </w:r>
      <w:r>
        <w:t xml:space="preserve">(</w:t>
      </w:r>
      <m:oMath>
        <m:sSub>
          <m:e>
            <m:acc>
              <m:accPr>
                <m:chr m:val="̂"/>
              </m:accPr>
              <m:e>
                <m:r>
                  <m:t>c</m:t>
                </m:r>
              </m:e>
            </m:acc>
          </m:e>
          <m:sub>
            <m:r>
              <m:t>i</m:t>
            </m:r>
          </m:sub>
        </m:sSub>
        <m:r>
          <m:rPr>
            <m:sty m:val="p"/>
          </m:rPr>
          <m:t>=</m:t>
        </m:r>
        <m:r>
          <m:t>0</m:t>
        </m:r>
      </m:oMath>
      <w:r>
        <w:t xml:space="preserve">). El segmento no fue enumerado durante el operativo censal. La población se estima íntegramente mediante el modelo, utilizando la información auxiliar disponible.</w:t>
      </w:r>
    </w:p>
    <w:p>
      <w:pPr>
        <w:numPr>
          <w:ilvl w:val="0"/>
          <w:numId w:val="1002"/>
        </w:numPr>
      </w:pPr>
      <w:r>
        <w:rPr>
          <w:b/>
          <w:bCs/>
        </w:rPr>
        <w:t xml:space="preserve">Cobertura parcial</w:t>
      </w:r>
      <w:r>
        <w:t xml:space="preserve"> </w:t>
      </w:r>
      <w:r>
        <w:t xml:space="preserve">(</w:t>
      </w:r>
      <m:oMath>
        <m:r>
          <m:t>0</m:t>
        </m:r>
        <m:r>
          <m:rPr>
            <m:sty m:val="p"/>
          </m:rPr>
          <m:t>&lt;</m:t>
        </m:r>
        <m:sSub>
          <m:e>
            <m:acc>
              <m:accPr>
                <m:chr m:val="̂"/>
              </m:accPr>
              <m:e>
                <m:r>
                  <m:t>c</m:t>
                </m:r>
              </m:e>
            </m:acc>
          </m:e>
          <m:sub>
            <m:r>
              <m:t>i</m:t>
            </m:r>
          </m:sub>
        </m:sSub>
        <m:r>
          <m:rPr>
            <m:sty m:val="p"/>
          </m:rPr>
          <m:t>&lt;</m:t>
        </m:r>
        <m:r>
          <m:t>1</m:t>
        </m:r>
      </m:oMath>
      <w:r>
        <w:t xml:space="preserve">). El operativo censal logró enumerar únicamente una fracción de la población del segmento. En este caso, el modelo estima la población no observada y la estimación final se obtiene combinando el conteo censal observado con la predicción correspondiente a la población omitida.</w:t>
      </w:r>
    </w:p>
    <w:p>
      <w:pPr>
        <w:pStyle w:val="FirstParagraph"/>
      </w:pPr>
      <w:r>
        <w:t xml:space="preserve">Esta clasificación determina el papel que desempeña el modelo en cada segmento: reproducir el conteo observado cuando la cobertura es completa, predecir la población cuando la cobertura es nula y complementar el conteo censal cuando la cobertura es parcial. La expresión formal de la variable dependiente bajo estos tres casos se presenta en la sección siguiente.</w:t>
      </w:r>
    </w:p>
    <w:bookmarkEnd w:id="40"/>
    <w:bookmarkEnd w:id="41"/>
    <w:bookmarkStart w:id="46" w:name="construcción-de-la-variable-dependiente"/>
    <w:p>
      <w:pPr>
        <w:pStyle w:val="Heading2"/>
      </w:pPr>
      <w:r>
        <w:rPr>
          <w:rStyle w:val="SectionNumber"/>
        </w:rPr>
        <w:t xml:space="preserve">3.3</w:t>
      </w:r>
      <w:r>
        <w:tab/>
      </w:r>
      <w:r>
        <w:t xml:space="preserve">Construcción de la variable dependiente</w:t>
      </w:r>
    </w:p>
    <w:p>
      <w:pPr>
        <w:pStyle w:val="FirstParagraph"/>
      </w:pPr>
      <w:r>
        <w:t xml:space="preserve">La variable dependiente corresponde al número de personas que residen en cada segmento censal. Su construcción combina el conteo censal observado con la predicción del modelo según el nivel de cobertura del segmento, siguiendo la clasificación de la Sección</w:t>
      </w:r>
      <w:r>
        <w:t xml:space="preserve"> </w:t>
      </w:r>
      <w:r>
        <w:t xml:space="preserve">3.2.1</w:t>
      </w:r>
      <w:r>
        <w:t xml:space="preserve">.</w:t>
      </w:r>
    </w:p>
    <w:p>
      <w:pPr>
        <w:pStyle w:val="BodyText"/>
      </w:pPr>
      <w:r>
        <w:t xml:space="preserve">Sea</w:t>
      </w:r>
      <w:r>
        <w:t xml:space="preserve"> </w:t>
      </w:r>
      <m:oMath>
        <m:sSubSup>
          <m:e>
            <m:r>
              <m:t>Y</m:t>
            </m:r>
          </m:e>
          <m:sub>
            <m:r>
              <m:t>i</m:t>
            </m:r>
          </m:sub>
          <m:sup>
            <m:r>
              <m:rPr>
                <m:sty m:val="p"/>
              </m:rPr>
              <m:t>(</m:t>
            </m:r>
            <m:r>
              <m:t>C</m:t>
            </m:r>
            <m:r>
              <m:rPr>
                <m:sty m:val="p"/>
              </m:rPr>
              <m:t>)</m:t>
            </m:r>
          </m:sup>
        </m:sSubSup>
      </m:oMath>
      <w:r>
        <w:t xml:space="preserve"> </w:t>
      </w:r>
      <w:r>
        <w:t xml:space="preserve">el conteo censal observado en el segmento</w:t>
      </w:r>
      <w:r>
        <w:t xml:space="preserve"> </w:t>
      </w:r>
      <m:oMath>
        <m:r>
          <m:t>i</m:t>
        </m:r>
      </m:oMath>
      <w:r>
        <w:t xml:space="preserve"> </w:t>
      </w:r>
      <w:r>
        <w:t xml:space="preserve">y</w:t>
      </w:r>
      <w:r>
        <w:t xml:space="preserve"> </w:t>
      </w:r>
      <m:oMath>
        <m:sSubSup>
          <m:e>
            <m:acc>
              <m:accPr>
                <m:chr m:val="̂"/>
              </m:accPr>
              <m:e>
                <m:r>
                  <m:t>Y</m:t>
                </m:r>
              </m:e>
            </m:acc>
          </m:e>
          <m:sub>
            <m:r>
              <m:t>i</m:t>
            </m:r>
          </m:sub>
          <m:sup>
            <m:r>
              <m:rPr>
                <m:sty m:val="p"/>
              </m:rPr>
              <m:t>(</m:t>
            </m:r>
            <m:r>
              <m:t>M</m:t>
            </m:r>
            <m:r>
              <m:rPr>
                <m:sty m:val="p"/>
              </m:rPr>
              <m:t>)</m:t>
            </m:r>
          </m:sup>
        </m:sSubSup>
      </m:oMath>
      <w:r>
        <w:t xml:space="preserve"> </w:t>
      </w:r>
      <w:r>
        <w:t xml:space="preserve">la población omitida estimada por el modelo cuando la cobertura no es completa. La variable dependiente se define como:</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i</m:t>
                        </m:r>
                      </m:sub>
                      <m:sup>
                        <m:r>
                          <m:rPr>
                            <m:sty m:val="p"/>
                          </m:rPr>
                          <m:t>(</m:t>
                        </m:r>
                        <m:r>
                          <m:t>C</m:t>
                        </m:r>
                        <m:r>
                          <m:rPr>
                            <m:sty m:val="p"/>
                          </m:rPr>
                          <m:t>)</m:t>
                        </m:r>
                      </m:sup>
                    </m:sSubSup>
                    <m:r>
                      <m:rPr>
                        <m:sty m:val="p"/>
                      </m:rPr>
                      <m:t>,</m:t>
                    </m:r>
                  </m:e>
                  <m:e>
                    <m:sSub>
                      <m:e>
                        <m:acc>
                          <m:accPr>
                            <m:chr m:val="̂"/>
                          </m:accPr>
                          <m:e>
                            <m:r>
                              <m:t>c</m:t>
                            </m:r>
                          </m:e>
                        </m:acc>
                      </m:e>
                      <m:sub>
                        <m:r>
                          <m:t>i</m:t>
                        </m:r>
                      </m:sub>
                    </m:sSub>
                    <m:r>
                      <m:rPr>
                        <m:sty m:val="p"/>
                      </m:rPr>
                      <m:t>=</m:t>
                    </m:r>
                    <m:r>
                      <m:t>1</m:t>
                    </m:r>
                  </m:e>
                </m:mr>
                <m:mr>
                  <m:e>
                    <m:sSubSup>
                      <m:e>
                        <m:acc>
                          <m:accPr>
                            <m:chr m:val="̂"/>
                          </m:accPr>
                          <m:e>
                            <m:r>
                              <m:t>Y</m:t>
                            </m:r>
                          </m:e>
                        </m:acc>
                      </m:e>
                      <m:sub>
                        <m:r>
                          <m:t>i</m:t>
                        </m:r>
                      </m:sub>
                      <m:sup>
                        <m:r>
                          <m:rPr>
                            <m:sty m:val="p"/>
                          </m:rPr>
                          <m:t>(</m:t>
                        </m:r>
                        <m:r>
                          <m:t>M</m:t>
                        </m:r>
                        <m:r>
                          <m:rPr>
                            <m:sty m:val="p"/>
                          </m:rPr>
                          <m:t>)</m:t>
                        </m:r>
                      </m:sup>
                    </m:sSubSup>
                    <m:r>
                      <m:rPr>
                        <m:sty m:val="p"/>
                      </m:rPr>
                      <m:t>,</m:t>
                    </m:r>
                  </m:e>
                  <m:e>
                    <m:sSub>
                      <m:e>
                        <m:acc>
                          <m:accPr>
                            <m:chr m:val="̂"/>
                          </m:accPr>
                          <m:e>
                            <m:r>
                              <m:t>c</m:t>
                            </m:r>
                          </m:e>
                        </m:acc>
                      </m:e>
                      <m:sub>
                        <m:r>
                          <m:t>i</m:t>
                        </m:r>
                      </m:sub>
                    </m:sSub>
                    <m:r>
                      <m:rPr>
                        <m:sty m:val="p"/>
                      </m:rPr>
                      <m:t>=</m:t>
                    </m:r>
                    <m:r>
                      <m:t>0</m:t>
                    </m:r>
                  </m:e>
                </m:mr>
                <m:mr>
                  <m:e>
                    <m:sSubSup>
                      <m:e>
                        <m:r>
                          <m:t>Y</m:t>
                        </m:r>
                      </m:e>
                      <m:sub>
                        <m:r>
                          <m:t>i</m:t>
                        </m:r>
                      </m:sub>
                      <m:sup>
                        <m:r>
                          <m:rPr>
                            <m:sty m:val="p"/>
                          </m:rPr>
                          <m:t>(</m:t>
                        </m:r>
                        <m:r>
                          <m:t>C</m:t>
                        </m:r>
                        <m:r>
                          <m:rPr>
                            <m:sty m:val="p"/>
                          </m:rPr>
                          <m:t>)</m:t>
                        </m:r>
                      </m:sup>
                    </m:sSubSup>
                    <m:r>
                      <m:rPr>
                        <m:sty m:val="p"/>
                      </m:rPr>
                      <m:t>+</m:t>
                    </m:r>
                    <m:sSubSup>
                      <m:e>
                        <m:acc>
                          <m:accPr>
                            <m:chr m:val="̂"/>
                          </m:accPr>
                          <m:e>
                            <m:r>
                              <m:t>Y</m:t>
                            </m:r>
                          </m:e>
                        </m:acc>
                      </m:e>
                      <m:sub>
                        <m:r>
                          <m:t>i</m:t>
                        </m:r>
                      </m:sub>
                      <m:sup>
                        <m:r>
                          <m:rPr>
                            <m:sty m:val="p"/>
                          </m:rPr>
                          <m:t>(</m:t>
                        </m:r>
                        <m:r>
                          <m:t>M</m:t>
                        </m:r>
                        <m:r>
                          <m:rPr>
                            <m:sty m:val="p"/>
                          </m:rPr>
                          <m:t>)</m:t>
                        </m:r>
                      </m:sup>
                    </m:sSubSup>
                    <m:r>
                      <m:rPr>
                        <m:sty m:val="p"/>
                      </m:rPr>
                      <m:t>,</m:t>
                    </m:r>
                  </m:e>
                  <m:e>
                    <m:r>
                      <m:t>0</m:t>
                    </m:r>
                    <m:r>
                      <m:rPr>
                        <m:sty m:val="p"/>
                      </m:rPr>
                      <m:t>&lt;</m:t>
                    </m:r>
                    <m:sSub>
                      <m:e>
                        <m:acc>
                          <m:accPr>
                            <m:chr m:val="̂"/>
                          </m:accPr>
                          <m:e>
                            <m:r>
                              <m:t>c</m:t>
                            </m:r>
                          </m:e>
                        </m:acc>
                      </m:e>
                      <m:sub>
                        <m:r>
                          <m:t>i</m:t>
                        </m:r>
                      </m:sub>
                    </m:sSub>
                    <m:r>
                      <m:rPr>
                        <m:sty m:val="p"/>
                      </m:rPr>
                      <m:t>&lt;</m:t>
                    </m:r>
                    <m:r>
                      <m:t>1</m:t>
                    </m:r>
                    <m:r>
                      <m:rPr>
                        <m:sty m:val="p"/>
                      </m:rPr>
                      <m:t>,</m:t>
                    </m:r>
                  </m:e>
                </m:mr>
              </m:m>
            </m:e>
          </m:d>
          <m:r>
            <m:t>  </m:t>
          </m:r>
          <m:r>
            <m:t>i</m:t>
          </m:r>
          <m:r>
            <m:rPr>
              <m:sty m:val="p"/>
            </m:rPr>
            <m:t>=</m:t>
          </m:r>
          <m:r>
            <m:t>1</m:t>
          </m:r>
          <m:r>
            <m:rPr>
              <m:sty m:val="p"/>
            </m:rPr>
            <m:t>,</m:t>
          </m:r>
          <m:r>
            <m:rPr>
              <m:sty m:val="p"/>
            </m:rPr>
            <m:t>…</m:t>
          </m:r>
          <m:r>
            <m:rPr>
              <m:sty m:val="p"/>
            </m:rPr>
            <m:t>,</m:t>
          </m:r>
          <m:r>
            <m:t>I</m:t>
          </m:r>
          <m:r>
            <m:rPr>
              <m:sty m:val="p"/>
            </m:rPr>
            <m:t>.</m:t>
          </m:r>
        </m:oMath>
      </m:oMathPara>
    </w:p>
    <w:p>
      <w:pPr>
        <w:pStyle w:val="FirstParagraph"/>
      </w:pPr>
      <w:r>
        <w:t xml:space="preserve">Esta definición asigna a cada segmento el conteo observado cuando la enumeración fue completa, la predicción íntegra del modelo cuando no hubo enumeración, y la suma de ambas fuentes cuando la cobertura fue parcial.</w:t>
      </w:r>
    </w:p>
    <w:p>
      <w:pPr>
        <w:pStyle w:val="BodyText"/>
      </w:pPr>
      <w:r>
        <w:t xml:space="preserve">En los capítulos siguientes, una vez desarrollado el modelo para el conteo total de personas, se extenderá la metodología para estimar la población desagregada por sexo y grupos de edad, preservando la coherencia entre las estimaciones agregadas y sus componentes.</w:t>
      </w:r>
    </w:p>
    <w:bookmarkStart w:id="42" w:name="densidad-poblacional"/>
    <w:p>
      <w:pPr>
        <w:pStyle w:val="Heading3"/>
      </w:pPr>
      <w:r>
        <w:rPr>
          <w:rStyle w:val="SectionNumber"/>
        </w:rPr>
        <w:t xml:space="preserve">3.3.1</w:t>
      </w:r>
      <w:r>
        <w:tab/>
      </w:r>
      <w:r>
        <w:t xml:space="preserve">Densidad poblacional</w:t>
      </w:r>
    </w:p>
    <w:p>
      <w:pPr>
        <w:pStyle w:val="FirstParagraph"/>
      </w:pPr>
      <w:r>
        <w:t xml:space="preserve">Aunque la variable dependiente del modelo es el número de personas por segmento, en el análisis exploratorio resulta útil considerar la densidad poblacional como una medida complementaria de la distribución espacial de la población. La densidad permite comparar segmentos con áreas muy diferentes y facilita la identificación de patrones de concentración o dispersión que pueden ser explicados por las covariables auxiliares.</w:t>
      </w:r>
    </w:p>
    <w:p>
      <w:pPr>
        <w:pStyle w:val="BodyText"/>
      </w:pPr>
      <w:r>
        <w:t xml:space="preserve">Si</w:t>
      </w:r>
      <w:r>
        <w:t xml:space="preserve"> </w:t>
      </w:r>
      <m:oMath>
        <m:sSub>
          <m:e>
            <m:r>
              <m:t>Y</m:t>
            </m:r>
          </m:e>
          <m:sub>
            <m:r>
              <m:t>i</m:t>
            </m:r>
          </m:sub>
        </m:sSub>
      </m:oMath>
      <w:r>
        <w:t xml:space="preserve"> </w:t>
      </w:r>
      <w:r>
        <w:t xml:space="preserve">representa el número de personas del segmento</w:t>
      </w:r>
      <w:r>
        <w:t xml:space="preserve"> </w:t>
      </w:r>
      <m:oMath>
        <m:r>
          <m:t>i</m:t>
        </m:r>
      </m:oMath>
      <w:r>
        <w:t xml:space="preserve"> </w:t>
      </w:r>
      <w:r>
        <w:t xml:space="preserve">y</w:t>
      </w:r>
      <w:r>
        <w:t xml:space="preserve"> </w:t>
      </w:r>
      <m:oMath>
        <m:sSub>
          <m:e>
            <m:r>
              <m:t>A</m:t>
            </m:r>
          </m:e>
          <m:sub>
            <m:r>
              <m:t>i</m:t>
            </m:r>
          </m:sub>
        </m:sSub>
      </m:oMath>
      <w:r>
        <w:t xml:space="preserve"> </w:t>
      </w:r>
      <w:r>
        <w:t xml:space="preserve">su superficie, la densidad poblacional se define como</w:t>
      </w:r>
    </w:p>
    <w:p>
      <w:pPr>
        <w:pStyle w:val="BodyText"/>
      </w:pPr>
      <m:oMathPara>
        <m:oMathParaPr>
          <m:jc m:val="center"/>
        </m:oMathParaPr>
        <m:oMath>
          <m:sSub>
            <m:e>
              <m:r>
                <m:rPr>
                  <m:nor/>
                  <m:sty m:val="p"/>
                </m:rPr>
                <m:t>DP</m:t>
              </m:r>
            </m:e>
            <m:sub>
              <m:r>
                <m:t>i</m:t>
              </m:r>
            </m:sub>
          </m:sSub>
          <m:r>
            <m:rPr>
              <m:sty m:val="p"/>
            </m:rPr>
            <m:t>=</m:t>
          </m:r>
          <m:f>
            <m:fPr>
              <m:type m:val="bar"/>
            </m:fPr>
            <m:num>
              <m:sSub>
                <m:e>
                  <m:r>
                    <m:t>Y</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A</m:t>
            </m:r>
          </m:e>
          <m:sub>
            <m:r>
              <m:t>i</m:t>
            </m:r>
          </m:sub>
        </m:sSub>
      </m:oMath>
      <w:r>
        <w:t xml:space="preserve"> </w:t>
      </w:r>
      <w:r>
        <w:t xml:space="preserve">se expresa en kilómetros cuadrados u otra unidad de superficie consistente. Se usa</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por la misma razón señalada en el Capítulo</w:t>
      </w:r>
      <w:r>
        <w:t xml:space="preserve"> </w:t>
      </w:r>
      <w:r>
        <w:t xml:space="preserve">1</w:t>
      </w:r>
      <w:r>
        <w:t xml:space="preserve">: evitar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introducida en el Capítulo</w:t>
      </w:r>
      <w:r>
        <w:t xml:space="preserve"> </w:t>
      </w:r>
      <w:r>
        <w:t xml:space="preserve">4</w:t>
      </w:r>
      <w:r>
        <w:t xml:space="preserve">. La densidad no constituye la variable de respuesta del modelo, sino una variable derivada utilizada para el análisis exploratorio, la evaluación de valores atípicos y la interpretación de la variabilidad espacial de la población.</w:t>
      </w:r>
    </w:p>
    <w:bookmarkEnd w:id="42"/>
    <w:bookmarkStart w:id="43" w:name="número-promedio-de-personas-por-hogar"/>
    <w:p>
      <w:pPr>
        <w:pStyle w:val="Heading3"/>
      </w:pPr>
      <w:r>
        <w:rPr>
          <w:rStyle w:val="SectionNumber"/>
        </w:rPr>
        <w:t xml:space="preserve">3.3.2</w:t>
      </w:r>
      <w:r>
        <w:tab/>
      </w:r>
      <w:r>
        <w:t xml:space="preserve">Número promedio de personas por hogar</w:t>
      </w:r>
    </w:p>
    <w:p>
      <w:pPr>
        <w:pStyle w:val="FirstParagraph"/>
      </w:pPr>
      <w:r>
        <w:t xml:space="preserve">El número promedio de personas por hogar constituye un indicador descriptivo que relaciona la población observada con el número de hogares del segmento censal. Este indicador resume la intensidad de ocupación residencial y permite identificar segmentos con valores inusualmente bajos o altos que pueden reflejar problemas de cobertura, errores de enumeración o características particulares del territorio.</w:t>
      </w:r>
    </w:p>
    <w:p>
      <w:pPr>
        <w:pStyle w:val="BodyText"/>
      </w:pPr>
      <w:r>
        <w:t xml:space="preserve">Sea</w:t>
      </w:r>
      <w:r>
        <w:t xml:space="preserve"> </w:t>
      </w:r>
      <m:oMath>
        <m:sSub>
          <m:e>
            <m:r>
              <m:t>Y</m:t>
            </m:r>
          </m:e>
          <m:sub>
            <m:r>
              <m:t>i</m:t>
            </m:r>
          </m:sub>
        </m:sSub>
      </m:oMath>
      <w:r>
        <w:t xml:space="preserve"> </w:t>
      </w:r>
      <w:r>
        <w:t xml:space="preserve">el número de personas del segmento</w:t>
      </w:r>
      <w:r>
        <w:t xml:space="preserve"> </w:t>
      </w:r>
      <m:oMath>
        <m:r>
          <m:t>i</m:t>
        </m:r>
      </m:oMath>
      <w:r>
        <w:t xml:space="preserve"> </w:t>
      </w:r>
      <w:r>
        <w:t xml:space="preserve">y</w:t>
      </w:r>
      <w:r>
        <w:t xml:space="preserve"> </w:t>
      </w:r>
      <m:oMath>
        <m:sSub>
          <m:e>
            <m:r>
              <m:t>H</m:t>
            </m:r>
          </m:e>
          <m:sub>
            <m:r>
              <m:t>i</m:t>
            </m:r>
          </m:sub>
        </m:sSub>
      </m:oMath>
      <w:r>
        <w:t xml:space="preserve"> </w:t>
      </w:r>
      <w:r>
        <w:t xml:space="preserve">el número de hogares registrados en el mismo segmento. El promedio de personas por hogar se calcula como</w:t>
      </w:r>
    </w:p>
    <w:p>
      <w:pPr>
        <w:pStyle w:val="BodyText"/>
      </w:pPr>
      <m:oMathPara>
        <m:oMathParaPr>
          <m:jc m:val="center"/>
        </m:oMathParaPr>
        <m:oMath>
          <m:sSub>
            <m:e>
              <m:acc>
                <m:accPr>
                  <m:chr m:val="‾"/>
                </m:accPr>
                <m:e>
                  <m:r>
                    <m:t>P</m:t>
                  </m:r>
                </m:e>
              </m:acc>
            </m:e>
            <m:sub>
              <m:r>
                <m:t>i</m:t>
              </m:r>
            </m:sub>
          </m:sSub>
          <m:r>
            <m:rPr>
              <m:sty m:val="p"/>
            </m:rPr>
            <m:t>=</m:t>
          </m:r>
          <m:f>
            <m:fPr>
              <m:type m:val="bar"/>
            </m:fPr>
            <m:num>
              <m:sSub>
                <m:e>
                  <m:r>
                    <m:t>Y</m:t>
                  </m:r>
                </m:e>
                <m:sub>
                  <m:r>
                    <m:t>i</m:t>
                  </m:r>
                </m:sub>
              </m:sSub>
            </m:num>
            <m:den>
              <m:sSub>
                <m:e>
                  <m:r>
                    <m:t>H</m:t>
                  </m:r>
                </m:e>
                <m:sub>
                  <m:r>
                    <m:t>i</m:t>
                  </m:r>
                </m:sub>
              </m:sSub>
            </m:den>
          </m:f>
          <m:r>
            <m:rPr>
              <m:sty m:val="p"/>
            </m:rPr>
            <m:t>,</m:t>
          </m:r>
        </m:oMath>
      </m:oMathPara>
    </w:p>
    <w:p>
      <w:pPr>
        <w:pStyle w:val="FirstParagraph"/>
      </w:pPr>
      <w:r>
        <w:t xml:space="preserve">donde</w:t>
      </w:r>
      <w:r>
        <w:t xml:space="preserve"> </w:t>
      </w:r>
      <m:oMath>
        <m:sSub>
          <m:e>
            <m:r>
              <m:t>H</m:t>
            </m:r>
          </m:e>
          <m:sub>
            <m:r>
              <m:t>i</m:t>
            </m:r>
          </m:sub>
        </m:sSub>
        <m:r>
          <m:rPr>
            <m:sty m:val="p"/>
          </m:rPr>
          <m:t>&gt;</m:t>
        </m:r>
        <m:r>
          <m:t>0</m:t>
        </m:r>
      </m:oMath>
      <w:r>
        <w:t xml:space="preserve">. Este indicador se utiliza principalmente durante el análisis exploratorio para evaluar la consistencia de la información censal y comparar segmentos con características similares. Valores extremos pueden señalar la necesidad de revisar la calidad de los datos o la existencia de condiciones demográficas particulares que deban considerarse durante la especificación del modelo.</w:t>
      </w:r>
    </w:p>
    <w:bookmarkEnd w:id="43"/>
    <w:bookmarkStart w:id="44" w:name="definición-de-población-base"/>
    <w:p>
      <w:pPr>
        <w:pStyle w:val="Heading3"/>
      </w:pPr>
      <w:r>
        <w:rPr>
          <w:rStyle w:val="SectionNumber"/>
        </w:rPr>
        <w:t xml:space="preserve">3.3.3</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3"/>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3"/>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3"/>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3"/>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44"/>
    <w:bookmarkStart w:id="45" w:name="variable-de-exposición"/>
    <w:p>
      <w:pPr>
        <w:pStyle w:val="Heading3"/>
      </w:pPr>
      <w:r>
        <w:rPr>
          <w:rStyle w:val="SectionNumber"/>
        </w:rPr>
        <w:t xml:space="preserve">3.3.4</w:t>
      </w:r>
      <w:r>
        <w:tab/>
      </w:r>
      <w:r>
        <w:t xml:space="preserve">Variable de exposición</w:t>
      </w:r>
    </w:p>
    <w:p>
      <w:pPr>
        <w:pStyle w:val="FirstParagraph"/>
      </w:pPr>
      <w:r>
        <w:t xml:space="preserve">En los modelos de conteo es frecuente incorporar una variable de exposición que represente el tamaño potencial del segmento. En este libro, la exposición corresponde al número de estructuras habitacionales o viviendas identificadas durante el preconteo, denotado por</w:t>
      </w:r>
      <w:r>
        <w:t xml:space="preserve"> </w:t>
      </w:r>
      <m:oMath>
        <m:sSub>
          <m:e>
            <m:r>
              <m:t>V</m:t>
            </m:r>
          </m:e>
          <m:sub>
            <m:r>
              <m:t>i</m:t>
            </m:r>
          </m:sub>
        </m:sSub>
      </m:oMath>
      <w:r>
        <w:t xml:space="preserve">. Esta variable constituye una aproximación al tamaño físico del segmento y está disponible incluso en aquellos casos donde el operativo censal presenta cobertura parcial o nula.</w:t>
      </w:r>
    </w:p>
    <w:p>
      <w:pPr>
        <w:pStyle w:val="BodyText"/>
      </w:pPr>
      <w:r>
        <w:t xml:space="preserve">La utilización de</w:t>
      </w:r>
      <w:r>
        <w:t xml:space="preserve"> </w:t>
      </w:r>
      <m:oMath>
        <m:sSub>
          <m:e>
            <m:r>
              <m:t>V</m:t>
            </m:r>
          </m:e>
          <m:sub>
            <m:r>
              <m:t>i</m:t>
            </m:r>
          </m:sub>
        </m:sSub>
      </m:oMath>
      <w:r>
        <w:t xml:space="preserve"> </w:t>
      </w:r>
      <w:r>
        <w:t xml:space="preserve">permite comparar segmentos con diferentes tamaños y modelar el número esperado de personas en función de la cantidad de estructuras existentes. En los modelos de conteo desarrollados en el Capítulo</w:t>
      </w:r>
      <w:r>
        <w:t xml:space="preserve"> </w:t>
      </w:r>
      <w:r>
        <w:t xml:space="preserve">4</w:t>
      </w:r>
      <w:r>
        <w:t xml:space="preserve">, esta variable se incorpora mediante un término de</w:t>
      </w:r>
      <w:r>
        <w:t xml:space="preserve"> </w:t>
      </w:r>
      <w:r>
        <w:rPr>
          <w:i/>
          <w:iCs/>
        </w:rPr>
        <w:t xml:space="preserve">offset</w:t>
      </w:r>
      <w:r>
        <w:t xml:space="preserve">, de forma que las covariables expliquen la intensidad poblacional por estructura habitacional y no únicamente el conteo absoluto de personas.</w:t>
      </w:r>
    </w:p>
    <w:bookmarkEnd w:id="45"/>
    <w:bookmarkEnd w:id="46"/>
    <w:bookmarkStart w:id="67" w:name="diagnóstico-exploratorio"/>
    <w:p>
      <w:pPr>
        <w:pStyle w:val="Heading2"/>
      </w:pPr>
      <w:r>
        <w:rPr>
          <w:rStyle w:val="SectionNumber"/>
        </w:rPr>
        <w:t xml:space="preserve">3.4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p>
      <w:pPr>
        <w:pStyle w:val="BodyText"/>
      </w:pPr>
      <w:r>
        <w:t xml:space="preserve">A continuación se ilustran los diagnósticos descritos sobre el conjunto de segmentos preparado según los criterios de las secciones anteriores, con la densidad latente</w:t>
      </w:r>
      <w:r>
        <w:t xml:space="preserve"> </w:t>
      </w:r>
      <m:oMath>
        <m:sSub>
          <m:e>
            <m:r>
              <m:t>δ</m:t>
            </m:r>
          </m:e>
          <m:sub>
            <m:r>
              <m:t>i</m:t>
            </m:r>
          </m:sub>
        </m:sSub>
      </m:oMath>
      <w:r>
        <w:t xml:space="preserve">, el offset de estructuras habitacionales</w:t>
      </w:r>
      <w:r>
        <w:t xml:space="preserve"> </w:t>
      </w:r>
      <m:oMath>
        <m:sSub>
          <m:e>
            <m:r>
              <m:t>V</m:t>
            </m:r>
          </m:e>
          <m:sub>
            <m:r>
              <m:t>i</m:t>
            </m:r>
          </m:sub>
        </m:sSub>
      </m:oMath>
      <w:r>
        <w:t xml:space="preserve"> </w:t>
      </w:r>
      <w:r>
        <w:t xml:space="preserve">y el conteo poblacional</w:t>
      </w:r>
      <w:r>
        <w:t xml:space="preserve"> </w:t>
      </w:r>
      <m:oMath>
        <m:sSub>
          <m:e>
            <m:r>
              <m:t>Y</m:t>
            </m:r>
          </m:e>
          <m:sub>
            <m:r>
              <m:t>i</m:t>
            </m:r>
          </m:sub>
        </m:sSub>
      </m:oMath>
      <w:r>
        <w:t xml:space="preserve"> </w:t>
      </w:r>
      <w:r>
        <w:t xml:space="preserve">ya construidos:</w:t>
      </w:r>
    </w:p>
    <w:bookmarkStart w:id="53" w:name="distribución-de-conteos"/>
    <w:p>
      <w:pPr>
        <w:pStyle w:val="Heading3"/>
      </w:pPr>
      <w:r>
        <w:rPr>
          <w:rStyle w:val="SectionNumber"/>
        </w:rPr>
        <w:t xml:space="preserve">3.4.1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el modelo de Poisson simple resulta insuficiente. En ese caso, el diagnóstico respalda la especificación jerárquica con densidad latente log-normal (Poisson-lognormal) desarrollada en el Capítulo</w:t>
      </w:r>
      <w:r>
        <w:t xml:space="preserve"> </w:t>
      </w:r>
      <w:r>
        <w:t xml:space="preserve">4</w:t>
      </w:r>
      <w:r>
        <w:t xml:space="preserve">, dado que es precisamente el parámetro</w:t>
      </w:r>
      <w:r>
        <w:t xml:space="preserve"> </w:t>
      </w:r>
      <m:oMath>
        <m:r>
          <m:t>σ</m:t>
        </m:r>
      </m:oMath>
      <w:r>
        <w:t xml:space="preserve"> </w:t>
      </w:r>
      <w:r>
        <w:t xml:space="preserve">de la densidad latente</w:t>
      </w:r>
      <w:r>
        <w:t xml:space="preserve"> </w:t>
      </w:r>
      <m:oMath>
        <m:sSub>
          <m:e>
            <m:r>
              <m:t>δ</m:t>
            </m:r>
          </m:e>
          <m:sub>
            <m:r>
              <m:t>i</m:t>
            </m:r>
          </m:sub>
        </m:sSub>
      </m:oMath>
      <w:r>
        <w:t xml:space="preserve"> </w:t>
      </w:r>
      <w:r>
        <w:t xml:space="preserve">quien absorbe la sobredispersión detectada aquí. El índice de dispersión</w:t>
      </w:r>
      <w:r>
        <w:t xml:space="preserve"> </w:t>
      </w:r>
      <m:oMath>
        <m:r>
          <m:rPr>
            <m:nor/>
            <m:sty m:val="p"/>
          </m:rPr>
          <m:t>ID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esa especificación más flexible. Se usa</w:t>
      </w:r>
      <w:r>
        <w:t xml:space="preserve"> </w:t>
      </w:r>
      <m:oMath>
        <m:r>
          <m:rPr>
            <m:nor/>
            <m:sty m:val="p"/>
          </m:rPr>
          <m:t>ID</m:t>
        </m:r>
      </m:oMath>
      <w:r>
        <w:t xml:space="preserve">, y no</w:t>
      </w:r>
      <w:r>
        <w:t xml:space="preserve"> </w:t>
      </w:r>
      <m:oMath>
        <m:r>
          <m:t>D</m:t>
        </m:r>
      </m:oMath>
      <w:r>
        <w:t xml:space="preserve">, para no confundir este índice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Capítulo</w:t>
      </w:r>
      <w:r>
        <w:t xml:space="preserve"> </w:t>
      </w:r>
      <w:r>
        <w:t xml:space="preserve">4</w:t>
      </w:r>
      <w:r>
        <w:t xml:space="preserve">.</w:t>
      </w:r>
    </w:p>
    <w:p>
      <w:pPr>
        <w:pStyle w:val="BodyText"/>
      </w:pPr>
      <w:r>
        <w:t xml:space="preserve">El Código</w:t>
      </w:r>
      <w:r>
        <w:t xml:space="preserve"> </w:t>
      </w:r>
      <w:r>
        <w:t xml:space="preserve">??</w:t>
      </w:r>
      <w:r>
        <w:t xml:space="preserve"> </w:t>
      </w:r>
      <w:r>
        <w:t xml:space="preserve">calcula estos estadísticos sobre los conteos observados.</w:t>
      </w:r>
    </w:p>
    <w:bookmarkStart w:id="47" w:name="cod-dist-conteos-stats"/>
    <w:p>
      <w:pPr>
        <w:pStyle w:val="SourceCode"/>
      </w:pPr>
      <w:r>
        <w:rPr>
          <w:rStyle w:val="FunctionTok"/>
        </w:rPr>
        <w:t xml:space="preserve">library</w:t>
      </w:r>
      <w:r>
        <w:rPr>
          <w:rStyle w:val="NormalTok"/>
        </w:rPr>
        <w:t xml:space="preserve">(tidyverse)</w:t>
      </w:r>
      <w:r>
        <w:br/>
      </w:r>
      <w:r>
        <w:br/>
      </w:r>
      <w:r>
        <w:rPr>
          <w:rStyle w:val="CommentTok"/>
        </w:rPr>
        <w:t xml:space="preserve"># Asimetría y curtosis muestrales (evita la dependencia del paquete moments)</w:t>
      </w:r>
      <w:r>
        <w:br/>
      </w:r>
      <w:r>
        <w:rPr>
          <w:rStyle w:val="NormalTok"/>
        </w:rPr>
        <w:t xml:space="preserve">skewness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kurtosis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4</w:t>
      </w:r>
      <w:r>
        <w:br/>
      </w:r>
      <w:r>
        <w:br/>
      </w:r>
      <w:r>
        <w:rPr>
          <w:rStyle w:val="NormalTok"/>
        </w:rPr>
        <w:t xml:space="preserve">resumen_conteos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p>
    <w:bookmarkEnd w:id="47"/>
    <w:p>
      <w:pPr>
        <w:pStyle w:val="TableCaption"/>
      </w:pPr>
      <w:bookmarkStart w:id="48" w:name="tab:dist-conteos-tabla"/>
      <w:bookmarkEnd w:id="48"/>
      <w:r>
        <w:t xml:space="preserve">Tabla 3.1: Resumen descriptivo de los conteos observados por segmento</w:t>
      </w:r>
    </w:p>
    <w:tbl>
      <w:tblPr>
        <w:tblStyle w:val="Table"/>
        <w:tblW w:type="pct" w:w="5000"/>
        <w:tblLayout w:type="fixed"/>
        <w:tblLook w:firstRow="1" w:lastRow="0" w:firstColumn="0" w:lastColumn="0" w:noHBand="0" w:noVBand="0" w:val="0020"/>
        <w:tblCaption w:val="Tabla 3.1: Resumen descriptivo de los conteos observados por segmento"/>
      </w:tblPr>
      <w:tblGrid>
        <w:gridCol w:w="1320"/>
        <w:gridCol w:w="616"/>
        <w:gridCol w:w="792"/>
        <w:gridCol w:w="1408"/>
        <w:gridCol w:w="968"/>
        <w:gridCol w:w="880"/>
        <w:gridCol w:w="1936"/>
      </w:tblGrid>
      <w:tr>
        <w:trPr>
          <w:tblHeader w:val="on"/>
        </w:trPr>
        <w:tc>
          <w:tcPr/>
          <w:p>
            <w:pPr>
              <w:pStyle w:val="Compact"/>
              <w:jc w:val="center"/>
            </w:pPr>
            <w:r>
              <w:t xml:space="preserve">N.º segmentos</w:t>
            </w:r>
          </w:p>
        </w:tc>
        <w:tc>
          <w:tcPr/>
          <w:p>
            <w:pPr>
              <w:pStyle w:val="Compact"/>
              <w:jc w:val="center"/>
            </w:pPr>
            <w:r>
              <w:t xml:space="preserve">Media</w:t>
            </w:r>
          </w:p>
        </w:tc>
        <w:tc>
          <w:tcPr/>
          <w:p>
            <w:pPr>
              <w:pStyle w:val="Compact"/>
              <w:jc w:val="center"/>
            </w:pPr>
            <w:r>
              <w:t xml:space="preserve">Mediana</w:t>
            </w:r>
          </w:p>
        </w:tc>
        <w:tc>
          <w:tcPr/>
          <w:p>
            <w:pPr>
              <w:pStyle w:val="Compact"/>
              <w:jc w:val="center"/>
            </w:pPr>
            <w:r>
              <w:t xml:space="preserve">Desv. estándar</w:t>
            </w:r>
          </w:p>
        </w:tc>
        <w:tc>
          <w:tcPr/>
          <w:p>
            <w:pPr>
              <w:pStyle w:val="Compact"/>
              <w:jc w:val="center"/>
            </w:pPr>
            <w:r>
              <w:t xml:space="preserve">Asimetría</w:t>
            </w:r>
          </w:p>
        </w:tc>
        <w:tc>
          <w:tcPr/>
          <w:p>
            <w:pPr>
              <w:pStyle w:val="Compact"/>
              <w:jc w:val="center"/>
            </w:pPr>
            <w:r>
              <w:t xml:space="preserve">Curtosis</w:t>
            </w:r>
          </w:p>
        </w:tc>
        <w:tc>
          <w:tcPr/>
          <w:p>
            <w:pPr>
              <w:pStyle w:val="Compact"/>
              <w:jc w:val="center"/>
            </w:pPr>
            <w:r>
              <w:t xml:space="preserve">Índice de dispersión</w:t>
            </w:r>
          </w:p>
        </w:tc>
      </w:tr>
      <w:tr>
        <w:tc>
          <w:tcPr/>
          <w:p>
            <w:pPr>
              <w:pStyle w:val="Compact"/>
              <w:jc w:val="center"/>
            </w:pPr>
            <w:r>
              <w:t xml:space="preserve">500</w:t>
            </w:r>
          </w:p>
        </w:tc>
        <w:tc>
          <w:tcPr/>
          <w:p>
            <w:pPr>
              <w:pStyle w:val="Compact"/>
              <w:jc w:val="center"/>
            </w:pPr>
            <w:r>
              <w:t xml:space="preserve">54.29</w:t>
            </w:r>
          </w:p>
        </w:tc>
        <w:tc>
          <w:tcPr/>
          <w:p>
            <w:pPr>
              <w:pStyle w:val="Compact"/>
              <w:jc w:val="center"/>
            </w:pPr>
            <w:r>
              <w:t xml:space="preserve">51</w:t>
            </w:r>
          </w:p>
        </w:tc>
        <w:tc>
          <w:tcPr/>
          <w:p>
            <w:pPr>
              <w:pStyle w:val="Compact"/>
              <w:jc w:val="center"/>
            </w:pPr>
            <w:r>
              <w:t xml:space="preserve">28.9</w:t>
            </w:r>
          </w:p>
        </w:tc>
        <w:tc>
          <w:tcPr/>
          <w:p>
            <w:pPr>
              <w:pStyle w:val="Compact"/>
              <w:jc w:val="center"/>
            </w:pPr>
            <w:r>
              <w:t xml:space="preserve">6.92</w:t>
            </w:r>
          </w:p>
        </w:tc>
        <w:tc>
          <w:tcPr/>
          <w:p>
            <w:pPr>
              <w:pStyle w:val="Compact"/>
              <w:jc w:val="center"/>
            </w:pPr>
            <w:r>
              <w:t xml:space="preserve">65.11</w:t>
            </w:r>
          </w:p>
        </w:tc>
        <w:tc>
          <w:tcPr/>
          <w:p>
            <w:pPr>
              <w:pStyle w:val="Compact"/>
              <w:jc w:val="center"/>
            </w:pPr>
            <w:r>
              <w:t xml:space="preserve">15.38</w:t>
            </w:r>
          </w:p>
        </w:tc>
      </w:tr>
    </w:tbl>
    <w:p>
      <w:pPr>
        <w:pStyle w:val="BodyText"/>
      </w:pPr>
      <w:r>
        <w:t xml:space="preserve">La Tabla</w:t>
      </w:r>
      <w:r>
        <w:t xml:space="preserve"> </w:t>
      </w:r>
      <w:r>
        <w:t xml:space="preserve">3.1</w:t>
      </w:r>
      <w:r>
        <w:t xml:space="preserve"> </w:t>
      </w:r>
      <w:r>
        <w:t xml:space="preserve">resume los estadísticos descriptivos calculados sobre los 500 segmentos. El índice de dispersión es 15.38, muy por encima de 1, lo que confirma la sobredispersión de los conteos y respalda la especificación jerárquica con densidad latente log-normal desarrollada en el Capítulo</w:t>
      </w:r>
      <w:r>
        <w:t xml:space="preserve"> </w:t>
      </w:r>
      <w:r>
        <w:t xml:space="preserve">4</w:t>
      </w:r>
      <w:r>
        <w:t xml:space="preserve">. El coeficiente de asimetría (6.92) señala una distribución con cola derecha pesada, mientras que la curtosis (65.11) evidencia un comportamiento leptocúrtico respecto a la distribución normal (</w:t>
      </w:r>
      <m:oMath>
        <m:r>
          <m:rPr>
            <m:nor/>
            <m:sty m:val="p"/>
          </m:rPr>
          <m:t>curtosis</m:t>
        </m:r>
        <m:r>
          <m:rPr>
            <m:sty m:val="p"/>
          </m:rPr>
          <m:t>=</m:t>
        </m:r>
        <m:r>
          <m:t>3</m:t>
        </m:r>
      </m:oMath>
      <w:r>
        <w:t xml:space="preserve">). Este patrón es característico de los conteos poblacionales por segmento, donde la mayoría de las unidades presenta valores moderados y un número reducido de segmentos concentra valores extremos.</w:t>
      </w:r>
    </w:p>
    <w:p>
      <w:pPr>
        <w:pStyle w:val="SourceCode"/>
      </w:pPr>
      <w:r>
        <w:rPr>
          <w:rStyle w:val="FunctionTok"/>
        </w:rPr>
        <w:t xml:space="preserve">tibble</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"#CBD5E1"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"log(conteo + 1)"</w:t>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CaptionedFigure"/>
      </w:pPr>
      <w:r>
        <w:drawing>
          <wp:inline>
            <wp:extent cx="5334000" cy="3282461"/>
            <wp:effectExtent b="0" l="0" r="0" t="0"/>
            <wp:docPr descr="Figura 3.1: Distribución de log(Y + 1) por segmento" title="" id="50" name="Picture"/>
            <a:graphic>
              <a:graphicData uri="http://schemas.openxmlformats.org/drawingml/2006/picture">
                <pic:pic>
                  <pic:nvPicPr>
                    <pic:cNvPr descr="05-InsumosModelamiento_files/figure-docx/dist-conteos-hist-1.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2" w:name="fig:dist-conteos-hist"/>
      <w:bookmarkEnd w:id="52"/>
      <w:r>
        <w:t xml:space="preserve">Figura 3.1: Distribución de log(Y + 1) por segmento</w:t>
      </w:r>
    </w:p>
    <w:p>
      <w:pPr>
        <w:pStyle w:val="BodyText"/>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3"/>
    <w:bookmarkStart w:id="59" w:name="outliers"/>
    <w:p>
      <w:pPr>
        <w:pStyle w:val="Heading3"/>
      </w:pPr>
      <w:r>
        <w:rPr>
          <w:rStyle w:val="SectionNumber"/>
        </w:rPr>
        <w:t xml:space="preserve">3.4.2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BodyText"/>
      </w:pPr>
      <w:r>
        <w:t xml:space="preserve">El Código</w:t>
      </w:r>
      <w:r>
        <w:t xml:space="preserve"> </w:t>
      </w:r>
      <w:r>
        <w:t xml:space="preserve">??</w:t>
      </w:r>
      <w:r>
        <w:t xml:space="preserve"> </w:t>
      </w:r>
      <w:r>
        <w:t xml:space="preserve">implementa ambos criterios de detección.</w:t>
      </w:r>
    </w:p>
    <w:bookmarkStart w:id="54" w:name="cod-outliers-deteccion"/>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bookmarkEnd w:id="54"/>
    <w:p>
      <w:pPr>
        <w:pStyle w:val="CaptionedFigure"/>
      </w:pPr>
      <w:r>
        <w:drawing>
          <wp:inline>
            <wp:extent cx="5334000" cy="3282461"/>
            <wp:effectExtent b="0" l="0" r="0" t="0"/>
            <wp:docPr descr="Figura 3.2: Segmentos atípicos según residuo de Pearson y distancia de Mahalanobis" title="" id="56" name="Picture"/>
            <a:graphic>
              <a:graphicData uri="http://schemas.openxmlformats.org/drawingml/2006/picture">
                <pic:pic>
                  <pic:nvPicPr>
                    <pic:cNvPr descr="05-InsumosModelamiento_files/figure-docx/outliers-grafico-1.png" id="57" name="Picture"/>
                    <pic:cNvPicPr>
                      <a:picLocks noChangeArrowheads="1" noChangeAspect="1"/>
                    </pic:cNvPicPr>
                  </pic:nvPicPr>
                  <pic:blipFill>
                    <a:blip r:embed="rId5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8" w:name="fig:outliers-grafico"/>
      <w:bookmarkEnd w:id="58"/>
      <w:r>
        <w:t xml:space="preserve">Figura 3.2: Segmentos atípicos según residuo de Pearson y distancia de Mahalanobis</w:t>
      </w:r>
    </w:p>
    <w:p>
      <w:pPr>
        <w:pStyle w:val="BodyText"/>
      </w:pPr>
      <w:r>
        <w:t xml:space="preserve">La Figura</w:t>
      </w:r>
      <w:r>
        <w:t xml:space="preserve"> </w:t>
      </w:r>
      <w:r>
        <w:t xml:space="preserve">3.2</w:t>
      </w:r>
      <w:r>
        <w:t xml:space="preserve"> </w:t>
      </w:r>
      <w:r>
        <w:t xml:space="preserve">ubica a cada uno de los 500 segmentos en el plano definido por el residuo de Pearson del modelo nulo y la distancia de Mahalanobis sobre las covariables auxiliares, con líneas punteadas que marcan los respectivos umbrales de decisión (</w:t>
      </w:r>
      <m:oMath>
        <m:r>
          <m:rPr>
            <m:sty m:val="p"/>
          </m:rPr>
          <m:t>|</m:t>
        </m:r>
        <m:sSubSup>
          <m:e>
            <m:r>
              <m:t>r</m:t>
            </m:r>
          </m:e>
          <m:sub>
            <m:r>
              <m:t>i</m:t>
            </m:r>
          </m:sub>
          <m:sup>
            <m:r>
              <m:t>P</m:t>
            </m:r>
          </m:sup>
        </m:sSubSup>
        <m:r>
          <m:rPr>
            <m:sty m:val="p"/>
          </m:rPr>
          <m:t>|</m:t>
        </m:r>
        <m:r>
          <m:rPr>
            <m:sty m:val="p"/>
          </m:rPr>
          <m:t>=</m:t>
        </m:r>
        <m:r>
          <m:t>3</m:t>
        </m:r>
      </m:oMath>
      <w:r>
        <w:t xml:space="preserve"> </w:t>
      </w:r>
      <w:r>
        <w:t xml:space="preserve">y el percentil 97.5 de</w:t>
      </w:r>
      <w:r>
        <w:t xml:space="preserve"> </w:t>
      </w:r>
      <m:oMath>
        <m:sSubSup>
          <m:e>
            <m:r>
              <m:t>χ</m:t>
            </m:r>
          </m:e>
          <m:sub>
            <m:r>
              <m:t>p</m:t>
            </m:r>
          </m:sub>
          <m:sup>
            <m:r>
              <m:t>2</m:t>
            </m:r>
          </m:sup>
        </m:sSubSup>
      </m:oMath>
      <w:r>
        <w:t xml:space="preserve">). De ellos, 48 segmentos superan el umbral del residuo de Pearson (categoría</w:t>
      </w:r>
      <w:r>
        <w:t xml:space="preserve"> </w:t>
      </w:r>
      <w:r>
        <w:t xml:space="preserve">“Residuo de Pearson”</w:t>
      </w:r>
      <w:r>
        <w:t xml:space="preserve">, en azul), 16 superan el umbral de la distancia de Mahalanobis (categoría</w:t>
      </w:r>
      <w:r>
        <w:t xml:space="preserve"> </w:t>
      </w:r>
      <w:r>
        <w:t xml:space="preserve">“Mahalanobis”</w:t>
      </w:r>
      <w:r>
        <w:t xml:space="preserve">, en naranja), y 3 son señalados simultáneamente por los dos criterios (categoría</w:t>
      </w:r>
      <w:r>
        <w:t xml:space="preserve"> </w:t>
      </w:r>
      <w:r>
        <w:t xml:space="preserve">“Ambos criterios”</w:t>
      </w:r>
      <w:r>
        <w:t xml:space="preserve">, en rojo).</w:t>
      </w:r>
    </w:p>
    <w:p>
      <w:pPr>
        <w:pStyle w:val="BodyText"/>
      </w:pPr>
      <w:r>
        <w:t xml:space="preserve">Los segmentos marcados en rojo constituyen los candidatos prioritarios de revisión, ya que combinan un conteo discordante con el nivel general de la muestra y una combinación inusual de covariables auxiliares. Los segmentos señalados por un solo criterio —ya sea un conteo extremo sin covariables atípicas, o covariables atípicas con un conteo dentro del rango esperado— requieren un análisis más detallado antes de decidir su tratamiento, pues cada criterio captura una forma distinta de atipicidad: el residuo de Pearson detecta conteos discordantes con el nivel medio de la muestra, mientras que la distancia de Mahalanobis detecta combinaciones inusuales en el espacio de las covariables, independientemente del valor del conteo. 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9"/>
    <w:bookmarkStart w:id="66" w:name="relacion-variables"/>
    <w:p>
      <w:pPr>
        <w:pStyle w:val="Heading3"/>
      </w:pPr>
      <w:r>
        <w:rPr>
          <w:rStyle w:val="SectionNumber"/>
        </w:rPr>
        <w:t xml:space="preserve">3.4.3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 Dado que el modelo desarrollado en este libro tiene un propósito predictivo y no explicativo, este análisis no busca establecer relaciones causales ni interpretar el efecto individual de cada covariable sobre la población, sino identificar patrones que puedan mejorar la capacidad de predicción del modelo en los segmentos con información censal incompleta.</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BodyText"/>
      </w:pPr>
      <w:r>
        <w:t xml:space="preserve">El Código</w:t>
      </w:r>
      <w:r>
        <w:t xml:space="preserve"> </w:t>
      </w:r>
      <w:r>
        <w:t xml:space="preserve">??</w:t>
      </w:r>
      <w:r>
        <w:t xml:space="preserve"> </w:t>
      </w:r>
      <w:r>
        <w:t xml:space="preserve">calcula la matriz de correlación y los factores de inflación de varianza.</w:t>
      </w:r>
    </w:p>
    <w:bookmarkStart w:id="60" w:name="cod-relacion-variables"/>
    <w:p>
      <w:pPr>
        <w:pStyle w:val="SourceCode"/>
      </w:pP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tabla_vif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covariable =</w:t>
      </w:r>
      <w:r>
        <w:rPr>
          <w:rStyle w:val="NormalTok"/>
        </w:rPr>
        <w:t xml:space="preserve"> </w:t>
      </w:r>
      <w:r>
        <w:rPr>
          <w:rStyle w:val="FunctionTok"/>
        </w:rPr>
        <w:t xml:space="preserve">names</w:t>
      </w:r>
      <w:r>
        <w:rPr>
          <w:rStyle w:val="NormalTok"/>
        </w:rPr>
        <w:t xml:space="preserve">(car</w:t>
      </w:r>
      <w:r>
        <w:rPr>
          <w:rStyle w:val="SpecialCharTok"/>
        </w:rPr>
        <w:t xml:space="preserve">::</w:t>
      </w:r>
      <w:r>
        <w:rPr>
          <w:rStyle w:val="FunctionTok"/>
        </w:rPr>
        <w:t xml:space="preserve">vif</w:t>
      </w:r>
      <w:r>
        <w:rPr>
          <w:rStyle w:val="NormalTok"/>
        </w:rPr>
        <w:t xml:space="preserve">(modelo_ols)),</w:t>
      </w:r>
      <w:r>
        <w:br/>
      </w:r>
      <w:r>
        <w:rPr>
          <w:rStyle w:val="NormalTok"/>
        </w:rPr>
        <w:t xml:space="preserve">  </w:t>
      </w:r>
      <w:r>
        <w:rPr>
          <w:rStyle w:val="AttributeTok"/>
        </w:rPr>
        <w:t xml:space="preserve">VIF        =</w:t>
      </w:r>
      <w:r>
        <w:rPr>
          <w:rStyle w:val="NormalTok"/>
        </w:rPr>
        <w:t xml:space="preserve"> car</w:t>
      </w:r>
      <w:r>
        <w:rPr>
          <w:rStyle w:val="SpecialCharTok"/>
        </w:rPr>
        <w:t xml:space="preserve">::</w:t>
      </w:r>
      <w:r>
        <w:rPr>
          <w:rStyle w:val="FunctionTok"/>
        </w:rPr>
        <w:t xml:space="preserve">vif</w:t>
      </w:r>
      <w:r>
        <w:rPr>
          <w:rStyle w:val="NormalTok"/>
        </w:rPr>
        <w:t xml:space="preserve">(modelo_ols)</w:t>
      </w:r>
      <w:r>
        <w:br/>
      </w:r>
      <w:r>
        <w:rPr>
          <w:rStyle w:val="NormalTok"/>
        </w:rPr>
        <w:t xml:space="preserve">)</w:t>
      </w:r>
    </w:p>
    <w:bookmarkEnd w:id="60"/>
    <w:p>
      <w:pPr>
        <w:pStyle w:val="TableCaption"/>
      </w:pPr>
      <w:bookmarkStart w:id="61" w:name="tab:relacion-variables-vif-tabla"/>
      <w:bookmarkEnd w:id="61"/>
      <w:r>
        <w:t xml:space="preserve">Tabla 3.2: Factores de inflación de varianza (VIF) de las covariables auxiliares</w:t>
      </w:r>
    </w:p>
    <w:tbl>
      <w:tblPr>
        <w:tblStyle w:val="Table"/>
        <w:tblW w:type="auto" w:w="0"/>
        <w:tblLook w:firstRow="1" w:lastRow="0" w:firstColumn="0" w:lastColumn="0" w:noHBand="0" w:noVBand="0" w:val="0020"/>
        <w:tblCaption w:val="Tabla 3.2: Factores de inflación de varianza (VIF) de las covariables auxiliares"/>
      </w:tblPr>
      <w:tblGrid>
        <w:gridCol w:w="3960"/>
        <w:gridCol w:w="3960"/>
      </w:tblGrid>
      <w:tr>
        <w:trPr>
          <w:tblHeader w:val="on"/>
        </w:trPr>
        <w:tc>
          <w:tcPr/>
          <w:p>
            <w:pPr>
              <w:pStyle w:val="Compact"/>
              <w:jc w:val="center"/>
            </w:pPr>
            <w:r>
              <w:t xml:space="preserve">Covariable</w:t>
            </w:r>
          </w:p>
        </w:tc>
        <w:tc>
          <w:tcPr/>
          <w:p>
            <w:pPr>
              <w:pStyle w:val="Compact"/>
              <w:jc w:val="center"/>
            </w:pPr>
            <w:r>
              <w:t xml:space="preserve">VIF</w:t>
            </w:r>
          </w:p>
        </w:tc>
      </w:tr>
      <w:tr>
        <w:tc>
          <w:tcPr/>
          <w:p>
            <w:pPr>
              <w:pStyle w:val="Compact"/>
              <w:jc w:val="center"/>
            </w:pPr>
            <w:r>
              <w:t xml:space="preserve">luminosidad</w:t>
            </w:r>
          </w:p>
        </w:tc>
        <w:tc>
          <w:tcPr/>
          <w:p>
            <w:pPr>
              <w:pStyle w:val="Compact"/>
              <w:jc w:val="center"/>
            </w:pPr>
            <w:r>
              <w:t xml:space="preserve">1.01</w:t>
            </w:r>
          </w:p>
        </w:tc>
      </w:tr>
      <w:tr>
        <w:tc>
          <w:tcPr/>
          <w:p>
            <w:pPr>
              <w:pStyle w:val="Compact"/>
              <w:jc w:val="center"/>
            </w:pPr>
            <w:r>
              <w:t xml:space="preserve">area_construida</w:t>
            </w:r>
          </w:p>
        </w:tc>
        <w:tc>
          <w:tcPr/>
          <w:p>
            <w:pPr>
              <w:pStyle w:val="Compact"/>
              <w:jc w:val="center"/>
            </w:pPr>
            <w:r>
              <w:t xml:space="preserve">1.01</w:t>
            </w:r>
          </w:p>
        </w:tc>
      </w:tr>
      <w:tr>
        <w:tc>
          <w:tcPr/>
          <w:p>
            <w:pPr>
              <w:pStyle w:val="Compact"/>
              <w:jc w:val="center"/>
            </w:pPr>
            <w:r>
              <w:t xml:space="preserve">dist_urbano</w:t>
            </w:r>
          </w:p>
        </w:tc>
        <w:tc>
          <w:tcPr/>
          <w:p>
            <w:pPr>
              <w:pStyle w:val="Compact"/>
              <w:jc w:val="center"/>
            </w:pPr>
            <w:r>
              <w:t xml:space="preserve">1.00</w:t>
            </w:r>
          </w:p>
        </w:tc>
      </w:tr>
    </w:tbl>
    <w:p>
      <w:pPr>
        <w:pStyle w:val="BodyText"/>
      </w:pPr>
      <w:r>
        <w:t xml:space="preserve">La Tabla</w:t>
      </w:r>
      <w:r>
        <w:t xml:space="preserve"> </w:t>
      </w:r>
      <w:r>
        <w:t xml:space="preserve">3.2</w:t>
      </w:r>
      <w:r>
        <w:t xml:space="preserve"> </w:t>
      </w:r>
      <w:r>
        <w:t xml:space="preserve">reporta el VIF de cada covariable. El valor máximo observado es 1.01, muy por debajo del umbral de 10, por lo que no se evidencia multicolinealidad problemática entre las covariables auxiliares.</w:t>
      </w:r>
    </w:p>
    <w:p>
      <w:pPr>
        <w:pStyle w:val="CaptionedFigure"/>
      </w:pPr>
      <w:r>
        <w:drawing>
          <wp:inline>
            <wp:extent cx="3733800" cy="3111500"/>
            <wp:effectExtent b="0" l="0" r="0" t="0"/>
            <wp:docPr descr="Figura 3.3: Matriz de correlación entre el conteo poblacional (log) y las covariables auxiliares" title="" id="63" name="Picture"/>
            <a:graphic>
              <a:graphicData uri="http://schemas.openxmlformats.org/drawingml/2006/picture">
                <pic:pic>
                  <pic:nvPicPr>
                    <pic:cNvPr descr="05-InsumosModelamiento_files/figure-docx/relacion-variables-heatmap-1.png" id="64" name="Picture"/>
                    <pic:cNvPicPr>
                      <a:picLocks noChangeArrowheads="1" noChangeAspect="1"/>
                    </pic:cNvPicPr>
                  </pic:nvPicPr>
                  <pic:blipFill>
                    <a:blip r:embed="rId62"/>
                    <a:stretch>
                      <a:fillRect/>
                    </a:stretch>
                  </pic:blipFill>
                  <pic:spPr bwMode="auto">
                    <a:xfrm>
                      <a:off x="0" y="0"/>
                      <a:ext cx="3733800" cy="3111500"/>
                    </a:xfrm>
                    <a:prstGeom prst="rect">
                      <a:avLst/>
                    </a:prstGeom>
                    <a:noFill/>
                    <a:ln w="9525">
                      <a:noFill/>
                      <a:headEnd/>
                      <a:tailEnd/>
                    </a:ln>
                  </pic:spPr>
                </pic:pic>
              </a:graphicData>
            </a:graphic>
          </wp:inline>
        </w:drawing>
      </w:r>
    </w:p>
    <w:p>
      <w:pPr>
        <w:pStyle w:val="ImageCaption"/>
      </w:pPr>
      <w:bookmarkStart w:id="65" w:name="fig:relacion-variables-heatmap"/>
      <w:bookmarkEnd w:id="65"/>
      <w:r>
        <w:t xml:space="preserve">Figura 3.3: Matriz de correlación entre el conteo poblacional (log) y las covariables auxiliares</w:t>
      </w:r>
    </w:p>
    <w:p>
      <w:pPr>
        <w:pStyle w:val="BodyText"/>
      </w:pPr>
      <w:r>
        <w:t xml:space="preserve">La Figura</w:t>
      </w:r>
      <w:r>
        <w:t xml:space="preserve"> </w:t>
      </w:r>
      <w:r>
        <w:t xml:space="preserve">3.3</w:t>
      </w:r>
      <w:r>
        <w:t xml:space="preserve"> </w:t>
      </w:r>
      <w:r>
        <w:t xml:space="preserve">muestra la matriz de correlación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las covariables estandarizadas, en una escala divergente (rojo = correlación negativa, azul = correlación positiva) que facilita distinguir la dirección y magnitud de cada asociación de un vistazo.</w:t>
      </w:r>
    </w:p>
    <w:p>
      <w:pPr>
        <w:pStyle w:val="BodyText"/>
      </w:pPr>
      <w:r>
        <w:t xml:space="preserve">En un modelo de propósito predictivo, la presencia de correlaciones elevadas entre la variable dependiente y las covariables no constituye por sí sola un criterio suficiente para seleccionar o descartar predictores, ni una correlación baja implica necesariamente ausencia de valor predictivo una vez consideradas las demás covariables. De igual forma, la multicolinealidad detectada mediante el VIF no necesariamente deteriora la capacidad predictiva del modelo, especialmente en el enfoque bayesiano adoptado en este libro, donde la regularización inducida por las distribuciones a priori contribuye a estabilizar las estimaciones ante covariables correlacionadas. Por esta razón, los diagnósticos de esta sección deben interpretarse como herramientas para comprender la estructura de los datos y detectar redundancias, y no como reglas automáticas de inclusión o exclusión de covariables.</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de las estimaciones finales.</w:t>
      </w:r>
    </w:p>
    <w:bookmarkEnd w:id="66"/>
    <w:bookmarkEnd w:id="67"/>
    <w:bookmarkEnd w:id="68"/>
    <w:bookmarkStart w:id="80" w:name="cap-conteos"/>
    <w:p>
      <w:pPr>
        <w:pStyle w:val="Heading1"/>
      </w:pPr>
      <w:r>
        <w:rPr>
          <w:rStyle w:val="SectionNumber"/>
        </w:rPr>
        <w:t xml:space="preserve">4</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w:t>
      </w:r>
    </w:p>
    <w:p>
      <w:pPr>
        <w:pStyle w:val="BodyText"/>
      </w:pPr>
      <w:r>
        <w:t xml:space="preserve">La estructura del capítulo se organiza en dos secciones principales. La primera presenta la especificación probabilística completa del modelo: definición formal, función de verosimilitud, distribuciones previas, distribución posterior e interpretación de parámetros. La segunda describe en detalle los componentes del modelo: efectos fijos, efectos aleatorios, mecanismos de interacción y elementos adicionales como el offset y la sobredispersión.</w:t>
      </w:r>
    </w:p>
    <w:bookmarkStart w:id="74" w:name="modelo-poisson-lognormal"/>
    <w:p>
      <w:pPr>
        <w:pStyle w:val="Heading2"/>
      </w:pPr>
      <w:r>
        <w:rPr>
          <w:rStyle w:val="SectionNumber"/>
        </w:rPr>
        <w:t xml:space="preserve">4.1</w:t>
      </w:r>
      <w:r>
        <w:tab/>
      </w:r>
      <w:r>
        <w:t xml:space="preserve">Modelo Poisson-lognormal</w:t>
      </w:r>
    </w:p>
    <w:p>
      <w:pPr>
        <w:pStyle w:val="FirstParagraph"/>
      </w:pPr>
      <w:r>
        <w:t xml:space="preserve">Esta sección desarrolla la especificación probabilística completa del modelo Poisson-lognormal introducido anteriormente. Se parte de la definición formal de sus componentes observados y latentes, se deriva la función de verosimilitud conjunta que los articula, se establecen las distribuciones previas de cada parámetro estructural y se caracteriza la distribución posterior resultante. El recorrido cierra con la interpretación sustantiva de los parámetros estimados, de modo que la formulación matemática quede conectada con su lectura demográfica.</w:t>
      </w:r>
    </w:p>
    <w:bookmarkStart w:id="69" w:name="definicion-formal"/>
    <w:p>
      <w:pPr>
        <w:pStyle w:val="Heading3"/>
      </w:pPr>
      <w:r>
        <w:rPr>
          <w:rStyle w:val="SectionNumber"/>
        </w:rPr>
        <w:t xml:space="preserve">4.1.1</w:t>
      </w:r>
      <w:r>
        <w:tab/>
      </w:r>
      <w:r>
        <w:t xml:space="preserve">Definición formal</w:t>
      </w:r>
    </w:p>
    <w:p>
      <w:pPr>
        <w:pStyle w:val="FirstParagraph"/>
      </w:pPr>
      <w:r>
        <w:t xml:space="preserve">Sea</w:t>
      </w:r>
      <w:r>
        <w:t xml:space="preserve"> </w:t>
      </w:r>
      <m:oMath>
        <m:r>
          <m:rPr>
            <m:scr m:val="script"/>
            <m:sty m:val="p"/>
          </m:rPr>
          <m:t>S</m:t>
        </m:r>
        <m:r>
          <m:rPr>
            <m:sty m:val="p"/>
          </m:rPr>
          <m:t>=</m:t>
        </m:r>
        <m:r>
          <m:rPr>
            <m:sty m:val="p"/>
          </m:rPr>
          <m:t>{</m:t>
        </m:r>
        <m:r>
          <m:t>1</m:t>
        </m:r>
        <m:r>
          <m:rPr>
            <m:sty m:val="p"/>
          </m:rPr>
          <m:t>,</m:t>
        </m:r>
        <m:r>
          <m:rPr>
            <m:sty m:val="p"/>
          </m:rPr>
          <m:t>…</m:t>
        </m:r>
        <m:r>
          <m:rPr>
            <m:sty m:val="p"/>
          </m:rPr>
          <m:t>,</m:t>
        </m:r>
        <m:r>
          <m:t>D</m:t>
        </m:r>
        <m:r>
          <m:rPr>
            <m:sty m:val="p"/>
          </m:rPr>
          <m:t>}</m:t>
        </m:r>
      </m:oMath>
      <w:r>
        <w:t xml:space="preserve"> </w:t>
      </w:r>
      <w:r>
        <w:t xml:space="preserve">el conjunto de todos los segmentos censales del país, donde</w:t>
      </w:r>
      <w:r>
        <w:t xml:space="preserve"> </w:t>
      </w:r>
      <m:oMath>
        <m:r>
          <m:t>D</m:t>
        </m:r>
        <m:r>
          <m:rPr>
            <m:sty m:val="p"/>
          </m:rPr>
          <m:t>=</m:t>
        </m:r>
        <m:r>
          <m:rPr>
            <m:sty m:val="p"/>
          </m:rPr>
          <m:t>|</m:t>
        </m:r>
        <m:r>
          <m:rPr>
            <m:scr m:val="script"/>
            <m:sty m:val="p"/>
          </m:rPr>
          <m:t>S</m:t>
        </m:r>
        <m:r>
          <m:rPr>
            <m:sty m:val="p"/>
          </m:rPr>
          <m:t>|</m:t>
        </m:r>
      </m:oMath>
      <w:r>
        <w:t xml:space="preserve"> </w:t>
      </w:r>
      <w:r>
        <w:t xml:space="preserve">representa el número total de segmentos. En este capítulo se utiliza la notación</w:t>
      </w:r>
      <w:r>
        <w:t xml:space="preserve"> </w:t>
      </w:r>
      <m:oMath>
        <m:r>
          <m:t>D</m:t>
        </m:r>
      </m:oMath>
      <w:r>
        <w:t xml:space="preserve"> </w:t>
      </w:r>
      <w:r>
        <w:t xml:space="preserve">para el número de segmentos, en reemplazo de la notación</w:t>
      </w:r>
      <w:r>
        <w:t xml:space="preserve"> </w:t>
      </w:r>
      <m:oMath>
        <m:r>
          <m:t>I</m:t>
        </m:r>
      </m:oMath>
      <w:r>
        <w:t xml:space="preserve"> </w:t>
      </w:r>
      <w:r>
        <w:t xml:space="preserve">empleada en los Capítulos</w:t>
      </w:r>
      <w:r>
        <w:t xml:space="preserve"> </w:t>
      </w:r>
      <w:r>
        <w:t xml:space="preserve">1</w:t>
      </w:r>
      <w:r>
        <w:t xml:space="preserve"> </w:t>
      </w:r>
      <w:r>
        <w:t xml:space="preserve">y</w:t>
      </w:r>
      <w:r>
        <w:t xml:space="preserve"> </w:t>
      </w:r>
      <w:r>
        <w:t xml:space="preserve">3</w:t>
      </w:r>
      <w:r>
        <w:t xml:space="preserve">, con el propósito de mantener consistencia con la implementación computacional presentada en el Capítulo</w:t>
      </w:r>
      <w:r>
        <w:t xml:space="preserve"> </w:t>
      </w:r>
      <w:r>
        <w:t xml:space="preserve">5.1.3</w:t>
      </w:r>
      <w:r>
        <w:t xml:space="preserve">. En consecuencia, se utilizarán las cantidades</w:t>
      </w:r>
      <w:r>
        <w:t xml:space="preserve"> </w:t>
      </w:r>
      <m:oMath>
        <m:sSub>
          <m:e>
            <m:r>
              <m:t>D</m:t>
            </m:r>
          </m:e>
          <m:sub>
            <m:r>
              <m:t>o</m:t>
            </m:r>
            <m:r>
              <m:t>b</m:t>
            </m:r>
            <m:r>
              <m:t>s</m:t>
            </m:r>
          </m:sub>
        </m:sSub>
      </m:oMath>
      <w:r>
        <w:t xml:space="preserve"> </w:t>
      </w:r>
      <w:r>
        <w:t xml:space="preserve">y</w:t>
      </w:r>
      <w:r>
        <w:t xml:space="preserve"> </w:t>
      </w:r>
      <m:oMath>
        <m:sSub>
          <m:e>
            <m:r>
              <m:t>D</m:t>
            </m:r>
          </m:e>
          <m:sub>
            <m:r>
              <m:t>t</m:t>
            </m:r>
            <m:r>
              <m:t>o</m:t>
            </m:r>
            <m:r>
              <m:t>t</m:t>
            </m:r>
          </m:sub>
        </m:sSub>
      </m:oMath>
      <w:r>
        <w:t xml:space="preserve"> </w:t>
      </w:r>
      <w:r>
        <w:t xml:space="preserve">para denotar, respectivamente, el número de segmentos observados y el número total de segmentos considerados en el análisis.</w:t>
      </w:r>
    </w:p>
    <w:p>
      <w:pPr>
        <w:pStyle w:val="BodyText"/>
      </w:pPr>
      <w:r>
        <w:t xml:space="preserve">Para cada segmento censal</w:t>
      </w:r>
      <w:r>
        <w:t xml:space="preserve"> </w:t>
      </w:r>
      <m:oMath>
        <m:r>
          <m:t>i</m:t>
        </m:r>
        <m:r>
          <m:rPr>
            <m:sty m:val="p"/>
          </m:rPr>
          <m:t>∈</m:t>
        </m:r>
        <m:r>
          <m:rPr>
            <m:scr m:val="script"/>
            <m:sty m:val="p"/>
          </m:rPr>
          <m:t>S</m:t>
        </m:r>
      </m:oMath>
      <w:r>
        <w:t xml:space="preserve"> </w:t>
      </w:r>
      <w:r>
        <w:t xml:space="preserve">se consideran dos cantidades fundamentales. La primera corresponde al conteo de población observado, denotado por</w:t>
      </w:r>
      <w:r>
        <w:t xml:space="preserve"> </w:t>
      </w:r>
      <m:oMath>
        <m:sSub>
          <m:e>
            <m:r>
              <m:t>Y</m:t>
            </m:r>
          </m:e>
          <m:sub>
            <m:r>
              <m:t>i</m:t>
            </m:r>
          </m:sub>
        </m:sSub>
      </m:oMath>
      <w:r>
        <w:t xml:space="preserve">, el cual únicamente está disponible para los segmentos que alcanzaron cobertura efectiva durante el operativo censal. La segunda corresponde al número de estructuras habitacionales, denotado por</w:t>
      </w:r>
      <w:r>
        <w:t xml:space="preserve"> </w:t>
      </w:r>
      <m:oMath>
        <m:sSub>
          <m:e>
            <m:r>
              <m:t>V</m:t>
            </m:r>
          </m:e>
          <m:sub>
            <m:r>
              <m:t>i</m:t>
            </m:r>
          </m:sub>
        </m:sSub>
      </m:oMath>
      <w:r>
        <w:t xml:space="preserve">, disponible para todos los segmentos del país. Esta variable proviene del preconteo operativo descrito en el Capítulo</w:t>
      </w:r>
      <w:r>
        <w:t xml:space="preserve"> </w:t>
      </w:r>
      <w:r>
        <w:t xml:space="preserve">2</w:t>
      </w:r>
      <w:r>
        <w:t xml:space="preserve"> </w:t>
      </w:r>
      <w:r>
        <w:t xml:space="preserve">o, cuando este no se encuentra disponible, puede derivarse de fuentes auxiliares basadas en imágenes satelitales y estimaciones de área construida.</w:t>
      </w:r>
    </w:p>
    <w:p>
      <w:pPr>
        <w:pStyle w:val="BodyText"/>
      </w:pPr>
      <w:r>
        <w:t xml:space="preserve">El objetivo del modelo consiste en describir la relación entre ambas cantidades mediante una tasa promedio de ocupación poblacional por estructura habitacional. Esta razón se denota por</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verdadera del segmento</w:t>
      </w:r>
      <w:r>
        <w:t xml:space="preserve"> </w:t>
      </w:r>
      <m:oMath>
        <m:r>
          <m:t>i</m:t>
        </m:r>
      </m:oMath>
      <w:r>
        <w:t xml:space="preserve">. La notación</w:t>
      </w:r>
      <w:r>
        <w:t xml:space="preserve"> </w:t>
      </w:r>
      <m:oMath>
        <m:sSub>
          <m:e>
            <m:r>
              <m:t>δ</m:t>
            </m:r>
          </m:e>
          <m:sub>
            <m:r>
              <m:t>i</m:t>
            </m:r>
          </m:sub>
        </m:sSub>
      </m:oMath>
      <w:r>
        <w:t xml:space="preserve"> </w:t>
      </w:r>
      <w:r>
        <w:t xml:space="preserve">se adopta para evitar confusión con la densidad poblacional por unidad de área,</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introducida en el Capítulo</w:t>
      </w:r>
      <w:r>
        <w:t xml:space="preserve"> </w:t>
      </w:r>
      <w:r>
        <w:t xml:space="preserve">1</w:t>
      </w:r>
      <w:r>
        <w:t xml:space="preserve">, la cual responde a un concepto diferente. Mientras</w:t>
      </w:r>
      <w:r>
        <w:t xml:space="preserve"> </w:t>
      </w:r>
      <m:oMath>
        <m:sSub>
          <m:e>
            <m:r>
              <m:rPr>
                <m:nor/>
                <m:sty m:val="p"/>
              </m:rPr>
              <m:t>DP</m:t>
            </m:r>
          </m:e>
          <m:sub>
            <m:r>
              <m:t>i</m:t>
            </m:r>
          </m:sub>
        </m:sSub>
      </m:oMath>
      <w:r>
        <w:t xml:space="preserve"> </w:t>
      </w:r>
      <w:r>
        <w:t xml:space="preserve">mide el número de personas por unidad de superficie,</w:t>
      </w:r>
      <w:r>
        <w:t xml:space="preserve"> </w:t>
      </w:r>
      <m:oMath>
        <m:sSub>
          <m:e>
            <m:r>
              <m:t>δ</m:t>
            </m:r>
          </m:e>
          <m:sub>
            <m:r>
              <m:t>i</m:t>
            </m:r>
          </m:sub>
        </m:sSub>
      </m:oMath>
      <w:r>
        <w:t xml:space="preserve"> </w:t>
      </w:r>
      <w:r>
        <w:t xml:space="preserve">representa el número esperado de personas por estructura habitacional y constituye el parámetro central de los modelos desarrollados en este capítulo. Nótese además que</w:t>
      </w:r>
      <w:r>
        <w:t xml:space="preserve"> </w:t>
      </w:r>
      <m:oMath>
        <m:sSub>
          <m:e>
            <m:r>
              <m:rPr>
                <m:nor/>
                <m:sty m:val="p"/>
              </m:rPr>
              <m:t>DP</m:t>
            </m:r>
          </m:e>
          <m:sub>
            <m:r>
              <m:t>i</m:t>
            </m:r>
          </m:sub>
        </m:sSub>
      </m:oMath>
      <w:r>
        <w:t xml:space="preserve"> </w:t>
      </w:r>
      <w:r>
        <w:t xml:space="preserve">no guarda relación alguna con la cardinalidad</w:t>
      </w:r>
      <w:r>
        <w:t xml:space="preserve"> </w:t>
      </w:r>
      <m:oMath>
        <m:r>
          <m:t>D</m:t>
        </m:r>
        <m:r>
          <m:rPr>
            <m:sty m:val="p"/>
          </m:rPr>
          <m:t>=</m:t>
        </m:r>
        <m:r>
          <m:rPr>
            <m:sty m:val="p"/>
          </m:rPr>
          <m:t>|</m:t>
        </m:r>
        <m:r>
          <m:rPr>
            <m:scr m:val="script"/>
            <m:sty m:val="p"/>
          </m:rPr>
          <m:t>S</m:t>
        </m:r>
        <m:r>
          <m:rPr>
            <m:sty m:val="p"/>
          </m:rPr>
          <m:t>|</m:t>
        </m:r>
      </m:oMath>
      <w:r>
        <w:t xml:space="preserve"> </w:t>
      </w:r>
      <w:r>
        <w:t xml:space="preserve">definida al inicio de esta sección: una es una medida de densidad por segmento, la otra es el número total de segmentos del país.</w:t>
      </w:r>
    </w:p>
    <w:bookmarkEnd w:id="69"/>
    <w:bookmarkStart w:id="70" w:name="funcion-verosimilitud"/>
    <w:p>
      <w:pPr>
        <w:pStyle w:val="Heading3"/>
      </w:pPr>
      <w:r>
        <w:rPr>
          <w:rStyle w:val="SectionNumber"/>
        </w:rPr>
        <w:t xml:space="preserve">4.1.2</w:t>
      </w:r>
      <w:r>
        <w:tab/>
      </w:r>
      <w:r>
        <w:t xml:space="preserve">Función de verosimilitud</w:t>
      </w:r>
    </w:p>
    <w:p>
      <w:pPr>
        <w:pStyle w:val="FirstParagraph"/>
      </w:pPr>
      <w:r>
        <w:t xml:space="preserve">La inferencia del modelo se basa exclusivamente en la información disponible para los segmentos censales observados durante el operativo de campo. Sea</w:t>
      </w:r>
    </w:p>
    <w:p>
      <w:pPr>
        <w:pStyle w:val="BodyText"/>
      </w:pPr>
      <m:oMathPara>
        <m:oMathParaPr>
          <m:jc m:val="center"/>
        </m:oMathParaPr>
        <m:oMath>
          <m:sSub>
            <m:e>
              <m:r>
                <m:rPr>
                  <m:scr m:val="script"/>
                  <m:sty m:val="p"/>
                </m:rPr>
                <m:t>S</m:t>
              </m:r>
            </m:e>
            <m:sub>
              <m:r>
                <m:t>o</m:t>
              </m:r>
              <m:r>
                <m:t>b</m:t>
              </m:r>
              <m:r>
                <m:t>s</m:t>
              </m:r>
            </m:sub>
          </m:sSub>
          <m:r>
            <m:rPr>
              <m:sty m:val="p"/>
            </m:rPr>
            <m:t>⊆</m:t>
          </m:r>
          <m:r>
            <m:rPr>
              <m:scr m:val="script"/>
              <m:sty m:val="p"/>
            </m:rPr>
            <m:t>S</m:t>
          </m:r>
        </m:oMath>
      </m:oMathPara>
    </w:p>
    <w:p>
      <w:pPr>
        <w:pStyle w:val="FirstParagraph"/>
      </w:pPr>
      <w:r>
        <w:t xml:space="preserve">el conjunto de segmentos con cobertura efectiva, para los cuales se dispone simultáneamente del conteo de población observado</w:t>
      </w:r>
      <w:r>
        <w:t xml:space="preserve"> </w:t>
      </w:r>
      <m:oMath>
        <m:sSub>
          <m:e>
            <m:r>
              <m:t>Y</m:t>
            </m:r>
          </m:e>
          <m:sub>
            <m:r>
              <m:t>i</m:t>
            </m:r>
          </m:sub>
        </m:sSub>
      </m:oMath>
      <w:r>
        <w:t xml:space="preserve"> </w:t>
      </w:r>
      <w:r>
        <w:t xml:space="preserve">y del número de estructuras habitacionales</w:t>
      </w:r>
      <w:r>
        <w:t xml:space="preserve"> </w:t>
      </w:r>
      <m:oMath>
        <m:sSub>
          <m:e>
            <m:r>
              <m:t>V</m:t>
            </m:r>
          </m:e>
          <m:sub>
            <m:r>
              <m:t>i</m:t>
            </m:r>
          </m:sub>
        </m:sSub>
      </m:oMath>
      <w:r>
        <w:t xml:space="preserve">. Los segmentos no observados no aportan información directa a la verosimilitud, puesto que el conteo poblacional es desconocido. Su estimación se realiza posteriormente mediante la distribución predictiva posterior.</w:t>
      </w:r>
    </w:p>
    <w:p>
      <w:pPr>
        <w:pStyle w:val="BodyText"/>
      </w:pPr>
      <w:r>
        <w:t xml:space="preserve">En cada segmento observado, el modelo supone que el conteo poblacional se genera mediante un proceso de Poisson cuya intensidad depende de una densidad poblacional latente por estructura habitacional,</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donde</w:t>
      </w:r>
      <w:r>
        <w:t xml:space="preserve"> </w:t>
      </w:r>
      <m:oMath>
        <m:sSub>
          <m:e>
            <m:r>
              <m:t>δ</m:t>
            </m:r>
          </m:e>
          <m:sub>
            <m:r>
              <m:t>i</m:t>
            </m:r>
          </m:sub>
        </m:sSub>
      </m:oMath>
      <w:r>
        <w:t xml:space="preserve"> </w:t>
      </w:r>
      <w:r>
        <w:t xml:space="preserve">representa el número esperado de personas por estructura habitacional. Esta cantidad no es observable y constituye el parámetro fundamental del modelo, ya que captura la heterogeneidad existente entre segmentos censales con características similares.</w:t>
      </w:r>
    </w:p>
    <w:p>
      <w:pPr>
        <w:pStyle w:val="BodyText"/>
      </w:pPr>
      <w:r>
        <w:t xml:space="preserve">A diferencia del modelo Poisson clásico, donde la intensidad es un parámetro fijo, el modelo Poisson-lognormal considera que cada</w:t>
      </w:r>
      <w:r>
        <w:t xml:space="preserve"> </w:t>
      </w:r>
      <m:oMath>
        <m:sSub>
          <m:e>
            <m:r>
              <m:t>δ</m:t>
            </m:r>
          </m:e>
          <m:sub>
            <m:r>
              <m:t>i</m:t>
            </m:r>
          </m:sub>
        </m:sSub>
      </m:oMath>
      <w:r>
        <w:t xml:space="preserve"> </w:t>
      </w:r>
      <w:r>
        <w:t xml:space="preserve">es una realización de una distribución log-normal,</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oMath>
      </m:oMathPara>
    </w:p>
    <w:p>
      <w:pPr>
        <w:pStyle w:val="FirstParagraph"/>
      </w:pPr>
      <w:r>
        <w:t xml:space="preserve">de manera que la variabilidad entre segmentos queda incorporada explícitamente en la estructura probabilística del modelo. El parámetro de localización</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resume la contribución de las variables auxiliares disponibles a través de los efectos fijos</w:t>
      </w:r>
      <w:r>
        <w:t xml:space="preserve"> </w:t>
      </w:r>
      <m:oMath>
        <m:r>
          <m:rPr>
            <m:sty m:val="b"/>
          </m:rPr>
          <m:t>β</m:t>
        </m:r>
      </m:oMath>
      <w:r>
        <w:t xml:space="preserve"> </w:t>
      </w:r>
      <w:r>
        <w:t xml:space="preserve">y el ajuste territorial no explicado por dichas covariables a través de los efectos aleatorios</w:t>
      </w:r>
      <w:r>
        <w:t xml:space="preserve"> </w:t>
      </w:r>
      <m:oMath>
        <m:r>
          <m:rPr>
            <m:sty m:val="b"/>
          </m:rPr>
          <m:t>γ</m:t>
        </m:r>
      </m:oMath>
      <w:r>
        <w:t xml:space="preserve">, mientras que</w:t>
      </w:r>
      <w:r>
        <w:t xml:space="preserve"> </w:t>
      </w:r>
      <m:oMath>
        <m:r>
          <m:t>σ</m:t>
        </m:r>
      </m:oMath>
      <w:r>
        <w:t xml:space="preserve"> </w:t>
      </w:r>
      <w:r>
        <w:t xml:space="preserve">cuantifica la variabilidad residual entre segmentos una vez explicados ambos efectos.</w:t>
      </w:r>
    </w:p>
    <w:p>
      <w:pPr>
        <w:pStyle w:val="BodyText"/>
      </w:pPr>
      <w:r>
        <w:t xml:space="preserve">Bajo esta formulación jerárquica, la información observada se encuentra completamente determinada por dos componentes probabilísticos: el modelo de generación de los conteos y el modelo de variación de las densidades latentes. Asumiendo independencia condicional entre segmentos dado el conjunto de parámetros estructurales</w:t>
      </w:r>
    </w:p>
    <w:p>
      <w:pPr>
        <w:pStyle w:val="BodyText"/>
      </w:pPr>
      <m:oMathPara>
        <m:oMathParaPr>
          <m:jc m:val="center"/>
        </m:oMathParaPr>
        <m:oMath>
          <m:r>
            <m:rPr>
              <m:sty m:val="b"/>
            </m:rPr>
            <m:t>θ</m:t>
          </m:r>
          <m:r>
            <m:rPr>
              <m:sty m:val="p"/>
            </m:rPr>
            <m:t>=</m:t>
          </m:r>
          <m:r>
            <m:rPr>
              <m:sty m:val="p"/>
            </m:rPr>
            <m:t>(</m:t>
          </m:r>
          <m:r>
            <m:rPr>
              <m:sty m:val="b"/>
            </m:rPr>
            <m:t>β</m:t>
          </m:r>
          <m:r>
            <m:rPr>
              <m:sty m:val="p"/>
            </m:rPr>
            <m:t>,</m:t>
          </m:r>
          <m:r>
            <m:t> </m:t>
          </m:r>
          <m:r>
            <m:rPr>
              <m:sty m:val="b"/>
            </m:rPr>
            <m:t>γ</m:t>
          </m:r>
          <m:r>
            <m:rPr>
              <m:sty m:val="p"/>
            </m:rPr>
            <m:t>,</m:t>
          </m:r>
          <m:r>
            <m:t> </m:t>
          </m:r>
          <m:r>
            <m:t>σ</m:t>
          </m:r>
          <m:r>
            <m:rPr>
              <m:sty m:val="p"/>
            </m:rPr>
            <m:t>,</m:t>
          </m:r>
          <m:r>
            <m:t> </m:t>
          </m:r>
          <m:sSub>
            <m:e>
              <m:r>
                <m:t>σ</m:t>
              </m:r>
            </m:e>
            <m:sub>
              <m:r>
                <m:t>U</m:t>
              </m:r>
            </m:sub>
          </m:sSub>
          <m:r>
            <m:rPr>
              <m:sty m:val="p"/>
            </m:rPr>
            <m:t>)</m:t>
          </m:r>
          <m:r>
            <m:rPr>
              <m:sty m:val="p"/>
            </m:rPr>
            <m:t>,</m:t>
          </m:r>
        </m:oMath>
      </m:oMathPara>
    </w:p>
    <w:p>
      <w:pPr>
        <w:pStyle w:val="FirstParagraph"/>
      </w:pPr>
      <w:r>
        <w:t xml:space="preserve">la distribución conjunta factoriza como</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denota el vector de conteos observados y</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el conjunto de densidades latentes asociadas a dichos segmentos.</w:t>
      </w:r>
    </w:p>
    <w:p>
      <w:pPr>
        <w:pStyle w:val="BodyText"/>
      </w:pPr>
      <w:r>
        <w:t xml:space="preserve">Sustituyendo las expresiones funcionales de las distribuciones Poisson y log-normal se obtiene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rPr>
              <m:sty m:val="p"/>
            </m:rPr>
            <m:t>.</m:t>
          </m:r>
          <m:r>
            <m:rPr>
              <m:sty m:val="p"/>
            </m:rPr>
            <m:t>(</m:t>
          </m:r>
          <m:r>
            <m:rPr>
              <m:sty m:val="p"/>
            </m:rPr>
            <m:t>#</m:t>
          </m:r>
          <m:r>
            <m:t>e</m:t>
          </m:r>
          <m:r>
            <m:t>q</m:t>
          </m:r>
          <m:r>
            <m:rPr>
              <m:sty m:val="p"/>
            </m:rPr>
            <m:t>:</m:t>
          </m:r>
          <m:r>
            <m:t>v</m:t>
          </m:r>
          <m:r>
            <m:t>e</m:t>
          </m:r>
          <m:r>
            <m:t>r</m:t>
          </m:r>
          <m:r>
            <m:t>o</m:t>
          </m:r>
          <m:r>
            <m:t>s</m:t>
          </m:r>
          <m:r>
            <m:t>i</m:t>
          </m:r>
          <m:r>
            <m:t>m</m:t>
          </m:r>
          <m:r>
            <m:t>i</m:t>
          </m:r>
          <m:r>
            <m:t>l</m:t>
          </m:r>
          <m:r>
            <m:t>i</m:t>
          </m:r>
          <m:r>
            <m:t>t</m:t>
          </m:r>
          <m:r>
            <m:t>u</m:t>
          </m:r>
          <m:r>
            <m:t>d</m:t>
          </m:r>
          <m:r>
            <m:rPr>
              <m:sty m:val="p"/>
            </m:rPr>
            <m:t>−</m:t>
          </m:r>
          <m:r>
            <m:t>c</m:t>
          </m:r>
          <m:r>
            <m:t>o</m:t>
          </m:r>
          <m:r>
            <m:t>n</m:t>
          </m:r>
          <m:r>
            <m:t>j</m:t>
          </m:r>
          <m:r>
            <m:t>u</m:t>
          </m:r>
          <m:r>
            <m:t>n</m:t>
          </m:r>
          <m:r>
            <m:t>t</m:t>
          </m:r>
          <m:r>
            <m:t>a</m:t>
          </m:r>
          <m:r>
            <m:rPr>
              <m:sty m:val="p"/>
            </m:rPr>
            <m:t>)</m:t>
          </m:r>
        </m:oMath>
      </m:oMathPara>
    </w:p>
    <w:p>
      <w:pPr>
        <w:pStyle w:val="FirstParagraph"/>
      </w:pPr>
      <w:r>
        <w:t xml:space="preserve">La primera contribución corresponde al mecanismo de generación de los conteos observados, mientras que la segunda describe la distribución de las densidades poblacionales entre segmentos. La función de verosimilitud refleja, por tanto, el compromiso entre reproducir los conteos efectivamente observados y mantener valores plausibles para las densidades de acuerdo con el modelo estructural.</w:t>
      </w:r>
    </w:p>
    <w:p>
      <w:pPr>
        <w:pStyle w:val="BodyText"/>
      </w:pPr>
      <w:r>
        <w:t xml:space="preserve">Trabajar sobre la escala logarítmica simplifica considerablemente la inferencia, ya que transforma el producto de densidades en una suma de contribuciones individuales. Partiendo de la verosimilitud conjunta de la Ecuación (4.1), se aplica el logaritmo natural a ambos lados,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rPr>
              <m:sty m:val="p"/>
            </m:rPr>
            <m:t>log</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Utilizando la propiedad</w:t>
      </w:r>
    </w:p>
    <w:p>
      <w:pPr>
        <w:pStyle w:val="BodyText"/>
      </w:pPr>
      <m:oMathPara>
        <m:oMathParaPr>
          <m:jc m:val="center"/>
        </m:oMathParaPr>
        <m:oMath>
          <m:r>
            <m:rPr>
              <m:sty m:val="p"/>
            </m:rPr>
            <m:t>log</m:t>
          </m:r>
          <m:d>
            <m:dPr>
              <m:begChr m:val="("/>
              <m:sepChr m:val=""/>
              <m:endChr m:val=")"/>
              <m:grow/>
            </m:dPr>
            <m:e>
              <m:nary>
                <m:naryPr>
                  <m:chr m:val="∏"/>
                  <m:limLoc m:val="undOvr"/>
                  <m:subHide m:val="off"/>
                  <m:supHide m:val="on"/>
                </m:naryPr>
                <m:sub>
                  <m:r>
                    <m:t>i</m:t>
                  </m:r>
                </m:sub>
                <m:sup>
                  <m:r>
                    <m:t>​</m:t>
                  </m:r>
                </m:sup>
                <m:e>
                  <m:sSub>
                    <m:e>
                      <m:r>
                        <m:t>a</m:t>
                      </m:r>
                    </m:e>
                    <m:sub>
                      <m:r>
                        <m:t>i</m:t>
                      </m:r>
                    </m:sub>
                  </m:sSub>
                </m:e>
              </m:nary>
            </m:e>
          </m:d>
          <m:r>
            <m:rPr>
              <m:sty m:val="p"/>
            </m:rPr>
            <m:t>=</m:t>
          </m:r>
          <m:nary>
            <m:naryPr>
              <m:chr m:val="∑"/>
              <m:limLoc m:val="undOvr"/>
              <m:subHide m:val="off"/>
              <m:supHide m:val="on"/>
            </m:naryPr>
            <m:sub>
              <m:r>
                <m:t>i</m:t>
              </m:r>
            </m:sub>
            <m:sup>
              <m:r>
                <m:t>​</m:t>
              </m:r>
            </m:sup>
            <m:e>
              <m:r>
                <m:rPr>
                  <m:sty m:val="p"/>
                </m:rPr>
                <m:t>log</m:t>
              </m:r>
            </m:e>
          </m:nary>
          <m:r>
            <m:rPr>
              <m:sty m:val="p"/>
            </m:rPr>
            <m:t>(</m:t>
          </m:r>
          <m:sSub>
            <m:e>
              <m:r>
                <m:t>a</m:t>
              </m:r>
            </m:e>
            <m:sub>
              <m:r>
                <m:t>i</m:t>
              </m:r>
            </m:sub>
          </m:sSub>
          <m:r>
            <m:rPr>
              <m:sty m:val="p"/>
            </m:rPr>
            <m:t>)</m:t>
          </m:r>
          <m:r>
            <m:rPr>
              <m:sty m:val="p"/>
            </m:rPr>
            <m:t>,</m:t>
          </m:r>
        </m:oMath>
      </m:oMathPara>
    </w:p>
    <w:p>
      <w:pPr>
        <w:pStyle w:val="FirstParagraph"/>
      </w:pPr>
      <w:r>
        <w:t xml:space="preserve">la expresión anterior puede escribirse como</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Posteriormente, el logaritmo de un producto se separa en la suma de los logaritmos,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rPr>
                      <m:sty m:val="p"/>
                    </m:rPr>
                    <m:t>+</m:t>
                  </m:r>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d>
            </m:e>
          </m:nary>
          <m:r>
            <m:rPr>
              <m:sty m:val="p"/>
            </m:rPr>
            <m:t>.</m:t>
          </m:r>
        </m:oMath>
      </m:oMathPara>
    </w:p>
    <w:p>
      <w:pPr>
        <w:pStyle w:val="FirstParagraph"/>
      </w:pPr>
      <w:r>
        <w:t xml:space="preserve">Ahora se desarrolla cada uno de estos términos por separado.</w:t>
      </w:r>
    </w:p>
    <w:p>
      <w:pPr>
        <w:pStyle w:val="BodyText"/>
      </w:pPr>
      <w:r>
        <w:t xml:space="preserve">Para la componente Poisson,</w:t>
      </w:r>
    </w:p>
    <w:p>
      <w:pPr>
        <w:pStyle w:val="BodyText"/>
      </w:pPr>
      <m:oMathPara>
        <m:oMathParaPr>
          <m:jc m:val="center"/>
        </m:oMathParaPr>
        <m:oMath>
          <m:eqAr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t>&amp;</m:t>
              </m:r>
              <m:r>
                <m:rPr>
                  <m:sty m:val="p"/>
                </m:rPr>
                <m:t>=</m:t>
              </m:r>
              <m:r>
                <m:rPr>
                  <m:sty m:val="p"/>
                </m:rPr>
                <m:t>log</m:t>
              </m:r>
              <m:r>
                <m:rPr>
                  <m:sty m:val="p"/>
                </m:rPr>
                <m:t>(</m:t>
              </m:r>
              <m:sSup>
                <m:e>
                  <m:r>
                    <m:t>e</m:t>
                  </m:r>
                </m:e>
                <m:sup>
                  <m:r>
                    <m:rPr>
                      <m:sty m:val="p"/>
                    </m:rPr>
                    <m:t>−</m:t>
                  </m:r>
                  <m:sSub>
                    <m:e>
                      <m:r>
                        <m:t>δ</m:t>
                      </m:r>
                    </m:e>
                    <m:sub>
                      <m:r>
                        <m:t>i</m:t>
                      </m:r>
                    </m:sub>
                  </m:sSub>
                  <m:sSub>
                    <m:e>
                      <m:r>
                        <m:t>V</m:t>
                      </m:r>
                    </m:e>
                    <m:sub>
                      <m:r>
                        <m:t>i</m:t>
                      </m:r>
                    </m:sub>
                  </m:sSub>
                </m:sup>
              </m:sSup>
              <m:r>
                <m:rPr>
                  <m:sty m:val="p"/>
                </m:rPr>
                <m:t>)</m:t>
              </m:r>
              <m:r>
                <m:rPr>
                  <m:sty m:val="p"/>
                </m:rPr>
                <m:t>+</m:t>
              </m:r>
              <m:r>
                <m:rPr>
                  <m:sty m:val="p"/>
                </m:rPr>
                <m:t>log</m:t>
              </m:r>
              <m:r>
                <m:t>​</m:t>
              </m:r>
              <m:d>
                <m:dPr>
                  <m:begChr m:val="("/>
                  <m:sepChr m:val=""/>
                  <m:endChr m:val=")"/>
                  <m:grow/>
                </m:dPr>
                <m:e>
                  <m:r>
                    <m:rPr>
                      <m:sty m:val="p"/>
                    </m:rPr>
                    <m:t>(</m:t>
                  </m:r>
                  <m:sSub>
                    <m:e>
                      <m:r>
                        <m:t>δ</m:t>
                      </m:r>
                    </m:e>
                    <m:sub>
                      <m:r>
                        <m:t>i</m:t>
                      </m:r>
                    </m:sub>
                  </m:sSub>
                  <m:sSub>
                    <m:e>
                      <m:r>
                        <m:t>V</m:t>
                      </m:r>
                    </m:e>
                    <m:sub>
                      <m:r>
                        <m:t>i</m:t>
                      </m:r>
                    </m:sub>
                  </m:sSub>
                  <m:sSup>
                    <m:e>
                      <m:r>
                        <m:rPr>
                          <m:sty m:val="p"/>
                        </m:rPr>
                        <m:t>)</m:t>
                      </m:r>
                    </m:e>
                    <m:sup>
                      <m:sSub>
                        <m:e>
                          <m:r>
                            <m:t>Y</m:t>
                          </m:r>
                        </m:e>
                        <m:sub>
                          <m:r>
                            <m:t>i</m:t>
                          </m:r>
                        </m:sub>
                      </m:sSub>
                    </m:sup>
                  </m:sSup>
                </m:e>
              </m:d>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m:t>
              </m:r>
              <m:sSub>
                <m:e>
                  <m:r>
                    <m:t>δ</m:t>
                  </m:r>
                </m:e>
                <m:sub>
                  <m:r>
                    <m:t>i</m:t>
                  </m:r>
                </m:sub>
              </m:sSub>
              <m:sSub>
                <m:e>
                  <m:r>
                    <m:t>V</m:t>
                  </m:r>
                </m:e>
                <m:sub>
                  <m:r>
                    <m:t>i</m:t>
                  </m:r>
                </m:sub>
              </m:sSub>
              <m:r>
                <m:rPr>
                  <m:sty m:val="p"/>
                </m:rPr>
                <m:t>+</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r>
                <m:rPr>
                  <m:sty m:val="p"/>
                </m:rPr>
                <m:t>log</m:t>
              </m:r>
              <m:r>
                <m:rPr>
                  <m:sty m:val="p"/>
                </m:rPr>
                <m:t>(</m:t>
              </m:r>
              <m:sSub>
                <m:e>
                  <m:r>
                    <m:t>Y</m:t>
                  </m:r>
                </m:e>
                <m:sub>
                  <m:r>
                    <m:t>i</m:t>
                  </m:r>
                </m:sub>
              </m:sSub>
              <m:r>
                <m:rPr>
                  <m:sty m:val="p"/>
                </m:rPr>
                <m:t>!</m:t>
              </m:r>
              <m:r>
                <m:rPr>
                  <m:sty m:val="p"/>
                </m:rPr>
                <m:t>)</m:t>
              </m:r>
              <m:r>
                <m:rPr>
                  <m:sty m:val="p"/>
                </m:rPr>
                <m:t>.</m:t>
              </m:r>
            </m:e>
          </m:eqArr>
        </m:oMath>
      </m:oMathPara>
    </w:p>
    <w:p>
      <w:pPr>
        <w:pStyle w:val="FirstParagraph"/>
      </w:pPr>
      <w:r>
        <w:t xml:space="preserve">Para la componente log-normal,</w:t>
      </w:r>
    </w:p>
    <w:p>
      <w:pPr>
        <w:pStyle w:val="BodyText"/>
      </w:pPr>
      <m:oMathPara>
        <m:oMathParaPr>
          <m:jc m:val="center"/>
        </m:oMathParaPr>
        <m:oMath>
          <m:eqArr>
            <m:e>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t>&amp;</m:t>
              </m:r>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t>  </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e>
          </m:eqArr>
        </m:oMath>
      </m:oMathPara>
    </w:p>
    <w:p>
      <w:pPr>
        <w:pStyle w:val="FirstParagraph"/>
      </w:pPr>
      <w:r>
        <w:t xml:space="preserve">Sustituyendo ambos desarrollos en la expresión anterior se obtiene</w:t>
      </w:r>
    </w:p>
    <w:p>
      <w:pPr>
        <w:pStyle w:val="BodyText"/>
      </w:pPr>
      <m:oMathPara>
        <m:oMathParaPr>
          <m:jc m:val="center"/>
        </m:oMathParaPr>
        <m:oMath>
          <m:eqArr>
            <m:e>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m:t>
                  </m:r>
                </m:e>
              </m:nary>
              <m:r>
                <m:t>&amp;</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m:t>
              </m:r>
            </m:e>
          </m:eqArr>
        </m:oMath>
      </m:oMathPara>
    </w:p>
    <w:p>
      <w:pPr>
        <w:pStyle w:val="FirstParagraph"/>
      </w:pPr>
      <w:r>
        <w:t xml:space="preserve">Finalmente, dado que los términos</w:t>
      </w:r>
    </w:p>
    <w:p>
      <w:pPr>
        <w:pStyle w:val="BodyText"/>
      </w:pPr>
      <m:oMathPara>
        <m:oMathParaPr>
          <m:jc m:val="center"/>
        </m:oMathParaPr>
        <m:oMath>
          <m:r>
            <m:rPr>
              <m:sty m:val="p"/>
            </m:rPr>
            <m:t>log</m:t>
          </m:r>
          <m:r>
            <m:rPr>
              <m:sty m:val="p"/>
            </m:rPr>
            <m:t>(</m:t>
          </m:r>
          <m:sSub>
            <m:e>
              <m:r>
                <m:t>Y</m:t>
              </m:r>
            </m:e>
            <m:sub>
              <m:r>
                <m:t>i</m:t>
              </m:r>
            </m:sub>
          </m:sSub>
          <m:r>
            <m:rPr>
              <m:sty m:val="p"/>
            </m:rPr>
            <m:t>!</m:t>
          </m:r>
          <m:r>
            <m:rPr>
              <m:sty m:val="p"/>
            </m:rPr>
            <m:t>)</m:t>
          </m:r>
          <m:r>
            <m:t>  </m:t>
          </m:r>
          <m:r>
            <m:rPr>
              <m:nor/>
              <m:sty m:val="p"/>
            </m:rPr>
            <m:t>y</m:t>
          </m:r>
          <m:r>
            <m:t>  </m:t>
          </m:r>
          <m:f>
            <m:fPr>
              <m:type m:val="bar"/>
            </m:fPr>
            <m:num>
              <m:r>
                <m:t>1</m:t>
              </m:r>
            </m:num>
            <m:den>
              <m:r>
                <m:t>2</m:t>
              </m:r>
            </m:den>
          </m:f>
          <m:r>
            <m:rPr>
              <m:sty m:val="p"/>
            </m:rPr>
            <m:t>log</m:t>
          </m:r>
          <m:r>
            <m:rPr>
              <m:sty m:val="p"/>
            </m:rPr>
            <m:t>(</m:t>
          </m:r>
          <m:r>
            <m:t>2</m:t>
          </m:r>
          <m:r>
            <m:t>π</m:t>
          </m:r>
          <m:r>
            <m:rPr>
              <m:sty m:val="p"/>
            </m:rPr>
            <m:t>)</m:t>
          </m:r>
        </m:oMath>
      </m:oMathPara>
    </w:p>
    <w:p>
      <w:pPr>
        <w:pStyle w:val="FirstParagraph"/>
      </w:pPr>
      <w:r>
        <w:t xml:space="preserve">no dependen de ninguno de los parámetros del modelo, pueden agruparse dentro de una constante aditiva. Como la inferencia bayesiana y la optimización dependen únicamente de cantidades proporcionales a la verosimilitud, estas constantes pueden omitirse, obteniéndose la log-verosimilitud</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δ</m:t>
                      </m:r>
                    </m:e>
                    <m:sub>
                      <m:r>
                        <m:t>i</m:t>
                      </m:r>
                    </m:sub>
                  </m:sSub>
                  <m:r>
                    <m:rPr>
                      <m:sty m:val="p"/>
                    </m:rPr>
                    <m:t>)</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rPr>
                      <m:sty m:val="p"/>
                    </m:rPr>
                    <m:t>(</m:t>
                  </m:r>
                  <m:r>
                    <m:t>σ</m:t>
                  </m:r>
                  <m:r>
                    <m:rPr>
                      <m:sty m:val="p"/>
                    </m:rPr>
                    <m:t>)</m:t>
                  </m:r>
                </m:e>
              </m:d>
            </m:e>
          </m:nary>
          <m:r>
            <m:rPr>
              <m:sty m:val="p"/>
            </m:rPr>
            <m:t>.</m:t>
          </m:r>
        </m:oMath>
      </m:oMathPara>
    </w:p>
    <w:p>
      <w:pPr>
        <w:pStyle w:val="FirstParagraph"/>
      </w:pPr>
      <w:r>
        <w:t xml:space="preserve">Cada uno de estos términos posee una interpretación estadística directa. El componente</w:t>
      </w:r>
    </w:p>
    <w:p>
      <w:pPr>
        <w:pStyle w:val="BodyText"/>
      </w:pPr>
      <m:oMathPara>
        <m:oMathParaPr>
          <m:jc m:val="center"/>
        </m:oMathParaPr>
        <m:oMath>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oMath>
      </m:oMathPara>
    </w:p>
    <w:p>
      <w:pPr>
        <w:pStyle w:val="FirstParagraph"/>
      </w:pPr>
      <w:r>
        <w:t xml:space="preserve">proviene de la distribución de Poisson y mide el grado de concordancia entre la intensidad propuesta por el modelo y el conteo efectivamente observado. El término cuadrático</w:t>
      </w:r>
    </w:p>
    <w:p>
      <w:pPr>
        <w:pStyle w:val="BodyText"/>
      </w:pPr>
      <m:oMathPara>
        <m:oMathParaPr>
          <m:jc m:val="center"/>
        </m:oMathParaPr>
        <m:oMath>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oMath>
      </m:oMathPara>
    </w:p>
    <w:p>
      <w:pPr>
        <w:pStyle w:val="FirstParagraph"/>
      </w:pPr>
      <w:r>
        <w:t xml:space="preserve">corresponde a la penalización inducida por la distribución log-normal y favorece densidades compatibles con la información auxiliar incorporada mediante el predictor lineal. Finalmente, el término</w:t>
      </w:r>
    </w:p>
    <w:p>
      <w:pPr>
        <w:pStyle w:val="BodyText"/>
      </w:pPr>
      <m:oMathPara>
        <m:oMathParaPr>
          <m:jc m:val="center"/>
        </m:oMathParaPr>
        <m:oMath>
          <m:r>
            <m:rPr>
              <m:sty m:val="p"/>
            </m:rPr>
            <m:t>−</m:t>
          </m:r>
          <m:r>
            <m:rPr>
              <m:sty m:val="p"/>
            </m:rPr>
            <m:t>log</m:t>
          </m:r>
          <m:sSub>
            <m:e>
              <m:r>
                <m:t>δ</m:t>
              </m:r>
            </m:e>
            <m:sub>
              <m:r>
                <m:t>i</m:t>
              </m:r>
            </m:sub>
          </m:sSub>
        </m:oMath>
      </m:oMathPara>
    </w:p>
    <w:p>
      <w:pPr>
        <w:pStyle w:val="FirstParagraph"/>
      </w:pPr>
      <w:r>
        <w:t xml:space="preserve">es consecuencia del jacobiano asociado al cambio de variable entre la escala logarítmica y la escala original de las densidades, garantizando que la distribución log-normal quede correctamente normalizada.</w:t>
      </w:r>
    </w:p>
    <w:p>
      <w:pPr>
        <w:pStyle w:val="BodyText"/>
      </w:pPr>
      <w:r>
        <w:t xml:space="preserve">Desde una perspectiva bayesiana, esta función constituye el mecanismo mediante el cual la información observada actualiza el conocimiento previo sobre las densidades poblacionales. Los valores de</w:t>
      </w:r>
      <w:r>
        <w:t xml:space="preserve"> </w:t>
      </w:r>
      <m:oMath>
        <m:sSub>
          <m:e>
            <m:r>
              <m:t>δ</m:t>
            </m:r>
          </m:e>
          <m:sub>
            <m:r>
              <m:t>i</m:t>
            </m:r>
          </m:sub>
        </m:sSub>
      </m:oMath>
      <w:r>
        <w:t xml:space="preserve"> </w:t>
      </w:r>
      <w:r>
        <w:t xml:space="preserve">que maximizan la contribución Poisson pueden diferir de aquellos sugeridos por la estructura log-normal; la estimación posterior resulta precisamente del equilibrio entre ambas fuentes de información.</w:t>
      </w:r>
    </w:p>
    <w:p>
      <w:pPr>
        <w:pStyle w:val="BodyText"/>
      </w:pPr>
      <w:r>
        <w:t xml:space="preserve">Una característica fundamental del modelo Poisson-lognormal es que la distribución marginal de los conteos ya no pertenece a la familia Poisson. Dado que la intensidad</w:t>
      </w:r>
      <w:r>
        <w:t xml:space="preserve"> </w:t>
      </w:r>
      <m:oMath>
        <m:sSub>
          <m:e>
            <m:r>
              <m:t>δ</m:t>
            </m:r>
          </m:e>
          <m:sub>
            <m:r>
              <m:t>i</m:t>
            </m:r>
          </m:sub>
        </m:sSub>
      </m:oMath>
      <w:r>
        <w:t xml:space="preserve"> </w:t>
      </w:r>
      <w:r>
        <w:t xml:space="preserve">es una variable aleatoria, la distribución marginal de</w:t>
      </w:r>
      <w:r>
        <w:t xml:space="preserve"> </w:t>
      </w:r>
      <m:oMath>
        <m:sSub>
          <m:e>
            <m:r>
              <m:t>Y</m:t>
            </m:r>
          </m:e>
          <m:sub>
            <m:r>
              <m:t>i</m:t>
            </m:r>
          </m:sub>
        </m:sSub>
      </m:oMath>
      <w:r>
        <w:t xml:space="preserve"> </w:t>
      </w:r>
      <w:r>
        <w:t xml:space="preserve">se obtiene integrando respecto a la distribución de las densidades latentes,</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t> </m:t>
          </m:r>
          <m:r>
            <m:t>d</m:t>
          </m:r>
          <m:sSub>
            <m:e>
              <m:r>
                <m:t>δ</m:t>
              </m:r>
            </m:e>
            <m:sub>
              <m:r>
                <m:t>i</m:t>
              </m:r>
            </m:sub>
          </m:sSub>
          <m:r>
            <m:rPr>
              <m:sty m:val="p"/>
            </m:rPr>
            <m:t>.</m:t>
          </m:r>
        </m:oMath>
      </m:oMathPara>
    </w:p>
    <w:p>
      <w:pPr>
        <w:pStyle w:val="FirstParagraph"/>
      </w:pPr>
      <w:r>
        <w:t xml:space="preserve">Sustituyendo las distribuciones del modelo,</w:t>
      </w:r>
    </w:p>
    <w:p>
      <w:pPr>
        <w:pStyle w:val="BodyText"/>
      </w:pPr>
      <m:oMathPara>
        <m:oMathParaPr>
          <m:jc m:val="center"/>
        </m:oMathParaP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y</w:t>
      </w:r>
    </w:p>
    <w:p>
      <w:pPr>
        <w:pStyle w:val="BodyText"/>
      </w:pPr>
      <m:oMathPara>
        <m:oMathParaPr>
          <m:jc m:val="center"/>
        </m:oMathParaP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r>
            <m:rPr>
              <m:sty m:val="p"/>
            </m:rPr>
            <m:t>,</m:t>
          </m:r>
        </m:oMath>
      </m:oMathPara>
    </w:p>
    <w:p>
      <w:pPr>
        <w:pStyle w:val="FirstParagraph"/>
      </w:pPr>
      <w:r>
        <w:t xml:space="preserve">se obtiene</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t> </m:t>
          </m:r>
          <m:r>
            <m:t>d</m:t>
          </m:r>
          <m:sSub>
            <m:e>
              <m:r>
                <m:t>δ</m:t>
              </m:r>
            </m:e>
            <m:sub>
              <m:r>
                <m:t>i</m:t>
              </m:r>
            </m:sub>
          </m:sSub>
          <m:r>
            <m:rPr>
              <m:sty m:val="p"/>
            </m:rPr>
            <m:t>.</m:t>
          </m:r>
        </m:oMath>
      </m:oMathPara>
    </w:p>
    <w:p>
      <w:pPr>
        <w:pStyle w:val="FirstParagraph"/>
      </w:pPr>
      <w:r>
        <w:t xml:space="preserve">Esta integral no posee una solución analítica cerrada, por lo que la distribución marginal no pertenece a una familia paramétrica simple. Sin embargo, sus primeros momentos —consistentes con los reportados para la mezcla Poisson-lognormal en modelos bayesianos de estimación subnacional</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 pueden obtenerse utilizando las propiedades de la esperanza y la varianza condicionales, sin necesidad de resolver la integral directamente.</w:t>
      </w:r>
    </w:p>
    <w:p>
      <w:pPr>
        <w:pStyle w:val="BodyText"/>
      </w:pPr>
      <w:r>
        <w:t xml:space="preserve">La media marginal se obtiene aplicando la ley de la esperanza total,</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Como</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se tiene</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de modo que</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r>
            <m:rPr>
              <m:sty m:val="p"/>
            </m:rPr>
            <m:t>[</m:t>
          </m:r>
          <m:sSub>
            <m:e>
              <m:r>
                <m:t>δ</m:t>
              </m:r>
            </m:e>
            <m:sub>
              <m:r>
                <m:t>i</m:t>
              </m:r>
            </m:sub>
          </m:sSub>
          <m:sSub>
            <m:e>
              <m:r>
                <m:t>V</m:t>
              </m:r>
            </m:e>
            <m:sub>
              <m:r>
                <m:t>i</m:t>
              </m:r>
            </m:sub>
          </m:sSub>
          <m:r>
            <m:rPr>
              <m:sty m:val="p"/>
            </m:rPr>
            <m:t>]</m:t>
          </m:r>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oMath>
      </m:oMathPara>
    </w:p>
    <w:p>
      <w:pPr>
        <w:pStyle w:val="FirstParagraph"/>
      </w:pPr>
      <w:r>
        <w:t xml:space="preserve">dado que</w:t>
      </w:r>
      <w:r>
        <w:t xml:space="preserve"> </w:t>
      </w:r>
      <m:oMath>
        <m:sSub>
          <m:e>
            <m:r>
              <m:t>V</m:t>
            </m:r>
          </m:e>
          <m:sub>
            <m:r>
              <m:t>i</m:t>
            </m:r>
          </m:sub>
        </m:sSub>
      </m:oMath>
      <w:r>
        <w:t xml:space="preserve"> </w:t>
      </w:r>
      <w:r>
        <w:t xml:space="preserve">es conocido. Y puesto que</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su primer momento es</w:t>
      </w:r>
      <w:r>
        <w:t xml:space="preserve"> </w:t>
      </w:r>
      <m:oMath>
        <m:r>
          <m:rPr>
            <m:scr m:val="double-struck"/>
            <m:sty m:val="p"/>
          </m:rPr>
          <m:t>E</m:t>
        </m:r>
        <m:r>
          <m:rPr>
            <m:sty m:val="p"/>
          </m:rPr>
          <m:t>[</m:t>
        </m:r>
        <m:sSub>
          <m:e>
            <m:r>
              <m:t>δ</m:t>
            </m:r>
          </m:e>
          <m:sub>
            <m:r>
              <m:t>i</m:t>
            </m:r>
          </m:sub>
        </m:sSub>
        <m:r>
          <m:rPr>
            <m:sty m:val="p"/>
          </m:rPr>
          <m:t>]</m:t>
        </m:r>
        <m:r>
          <m:rPr>
            <m:sty m:val="p"/>
          </m:rPr>
          <m:t>=</m:t>
        </m:r>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w:r>
        <w:t xml:space="preserve">, con lo que la media marginal del conteo queda determinada por</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La varianza marginal se deriva de manera análoga, apoyándose esta vez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cuyos dos términos conviene desarrollar por separado. El primero recoge la variabilidad propia del proceso Poisson: dado que su varianza condicional coincide con su media,</w:t>
      </w:r>
      <w:r>
        <w:t xml:space="preserve"> </w:t>
      </w:r>
      <m:oMath>
        <m:r>
          <m:rPr>
            <m:sty m:val="p"/>
          </m:rPr>
          <m:t>Var</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y reutilizando el primer momento de la log-normal calculado arriba,</w:t>
      </w:r>
    </w:p>
    <w:p>
      <w:pPr>
        <w:pStyle w:val="BodyText"/>
      </w:pPr>
      <m:oMathPara>
        <m:oMathParaPr>
          <m:jc m:val="center"/>
        </m:oMathParaPr>
        <m:oMath>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expresión que coincide exactamente con</w:t>
      </w:r>
      <w:r>
        <w:t xml:space="preserve"> </w:t>
      </w:r>
      <m:oMath>
        <m:r>
          <m:rPr>
            <m:scr m:val="double-struck"/>
            <m:sty m:val="p"/>
          </m:rPr>
          <m:t>E</m:t>
        </m:r>
        <m:r>
          <m:rPr>
            <m:sty m:val="p"/>
          </m:rPr>
          <m:t>[</m:t>
        </m:r>
        <m:sSub>
          <m:e>
            <m:r>
              <m:t>Y</m:t>
            </m:r>
          </m:e>
          <m:sub>
            <m:r>
              <m:t>i</m:t>
            </m:r>
          </m:sub>
        </m:sSub>
        <m:r>
          <m:rPr>
            <m:sty m:val="p"/>
          </m:rPr>
          <m:t>]</m:t>
        </m:r>
      </m:oMath>
      <w:r>
        <w:t xml:space="preserve">. El segundo término recoge, en cambio, la variabilidad que aporta la propia densidad latente: como</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w:t>
      </w:r>
      <w:r>
        <w:t xml:space="preserve">y</w:t>
      </w:r>
      <w:r>
        <w:t xml:space="preserve"> </w:t>
      </w:r>
      <m:oMath>
        <m:sSub>
          <m:e>
            <m:r>
              <m:t>V</m:t>
            </m:r>
          </m:e>
          <m:sub>
            <m:r>
              <m:t>i</m:t>
            </m:r>
          </m:sub>
        </m:sSub>
      </m:oMath>
      <w:r>
        <w:t xml:space="preserve"> </w:t>
      </w:r>
      <w:r>
        <w:t xml:space="preserve">es constante,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r>
            <m:rPr>
              <m:sty m:val="p"/>
            </m:rPr>
            <m:t>(</m:t>
          </m:r>
          <m:sSub>
            <m:e>
              <m:r>
                <m:t>δ</m:t>
              </m:r>
            </m:e>
            <m:sub>
              <m:r>
                <m:t>i</m:t>
              </m:r>
            </m:sub>
          </m:sSub>
          <m:sSub>
            <m:e>
              <m:r>
                <m:t>V</m:t>
              </m:r>
            </m:e>
            <m:sub>
              <m:r>
                <m:t>i</m:t>
              </m:r>
            </m:sub>
          </m:sSub>
          <m:r>
            <m:rPr>
              <m:sty m:val="p"/>
            </m:rPr>
            <m:t>)</m:t>
          </m:r>
          <m:r>
            <m:rPr>
              <m:sty m:val="p"/>
            </m:rPr>
            <m:t>=</m:t>
          </m:r>
          <m:sSubSup>
            <m:e>
              <m:r>
                <m:t>V</m:t>
              </m:r>
            </m:e>
            <m:sub>
              <m:r>
                <m:t>i</m:t>
              </m:r>
            </m:sub>
            <m:sup>
              <m:r>
                <m:t>2</m:t>
              </m:r>
            </m:sup>
          </m:sSubSup>
          <m:r>
            <m:t> </m:t>
          </m:r>
          <m:r>
            <m:rPr>
              <m:sty m:val="p"/>
            </m:rPr>
            <m:t>Var</m:t>
          </m:r>
          <m:r>
            <m:rPr>
              <m:sty m:val="p"/>
            </m:rPr>
            <m:t>(</m:t>
          </m:r>
          <m:sSub>
            <m:e>
              <m:r>
                <m:t>δ</m:t>
              </m:r>
            </m:e>
            <m:sub>
              <m:r>
                <m:t>i</m:t>
              </m:r>
            </m:sub>
          </m:sSub>
          <m:r>
            <m:rPr>
              <m:sty m:val="p"/>
            </m:rPr>
            <m:t>)</m:t>
          </m:r>
          <m:r>
            <m:rPr>
              <m:sty m:val="p"/>
            </m:rPr>
            <m:t>,</m:t>
          </m:r>
        </m:oMath>
      </m:oMathPara>
    </w:p>
    <w:p>
      <w:pPr>
        <w:pStyle w:val="FirstParagraph"/>
      </w:pPr>
      <w:r>
        <w:t xml:space="preserve">y dado que la varianza de una log-normal es</w:t>
      </w:r>
      <w:r>
        <w:t xml:space="preserve"> </w:t>
      </w:r>
      <m:oMath>
        <m:r>
          <m:rPr>
            <m:sty m:val="p"/>
          </m:rPr>
          <m:t>Var</m:t>
        </m:r>
        <m:r>
          <m:rPr>
            <m:sty m:val="p"/>
          </m:rPr>
          <m:t>(</m:t>
        </m:r>
        <m:sSub>
          <m:e>
            <m:r>
              <m:t>δ</m:t>
            </m:r>
          </m:e>
          <m:sub>
            <m:r>
              <m:t>i</m:t>
            </m:r>
          </m:sub>
        </m:sSub>
        <m:r>
          <m:rPr>
            <m:sty m:val="p"/>
          </m:rPr>
          <m:t>)</m:t>
        </m:r>
        <m:r>
          <m:rPr>
            <m:sty m:val="p"/>
          </m:rPr>
          <m:t>=</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se sigue que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Sustituyendo ambos términos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La expresión anterior muestra que la varianza marginal está compuesta por dos fuentes de variabilidad. El primer término,</w:t>
      </w:r>
      <w:r>
        <w:t xml:space="preserve"> </w:t>
      </w:r>
      <m:oMath>
        <m:r>
          <m:rPr>
            <m:scr m:val="double-struck"/>
            <m:sty m:val="p"/>
          </m:rPr>
          <m:t>E</m:t>
        </m:r>
        <m:r>
          <m:rPr>
            <m:sty m:val="p"/>
          </m:rPr>
          <m:t>[</m:t>
        </m:r>
        <m:sSub>
          <m:e>
            <m:r>
              <m:t>Y</m:t>
            </m:r>
          </m:e>
          <m:sub>
            <m:r>
              <m:t>i</m:t>
            </m:r>
          </m:sub>
        </m:sSub>
        <m:r>
          <m:rPr>
            <m:sty m:val="p"/>
          </m:rPr>
          <m:t>]</m:t>
        </m:r>
      </m:oMath>
      <w:r>
        <w:t xml:space="preserve">, corresponde a la variabilidad inherente del proceso Poisson. El segundo,</w:t>
      </w:r>
      <w:r>
        <w:t xml:space="preserve"> </w:t>
      </w:r>
      <m:oMath>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representa la variabilidad adicional introducida por la heterogeneidad de las densidades poblacionales entre segmentos. Este componente desaparece únicamente cuando</w:t>
      </w:r>
      <w:r>
        <w:t xml:space="preserve"> </w:t>
      </w:r>
      <m:oMath>
        <m:r>
          <m:t>σ</m:t>
        </m:r>
        <m:r>
          <m:rPr>
            <m:sty m:val="p"/>
          </m:rPr>
          <m:t>=</m:t>
        </m:r>
        <m:r>
          <m:t>0</m:t>
        </m:r>
      </m:oMath>
      <w:r>
        <w:t xml:space="preserve">, caso en el cual la distribución log-normal degenera en una constante y el modelo se reduce exactamente a un modelo Poisson clásico.</w:t>
      </w:r>
    </w:p>
    <w:p>
      <w:pPr>
        <w:pStyle w:val="BodyText"/>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incorpora de manera natural sobredispersión respecto a la distribución Poisson clásica, con el grado de sobredispersión controlado directamente por</w:t>
      </w:r>
      <w:r>
        <w:t xml:space="preserve"> </w:t>
      </w:r>
      <m:oMath>
        <m:r>
          <m:t>σ</m:t>
        </m:r>
      </m:oMath>
      <w:r>
        <w:t xml:space="preserve">: cuando</w:t>
      </w:r>
      <w:r>
        <w:t xml:space="preserve"> </w:t>
      </w:r>
      <m:oMath>
        <m:r>
          <m:t>σ</m:t>
        </m:r>
        <m:r>
          <m:rPr>
            <m:sty m:val="p"/>
          </m:rPr>
          <m:t>→</m:t>
        </m:r>
        <m:r>
          <m:t>0</m:t>
        </m:r>
      </m:oMath>
      <w:r>
        <w:t xml:space="preserve">, la distribución log-normal degenera en un punto y el modelo converge al modelo Poisson estándar; a medida que</w:t>
      </w:r>
      <w:r>
        <w:t xml:space="preserve"> </w:t>
      </w:r>
      <m:oMath>
        <m:r>
          <m:t>σ</m:t>
        </m:r>
      </m:oMath>
      <w:r>
        <w:t xml:space="preserve"> </w:t>
      </w:r>
      <w:r>
        <w:t xml:space="preserve">aumenta, la heterogeneidad entre segmentos se incrementa y la distribución marginal de los conteos presenta colas más pesadas y una varianza considerablemente mayor que la media. Esta propiedad resulta especialmente adecuada para datos censales, donde las diferencias locales en composición demográfica, ocupación de viviendas y patrones de asentamiento producen variabilidad que difícilmente puede ser explicada bajo el supuesto de equidispersión propio del modelo Poisson clásico</w:t>
      </w:r>
      <w:r>
        <w:t xml:space="preserve"> </w:t>
      </w:r>
      <w:r>
        <w:t xml:space="preserve">(</w:t>
      </w:r>
      <w:hyperlink w:anchor="ref-Gelman2013">
        <w:r>
          <w:rPr>
            <w:rStyle w:val="Hyperlink"/>
          </w:rPr>
          <w:t xml:space="preserve">Gelman et al. 2013</w:t>
        </w:r>
      </w:hyperlink>
      <w:r>
        <w:t xml:space="preserve">)</w:t>
      </w:r>
      <w:r>
        <w:t xml:space="preserve">.</w:t>
      </w:r>
    </w:p>
    <w:bookmarkEnd w:id="70"/>
    <w:bookmarkStart w:id="71" w:name="distribuciones-previas"/>
    <w:p>
      <w:pPr>
        <w:pStyle w:val="Heading3"/>
      </w:pPr>
      <w:r>
        <w:rPr>
          <w:rStyle w:val="SectionNumber"/>
        </w:rPr>
        <w:t xml:space="preserve">4.1.3</w:t>
      </w:r>
      <w:r>
        <w:tab/>
      </w:r>
      <w:r>
        <w:t xml:space="preserve">Distribuciones previas</w:t>
      </w:r>
    </w:p>
    <w:p>
      <w:pPr>
        <w:pStyle w:val="FirstParagraph"/>
      </w:pPr>
      <w:r>
        <w:t xml:space="preserve">La especificación bayesiana del modelo requiere asignar distribuciones previas a todos los parámetros desconocidos. En el contexto del modelo Poisson-lognormal, el conjunto de parámetros a los que se asignan distribuciones previas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El enfoque adoptado en este libro utiliza distribuciones previas no informativas: normales centradas en cero con varianza grande —normales planas— para los parámetros definidos sobre toda la recta real (</w:t>
      </w:r>
      <m:oMath>
        <m:r>
          <m:rPr>
            <m:sty m:val="b"/>
          </m:rPr>
          <m:t>β</m:t>
        </m:r>
      </m:oMath>
      <w:r>
        <w:t xml:space="preserve">,</w:t>
      </w:r>
      <w:r>
        <w:t xml:space="preserve"> </w:t>
      </w:r>
      <m:oMath>
        <m:sSub>
          <m:e>
            <m:r>
              <m:t>σ</m:t>
            </m:r>
          </m:e>
          <m:sub>
            <m:r>
              <m:t>U</m:t>
            </m:r>
          </m:sub>
        </m:sSub>
      </m:oMath>
      <w:r>
        <w:t xml:space="preserve">), de modo que sea la información contenida en los datos, y no la previa, la que domine la distribución posterior. Bajo este enfoque, las distribuciones previas no imponen restricciones de signo ni concentran probabilidad sobre valores específicos, evitando introducir información sustantiva ajena a los datos.</w:t>
      </w:r>
    </w:p>
    <w:p>
      <w:pPr>
        <w:pStyle w:val="BodyText"/>
      </w:pPr>
      <w:r>
        <w:t xml:space="preserve">Para los coeficientes de efectos fijos se adopta una distribución normal centrada en cero:</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sSubSup>
            <m:e>
              <m:r>
                <m:t>τ</m:t>
              </m:r>
            </m:e>
            <m:sub>
              <m:r>
                <m:t>β</m:t>
              </m:r>
            </m:sub>
            <m:sup>
              <m:r>
                <m:t>2</m:t>
              </m:r>
            </m:sup>
          </m:sSubSup>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donde</w:t>
      </w:r>
      <w:r>
        <w:t xml:space="preserve"> </w:t>
      </w:r>
      <m:oMath>
        <m:sSubSup>
          <m:e>
            <m:r>
              <m:t>τ</m:t>
            </m:r>
          </m:e>
          <m:sub>
            <m:r>
              <m:t>β</m:t>
            </m:r>
          </m:sub>
          <m:sup>
            <m:r>
              <m:t>2</m:t>
            </m:r>
          </m:sup>
        </m:sSubSup>
      </m:oMath>
      <w:r>
        <w:t xml:space="preserve"> </w:t>
      </w:r>
      <w:r>
        <w:t xml:space="preserve">es un hiperparámetro de escala fijado en un valor grande, de modo que la distribución resulte esencialmente plana en el rango plausible de las covariables —previamente estandarizadas—, sin dejar de ser una distribución propia. La centrada en cero refleja la ausencia de conocimiento previo sobre la dirección del efecto de cada covariable, mientras que</w:t>
      </w:r>
      <w:r>
        <w:t xml:space="preserve"> </w:t>
      </w:r>
      <m:oMath>
        <m:sSubSup>
          <m:e>
            <m:r>
              <m:t>τ</m:t>
            </m:r>
          </m:e>
          <m:sub>
            <m:r>
              <m:t>β</m:t>
            </m:r>
          </m:sub>
          <m:sup>
            <m:r>
              <m:t>2</m:t>
            </m:r>
          </m:sup>
        </m:sSubSup>
      </m:oMath>
      <w:r>
        <w:t xml:space="preserve"> </w:t>
      </w:r>
      <w:r>
        <w:t xml:space="preserve">grande garantiza que dicha información sea mínima.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previa.</w:t>
      </w:r>
    </w:p>
    <w:p>
      <w:pPr>
        <w:pStyle w:val="BodyText"/>
      </w:pPr>
      <w:r>
        <w:t xml:space="preserve">Para el hiperparámetro de variabilidad de los efectos aleatorios se adopta, igualmente, una normal plana truncada a valores positivos:</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sSubSup>
            <m:e>
              <m:r>
                <m:t>τ</m:t>
              </m:r>
            </m:e>
            <m:sub>
              <m:r>
                <m:t>U</m:t>
              </m:r>
            </m:sub>
            <m:sup>
              <m:r>
                <m:t>2</m:t>
              </m:r>
            </m:sup>
          </m:sSubSup>
          <m:r>
            <m:rPr>
              <m:sty m:val="p"/>
            </m:rPr>
            <m:t>)</m:t>
          </m:r>
        </m:oMath>
      </m:oMathPara>
    </w:p>
    <w:p>
      <w:pPr>
        <w:pStyle w:val="FirstParagraph"/>
      </w:pPr>
      <w:r>
        <w:t xml:space="preserve">con</w:t>
      </w:r>
      <w:r>
        <w:t xml:space="preserve"> </w:t>
      </w:r>
      <m:oMath>
        <m:sSubSup>
          <m:e>
            <m:r>
              <m:t>τ</m:t>
            </m:r>
          </m:e>
          <m:sub>
            <m:r>
              <m:t>U</m:t>
            </m:r>
          </m:sub>
          <m:sup>
            <m:r>
              <m:t>2</m:t>
            </m:r>
          </m:sup>
        </m:sSubSup>
      </m:oMath>
      <w:r>
        <w:t xml:space="preserve"> </w:t>
      </w:r>
      <w:r>
        <w:t xml:space="preserve">grande. Esta elección permite que el modelo aprenda la magnitud de la variabilidad territorial a partir de los datos, sin imponer un valor fijo ni una restricción informativa sobre su escala.</w:t>
      </w:r>
    </w:p>
    <w:p>
      <w:pPr>
        <w:pStyle w:val="BodyText"/>
      </w:pPr>
      <w:r>
        <w:t xml:space="preserve">Para el parámetro de escala de la densidad</w:t>
      </w:r>
      <w:r>
        <w:t xml:space="preserve"> </w:t>
      </w:r>
      <m:oMath>
        <m:r>
          <m:t>σ</m:t>
        </m:r>
      </m:oMath>
      <w:r>
        <w:t xml:space="preserve"> </w:t>
      </w:r>
      <w:r>
        <w:t xml:space="preserve">se mantiene, en cambio,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sSub>
            <m:e>
              <m:r>
                <m:t>τ</m:t>
              </m:r>
            </m:e>
            <m:sub>
              <m:r>
                <m:t>σ</m:t>
              </m:r>
            </m:sub>
          </m:sSub>
          <m:r>
            <m:rPr>
              <m:sty m:val="p"/>
            </m:rPr>
            <m:t>)</m:t>
          </m:r>
        </m:oMath>
      </m:oMathPara>
    </w:p>
    <w:p>
      <w:pPr>
        <w:pStyle w:val="FirstParagraph"/>
      </w:pPr>
      <w:r>
        <w:t xml:space="preserve">con</w:t>
      </w:r>
      <w:r>
        <w:t xml:space="preserve"> </w:t>
      </w:r>
      <m:oMath>
        <m:sSub>
          <m:e>
            <m:r>
              <m:t>τ</m:t>
            </m:r>
          </m:e>
          <m:sub>
            <m:r>
              <m:t>σ</m:t>
            </m:r>
          </m:sub>
        </m:sSub>
      </m:oMath>
      <w:r>
        <w:t xml:space="preserve"> </w:t>
      </w:r>
      <w:r>
        <w:t xml:space="preserve">grande. A diferencia de</w:t>
      </w:r>
      <w:r>
        <w:t xml:space="preserve"> </w:t>
      </w:r>
      <m:oMath>
        <m:r>
          <m:rPr>
            <m:sty m:val="b"/>
          </m:rPr>
          <m:t>β</m:t>
        </m:r>
      </m:oMath>
      <w:r>
        <w:t xml:space="preserve"> </w:t>
      </w:r>
      <w:r>
        <w:t xml:space="preserve">y</w:t>
      </w:r>
      <w:r>
        <w:t xml:space="preserve"> </w:t>
      </w:r>
      <m:oMath>
        <m:sSub>
          <m:e>
            <m:r>
              <m:t>σ</m:t>
            </m:r>
          </m:e>
          <m:sub>
            <m:r>
              <m:t>U</m:t>
            </m:r>
          </m:sub>
        </m:sSub>
      </m:oMath>
      <w:r>
        <w:t xml:space="preserve">, para</w:t>
      </w:r>
      <w:r>
        <w:t xml:space="preserve"> </w:t>
      </w:r>
      <m:oMath>
        <m:r>
          <m:t>σ</m:t>
        </m:r>
      </m:oMath>
      <w:r>
        <w:t xml:space="preserve"> </w:t>
      </w:r>
      <w:r>
        <w:t xml:space="preserve">se prefiere la Cauchy positiva sobre la normal plana truncada: sus colas más pesadas evitan concentrar probabilidad en valores pequeños de la escala, lo que la vuelve más robusta como previa no informativa para un parámetro de dispersión, especialmente en contextos con marcada heterogeneidad territorial y cobertura censal diferencial.</w:t>
      </w:r>
    </w:p>
    <w:bookmarkEnd w:id="71"/>
    <w:bookmarkStart w:id="72" w:name="distribucion-posterior"/>
    <w:p>
      <w:pPr>
        <w:pStyle w:val="Heading3"/>
      </w:pPr>
      <w:r>
        <w:rPr>
          <w:rStyle w:val="SectionNumber"/>
        </w:rPr>
        <w:t xml:space="preserve">4.1.4</w:t>
      </w:r>
      <w:r>
        <w:tab/>
      </w:r>
      <w:r>
        <w:t xml:space="preserve">Distribución posterior</w:t>
      </w:r>
    </w:p>
    <w:p>
      <w:pPr>
        <w:pStyle w:val="FirstParagraph"/>
      </w:pPr>
      <w:r>
        <w:t xml:space="preserve">La inferencia bayesiana combina la información aportada por los datos observados con el conocimiento previo especificado para los parámetros del modelo. Formalmente, el teorema de Bayes establece que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f>
            <m:fPr>
              <m:type m:val="bar"/>
            </m:fPr>
            <m:num>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num>
            <m:den>
              <m:r>
                <m:t>p</m:t>
              </m:r>
              <m:r>
                <m:rPr>
                  <m:sty m:val="p"/>
                </m:rPr>
                <m:t>(</m:t>
              </m:r>
              <m:sSub>
                <m:e>
                  <m:r>
                    <m:rPr>
                      <m:sty m:val="b"/>
                    </m:rPr>
                    <m:t>Y</m:t>
                  </m:r>
                </m:e>
                <m:sub>
                  <m:r>
                    <m:t>o</m:t>
                  </m:r>
                  <m:r>
                    <m:t>b</m:t>
                  </m:r>
                  <m:r>
                    <m:t>s</m:t>
                  </m:r>
                </m:sub>
              </m:sSub>
              <m:r>
                <m:rPr>
                  <m:sty m:val="p"/>
                </m:rPr>
                <m:t>)</m:t>
              </m:r>
            </m:den>
          </m:f>
          <m:r>
            <m:rPr>
              <m:sty m:val="p"/>
            </m:rPr>
            <m:t>,</m:t>
          </m:r>
        </m:oMath>
      </m:oMathPara>
    </w:p>
    <w:p>
      <w:pPr>
        <w:pStyle w:val="FirstParagraph"/>
      </w:pPr>
      <w:r>
        <w:t xml:space="preserve">donde</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 </w:t>
      </w:r>
      <w:r>
        <w:t xml:space="preserve">corresponde a la verosimilitud conjunta desarrollada en la sección anterior,</w:t>
      </w:r>
      <w:r>
        <w:t xml:space="preserve"> </w:t>
      </w:r>
      <m:oMath>
        <m:r>
          <m:t>p</m:t>
        </m:r>
        <m:r>
          <m:rPr>
            <m:sty m:val="p"/>
          </m:rPr>
          <m:t>(</m:t>
        </m:r>
        <m:r>
          <m:rPr>
            <m:sty m:val="b"/>
          </m:rPr>
          <m:t>θ</m:t>
        </m:r>
        <m:r>
          <m:rPr>
            <m:sty m:val="p"/>
          </m:rPr>
          <m:t>)</m:t>
        </m:r>
      </m:oMath>
      <w:r>
        <w:t xml:space="preserve"> </w:t>
      </w:r>
      <w:r>
        <w:t xml:space="preserve">representa la distribución previa conjunta de todos los parámetros estructurales, y</w:t>
      </w:r>
      <w:r>
        <w:t xml:space="preserve"> </w:t>
      </w:r>
      <m:oMath>
        <m:r>
          <m:t>p</m:t>
        </m:r>
        <m:r>
          <m:rPr>
            <m:sty m:val="p"/>
          </m:rPr>
          <m:t>(</m:t>
        </m:r>
        <m:sSub>
          <m:e>
            <m:r>
              <m:rPr>
                <m:sty m:val="b"/>
              </m:rPr>
              <m:t>Y</m:t>
            </m:r>
          </m:e>
          <m:sub>
            <m:r>
              <m:t>o</m:t>
            </m:r>
            <m:r>
              <m:t>b</m:t>
            </m:r>
            <m:r>
              <m:t>s</m:t>
            </m:r>
          </m:sub>
        </m:sSub>
        <m:r>
          <m:rPr>
            <m:sty m:val="p"/>
          </m:rPr>
          <m:t>)</m:t>
        </m:r>
      </m:oMath>
      <w:r>
        <w:t xml:space="preserve"> </w:t>
      </w:r>
      <w:r>
        <w:t xml:space="preserve">es la distribución marginal de los datos, conocida como constante de normalización o evidencia bayesiana. La evidencia se obtiene integrando la distribución conjunta sobre la totalidad del espacio de parámetros y densidades latentes,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t> </m:t>
          </m:r>
          <m:r>
            <m:t>d</m:t>
          </m:r>
          <m:r>
            <m:rPr>
              <m:sty m:val="b"/>
            </m:rPr>
            <m:t>δ</m:t>
          </m:r>
          <m:r>
            <m:t> </m:t>
          </m:r>
          <m:r>
            <m:t>d</m:t>
          </m:r>
          <m:r>
            <m:rPr>
              <m:sty m:val="b"/>
            </m:rPr>
            <m:t>θ</m:t>
          </m:r>
          <m:r>
            <m:rPr>
              <m:sty m:val="p"/>
            </m:rPr>
            <m:t>,</m:t>
          </m:r>
        </m:oMath>
      </m:oMathPara>
    </w:p>
    <w:p>
      <w:pPr>
        <w:pStyle w:val="FirstParagraph"/>
      </w:pPr>
      <w:r>
        <w:t xml:space="preserve">donde la integración comprende simultáneamente los coeficientes de regresión, los efectos aleatorios, las desviaciones estándar y las densidades latentes. En modelos jerárquicos como el Poisson-lognormal esta integral no posee solución analítica cerrada. Sin embargo, dado que la evidencia no depende de</w:t>
      </w:r>
      <w:r>
        <w:t xml:space="preserve"> </w:t>
      </w:r>
      <m:oMath>
        <m:r>
          <m:rPr>
            <m:sty m:val="b"/>
          </m:rPr>
          <m:t>θ</m:t>
        </m:r>
      </m:oMath>
      <w:r>
        <w:t xml:space="preserve"> </w:t>
      </w:r>
      <w:r>
        <w:t xml:space="preserve">ni de</w:t>
      </w:r>
      <w:r>
        <w:t xml:space="preserve"> </w:t>
      </w:r>
      <m:oMath>
        <m:r>
          <m:rPr>
            <m:sty m:val="b"/>
          </m:rPr>
          <m:t>δ</m:t>
        </m:r>
      </m:oMath>
      <w:r>
        <w:t xml:space="preserve">, puede tratarse como una constante de proporcionalidad durante la inferencia, de modo que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rPr>
              <m:sty m:val="p"/>
            </m:rPr>
            <m:t>.</m:t>
          </m:r>
        </m:oMath>
      </m:oMathPara>
    </w:p>
    <w:p>
      <w:pPr>
        <w:pStyle w:val="FirstParagraph"/>
      </w:pPr>
      <w:r>
        <w:t xml:space="preserve">Resta expandir la distribución previa conjunta</w:t>
      </w:r>
      <w:r>
        <w:t xml:space="preserve"> </w:t>
      </w:r>
      <m:oMath>
        <m:r>
          <m:t>p</m:t>
        </m:r>
        <m:r>
          <m:rPr>
            <m:sty m:val="p"/>
          </m:rPr>
          <m:t>(</m:t>
        </m:r>
        <m:r>
          <m:rPr>
            <m:sty m:val="b"/>
          </m:rPr>
          <m:t>θ</m:t>
        </m:r>
        <m:r>
          <m:rPr>
            <m:sty m:val="p"/>
          </m:rPr>
          <m:t>)</m:t>
        </m:r>
      </m:oMath>
      <w:r>
        <w:t xml:space="preserve">. Bajo el supuesto de independencia entre los distintos bloques de parámetros en su distribución previa,</w:t>
      </w:r>
    </w:p>
    <w:p>
      <w:pPr>
        <w:pStyle w:val="BodyText"/>
      </w:pPr>
      <m:oMathPara>
        <m:oMathParaPr>
          <m:jc m:val="center"/>
        </m:oMathParaPr>
        <m:oMath>
          <m:r>
            <m:t>p</m:t>
          </m:r>
          <m:r>
            <m:rPr>
              <m:sty m:val="p"/>
            </m:rPr>
            <m:t>(</m:t>
          </m:r>
          <m:r>
            <m:rPr>
              <m:sty m:val="b"/>
            </m:rPr>
            <m:t>θ</m:t>
          </m:r>
          <m:r>
            <m:rPr>
              <m:sty m:val="p"/>
            </m:rPr>
            <m:t>)</m:t>
          </m:r>
          <m:r>
            <m:rPr>
              <m:sty m:val="p"/>
            </m:rPr>
            <m:t>=</m:t>
          </m:r>
          <m:r>
            <m:t>p</m:t>
          </m:r>
          <m:r>
            <m:rPr>
              <m:sty m:val="p"/>
            </m:rPr>
            <m:t>(</m:t>
          </m:r>
          <m:r>
            <m:rPr>
              <m:sty m:val="b"/>
            </m:rPr>
            <m:t>β</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donde la dependencia de</w:t>
      </w:r>
      <w:r>
        <w:t xml:space="preserve"> </w:t>
      </w:r>
      <m:oMath>
        <m:r>
          <m:rPr>
            <m:sty m:val="b"/>
          </m:rPr>
          <m:t>γ</m:t>
        </m:r>
      </m:oMath>
      <w:r>
        <w:t xml:space="preserve"> </w:t>
      </w:r>
      <w:r>
        <w:t xml:space="preserve">respecto a</w:t>
      </w:r>
      <w:r>
        <w:t xml:space="preserve"> </w:t>
      </w:r>
      <m:oMath>
        <m:sSub>
          <m:e>
            <m:r>
              <m:t>σ</m:t>
            </m:r>
          </m:e>
          <m:sub>
            <m:r>
              <m:t>U</m:t>
            </m:r>
          </m:sub>
        </m:sSub>
      </m:oMath>
      <w:r>
        <w:t xml:space="preserve"> </w:t>
      </w:r>
      <w:r>
        <w:t xml:space="preserve">refleja precisamente la estructura jerárquica introducida en la sección de distribuciones previas: los efectos aleatorios no son previamente independientes de su propio hiperparámetro de variabilidad. Sustituyendo esta descomposición en la expresión de proporcionalidad se obtiene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Finalmente, reemplazando la verosimilitud y las distribuciones previas por sus formas funcionales específicas, la distribución posterior puede escribirse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e>
          </m:eqArr>
        </m:oMath>
      </m:oMathPara>
    </w:p>
    <w:p>
      <w:pPr>
        <w:pStyle w:val="FirstParagraph"/>
      </w:pPr>
      <w:r>
        <w:t xml:space="preserve">donde el predictor lineal está dado por</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Sustituyendo esta expresión en la densidad log-normal, la distribución posterior puede escribirse completamente en función de los parámetros del modelo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sSup>
                                <m:e>
                                  <m:d>
                                    <m:dPr>
                                      <m:begChr m:val="("/>
                                      <m:sepChr m:val=""/>
                                      <m:endChr m:val=")"/>
                                      <m:grow/>
                                    </m:dPr>
                                    <m:e>
                                      <m:r>
                                        <m:rPr>
                                          <m:sty m:val="p"/>
                                        </m:rPr>
                                        <m:t>log</m:t>
                                      </m:r>
                                      <m:sSub>
                                        <m:e>
                                          <m:r>
                                            <m:t>δ</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e>
                                  </m:d>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e>
          </m:eqArr>
        </m:oMath>
      </m:oMathPara>
    </w:p>
    <w:p>
      <w:pPr>
        <w:pStyle w:val="FirstParagraph"/>
      </w:pPr>
      <w:r>
        <w:t xml:space="preserve">La expresión anterior constituye la distribución posterior conjunta del modelo, y en ella aparecen simultáneamente: la información aportada por los conteos observados a través de la distribución Poisson; la estructura jerárquica de las densidades latentes a través de la distribución log-normal; y las restricciones introducidas por las distribuciones previas sobre los coeficientes de regresión, los efectos aleatorios y los parámetros de variabilidad.</w:t>
      </w:r>
    </w:p>
    <w:p>
      <w:pPr>
        <w:pStyle w:val="BodyText"/>
      </w:pPr>
      <w:r>
        <w:t xml:space="preserve">A diferencia de los modelos conjugados, esta distribución posterior no pertenece a una familia paramétrica conocida: la combinación entre la verosimilitud Poisson y la estructura log-normal rompe la conjugación y hace imposible obtener expresiones analíticas cerradas para las distribuciones marginales de los parámetros. Por esta razón, la inferencia debe realizarse mediante métodos numéricos de simulación.</w:t>
      </w:r>
    </w:p>
    <w:p>
      <w:pPr>
        <w:pStyle w:val="BodyText"/>
      </w:pPr>
      <w:r>
        <w:t xml:space="preserve">Una vez obtenida la distribución posterior, el objetivo de la inferencia consiste en generar realizaciones de dicha distribución para aproximar las cantidades de interés. Dado que la distribución posterior del modelo Poisson-lognormal no posee una forma analítica cerrada, este proceso debe realizarse mediante algoritmos de simulación Monte Carlo, cuyo esquema conceptual puede resumirse en los siguientes pasos:</w:t>
      </w:r>
    </w:p>
    <w:p>
      <w:pPr>
        <w:pStyle w:val="Compact"/>
        <w:numPr>
          <w:ilvl w:val="0"/>
          <w:numId w:val="1004"/>
        </w:numPr>
      </w:pPr>
      <w:r>
        <w:t xml:space="preserve">Definir las distribuciones previas para</w:t>
      </w:r>
      <w:r>
        <w:t xml:space="preserve"> </w:t>
      </w:r>
      <m:oMath>
        <m:r>
          <m:rPr>
            <m:sty m:val="b"/>
          </m:rPr>
          <m:t>β</m:t>
        </m:r>
      </m:oMath>
      <w:r>
        <w:t xml:space="preserve">,</w:t>
      </w:r>
      <w:r>
        <w:t xml:space="preserve"> </w:t>
      </w:r>
      <m:oMath>
        <m:r>
          <m:rPr>
            <m:sty m:val="b"/>
          </m:rPr>
          <m:t>γ</m:t>
        </m:r>
      </m:oMath>
      <w:r>
        <w:t xml:space="preserve">,</w:t>
      </w:r>
      <w:r>
        <w:t xml:space="preserve"> </w:t>
      </w:r>
      <m:oMath>
        <m:r>
          <m:t>σ</m:t>
        </m:r>
      </m:oMath>
      <w:r>
        <w:t xml:space="preserve"> </w:t>
      </w:r>
      <w:r>
        <w:t xml:space="preserve">y</w:t>
      </w:r>
      <w:r>
        <w:t xml:space="preserve"> </w:t>
      </w:r>
      <m:oMath>
        <m:sSub>
          <m:e>
            <m:r>
              <m:t>σ</m:t>
            </m:r>
          </m:e>
          <m:sub>
            <m:r>
              <m:t>U</m:t>
            </m:r>
          </m:sub>
        </m:sSub>
      </m:oMath>
      <w:r>
        <w:t xml:space="preserve">.</w:t>
      </w:r>
    </w:p>
    <w:p>
      <w:pPr>
        <w:pStyle w:val="Compact"/>
        <w:numPr>
          <w:ilvl w:val="0"/>
          <w:numId w:val="1004"/>
        </w:numPr>
      </w:pPr>
      <w:r>
        <w:t xml:space="preserve">Construir la verosimilitud conjunta</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w:t>
      </w:r>
    </w:p>
    <w:p>
      <w:pPr>
        <w:pStyle w:val="Compact"/>
        <w:numPr>
          <w:ilvl w:val="0"/>
          <w:numId w:val="1004"/>
        </w:numPr>
      </w:pPr>
      <w:r>
        <w:t xml:space="preserve">Aplicar el teorema de Bayes para obtener la distribución posterior no normalizada,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t> </m:t>
        </m:r>
        <m:r>
          <m:t>p</m:t>
        </m:r>
        <m:r>
          <m:rPr>
            <m:sty m:val="p"/>
          </m:rPr>
          <m:t>(</m:t>
        </m:r>
        <m:r>
          <m:rPr>
            <m:sty m:val="b"/>
          </m:rPr>
          <m:t>θ</m:t>
        </m:r>
        <m:r>
          <m:rPr>
            <m:sty m:val="p"/>
          </m:rPr>
          <m:t>)</m:t>
        </m:r>
      </m:oMath>
      <w:r>
        <w:t xml:space="preserve">.</w:t>
      </w:r>
    </w:p>
    <w:p>
      <w:pPr>
        <w:pStyle w:val="Compact"/>
        <w:numPr>
          <w:ilvl w:val="0"/>
          <w:numId w:val="1004"/>
        </w:numPr>
      </w:pPr>
      <w:r>
        <w:t xml:space="preserve">Inicializar los parámetros del modelo y, para cada iteración</w:t>
      </w:r>
      <w:r>
        <w:t xml:space="preserve"> </w:t>
      </w:r>
      <m:oMath>
        <m:r>
          <m:t>t</m:t>
        </m:r>
        <m:r>
          <m:rPr>
            <m:sty m:val="p"/>
          </m:rPr>
          <m:t>=</m:t>
        </m:r>
        <m:r>
          <m:t>1</m:t>
        </m:r>
        <m:r>
          <m:rPr>
            <m:sty m:val="p"/>
          </m:rPr>
          <m:t>,</m:t>
        </m:r>
        <m:r>
          <m:rPr>
            <m:sty m:val="p"/>
          </m:rPr>
          <m:t>…</m:t>
        </m:r>
        <m:r>
          <m:rPr>
            <m:sty m:val="p"/>
          </m:rPr>
          <m:t>,</m:t>
        </m:r>
        <m:r>
          <m:t>T</m:t>
        </m:r>
      </m:oMath>
      <w:r>
        <w:t xml:space="preserve">, generar una muestra conjunta</w:t>
      </w:r>
      <w:r>
        <w:t xml:space="preserve"> </w:t>
      </w: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almacenando las realizaciones obtenidas.</w:t>
      </w:r>
    </w:p>
    <w:p>
      <w:pPr>
        <w:pStyle w:val="Compact"/>
        <w:numPr>
          <w:ilvl w:val="0"/>
          <w:numId w:val="1004"/>
        </w:numPr>
      </w:pPr>
      <w:r>
        <w:t xml:space="preserve">Aproximar las cantidades de interés mediante promedios Monte Carlo.</w:t>
      </w:r>
    </w:p>
    <w:p>
      <w:pPr>
        <w:pStyle w:val="Compact"/>
        <w:numPr>
          <w:ilvl w:val="0"/>
          <w:numId w:val="1004"/>
        </w:numPr>
      </w:pPr>
      <w:r>
        <w:t xml:space="preserve">Generar la distribución predictiva posterior para los segmentos sin observación.</w:t>
      </w:r>
    </w:p>
    <w:p>
      <w:pPr>
        <w:pStyle w:val="Compact"/>
        <w:numPr>
          <w:ilvl w:val="0"/>
          <w:numId w:val="1004"/>
        </w:numPr>
      </w:pPr>
      <w:r>
        <w:t xml:space="preserve">Agregar las predicciones por segmento para obtener estimaciones de niveles geográficos superiores.</w:t>
      </w:r>
    </w:p>
    <w:p>
      <w:pPr>
        <w:pStyle w:val="FirstParagraph"/>
      </w:pPr>
      <w:r>
        <w:t xml:space="preserve">La implementación computacional de este procedimiento, mediante el algoritmo de Monte Carlo Hamiltoniano en Stan, se desarrolla en el capítulo siguiente. A continuación se detallan las expresiones correspondientes a los pasos 4 a 7.</w:t>
      </w:r>
    </w:p>
    <w:p>
      <w:pPr>
        <w:pStyle w:val="BodyText"/>
      </w:pPr>
      <w:r>
        <w:t xml:space="preserve">Las muestras generadas en la iteración</w:t>
      </w:r>
      <w:r>
        <w:t xml:space="preserve"> </w:t>
      </w:r>
      <m:oMath>
        <m:r>
          <m:t>t</m:t>
        </m:r>
      </m:oMath>
      <w:r>
        <w:t xml:space="preserve">,</w:t>
      </w:r>
    </w:p>
    <w:p>
      <w:pPr>
        <w:pStyle w:val="BodyText"/>
      </w:pPr>
      <m:oMathPara>
        <m:oMathParaPr>
          <m:jc m:val="center"/>
        </m:oMathParaP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  </m:t>
          </m:r>
          <m:r>
            <m:t>t</m:t>
          </m:r>
          <m:r>
            <m:rPr>
              <m:sty m:val="p"/>
            </m:rPr>
            <m:t>=</m:t>
          </m:r>
          <m:r>
            <m:t>1</m:t>
          </m:r>
          <m:r>
            <m:rPr>
              <m:sty m:val="p"/>
            </m:rPr>
            <m:t>,</m:t>
          </m:r>
          <m:r>
            <m:rPr>
              <m:sty m:val="p"/>
            </m:rPr>
            <m:t>…</m:t>
          </m:r>
          <m:r>
            <m:rPr>
              <m:sty m:val="p"/>
            </m:rPr>
            <m:t>,</m:t>
          </m:r>
          <m:r>
            <m:t>T</m:t>
          </m:r>
          <m:r>
            <m:rPr>
              <m:sty m:val="p"/>
            </m:rPr>
            <m:t>,</m:t>
          </m:r>
        </m:oMath>
      </m:oMathPara>
    </w:p>
    <w:p>
      <w:pPr>
        <w:pStyle w:val="FirstParagraph"/>
      </w:pPr>
      <w:r>
        <w:t xml:space="preserve">permiten aproximar cualquier funcional de la distribución posterior mediante integración Monte Carlo. En particular, la esperanza posterior de la densidad poblacional para el segmento</w:t>
      </w:r>
      <w:r>
        <w:t xml:space="preserve"> </w:t>
      </w:r>
      <m:oMath>
        <m:r>
          <m:t>i</m:t>
        </m:r>
      </m:oMath>
      <w:r>
        <w:t xml:space="preserve"> </w:t>
      </w:r>
      <w:r>
        <w:t xml:space="preserve">se estima como</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r>
            <m:rPr>
              <m:sty m:val="p"/>
            </m:rPr>
            <m:t>.</m:t>
          </m:r>
        </m:oMath>
      </m:oMathPara>
    </w:p>
    <w:p>
      <w:pPr>
        <w:pStyle w:val="FirstParagraph"/>
      </w:pPr>
      <w:r>
        <w:t xml:space="preserve">Una vez obtenidas las muestras posteriores, para cada segmento no observado</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w:t>
      </w:r>
      <w:r>
        <w:t xml:space="preserve">se generan realizaciones de la distribución predictiva posterior,</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r>
            <m:rPr>
              <m:sty m:val="p"/>
            </m:rPr>
            <m:t>,</m:t>
          </m:r>
        </m:oMath>
      </m:oMathPara>
    </w:p>
    <w:p>
      <w:pPr>
        <w:pStyle w:val="FirstParagraph"/>
      </w:pPr>
      <w:r>
        <w:t xml:space="preserve">donde</w:t>
      </w:r>
    </w:p>
    <w:p>
      <w:pPr>
        <w:pStyle w:val="BodyText"/>
      </w:pPr>
      <m:oMathPara>
        <m:oMathParaPr>
          <m:jc m:val="center"/>
        </m:oMathParaP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r>
            <m:rPr>
              <m:sty m:val="p"/>
            </m:rPr>
            <m:t>.</m:t>
          </m:r>
        </m:oMath>
      </m:oMathPara>
    </w:p>
    <w:p>
      <w:pPr>
        <w:pStyle w:val="FirstParagraph"/>
      </w:pPr>
      <w:r>
        <w:t xml:space="preserve">En la práctica, la densidad simulada</w:t>
      </w:r>
      <w:r>
        <w:t xml:space="preserve"> </w:t>
      </w:r>
      <m:oMath>
        <m:sSubSup>
          <m:e>
            <m:acc>
              <m:accPr>
                <m:chr m:val="̃"/>
              </m:accPr>
              <m:e>
                <m:r>
                  <m:t>δ</m:t>
                </m:r>
              </m:e>
            </m:acc>
          </m:e>
          <m:sub>
            <m:r>
              <m:t>i</m:t>
            </m:r>
          </m:sub>
          <m:sup>
            <m:r>
              <m:rPr>
                <m:sty m:val="p"/>
              </m:rPr>
              <m:t>(</m:t>
            </m:r>
            <m:r>
              <m:t>t</m:t>
            </m:r>
            <m:r>
              <m:rPr>
                <m:sty m:val="p"/>
              </m:rPr>
              <m:t>)</m:t>
            </m:r>
          </m:sup>
        </m:sSubSup>
      </m:oMath>
      <w:r>
        <w:t xml:space="preserve"> </w:t>
      </w:r>
      <w:r>
        <w:t xml:space="preserve">se trunca superiormente antes de generar el conteo predicho, según la restricción descrita en la Sección</w:t>
      </w:r>
      <w:r>
        <w:t xml:space="preserve"> </w:t>
      </w:r>
      <w:r>
        <w:t xml:space="preserve">4.2.4</w:t>
      </w:r>
      <w:r>
        <w:t xml:space="preserve">. Finalmente, las predicciones de los segmentos se agregan para estimar la población de municipios, departamentos o del total nacional, propagando automáticamente la incertidumbre posterior del modelo.</w:t>
      </w:r>
    </w:p>
    <w:bookmarkEnd w:id="72"/>
    <w:bookmarkStart w:id="73" w:name="interpretación-de-parámetros"/>
    <w:p>
      <w:pPr>
        <w:pStyle w:val="Heading3"/>
      </w:pPr>
      <w:r>
        <w:rPr>
          <w:rStyle w:val="SectionNumber"/>
        </w:rPr>
        <w:t xml:space="preserve">4.1.5</w:t>
      </w:r>
      <w:r>
        <w:tab/>
      </w:r>
      <w:r>
        <w:t xml:space="preserve">Interpretación de parámetros</w:t>
      </w:r>
    </w:p>
    <w:p>
      <w:pPr>
        <w:pStyle w:val="FirstParagraph"/>
      </w:pPr>
      <w:r>
        <w:t xml:space="preserve">Cada parámetro del modelo describe un aspecto diferente de la distribución de la población entre los segmentos censales. En conjunto, permiten explicar cómo varía el número esperado de personas por estructura habitacional y cuantificar la incertidumbre asociada a esa variación.</w:t>
      </w:r>
    </w:p>
    <w:p>
      <w:pPr>
        <w:pStyle w:val="BodyText"/>
      </w:pPr>
      <w:r>
        <w:t xml:space="preserve">El predictor lineal, introducido en la Sección</w:t>
      </w:r>
      <w:r>
        <w:t xml:space="preserve"> </w:t>
      </w:r>
      <w:r>
        <w:t xml:space="preserve">4.1.2</w:t>
      </w:r>
      <w:r>
        <w:t xml:space="preserve">,</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representa el nivel esperado de ocupación del segmento</w:t>
      </w:r>
      <w:r>
        <w:t xml:space="preserve"> </w:t>
      </w:r>
      <m:oMath>
        <m:r>
          <m:t>i</m:t>
        </m:r>
      </m:oMath>
      <w:r>
        <w:t xml:space="preserve"> </w:t>
      </w:r>
      <w:r>
        <w:t xml:space="preserve">antes de incorporar la variabilidad propia del modelo. Este predictor resume toda la información auxiliar disponible y constituye el punto de partida para estimar la densidad poblacional del segmento.</w:t>
      </w:r>
    </w:p>
    <w:p>
      <w:pPr>
        <w:pStyle w:val="BodyText"/>
      </w:pPr>
      <w:r>
        <w:t xml:space="preserve">Los coeficientes de efectos fijos,</w:t>
      </w:r>
      <w:r>
        <w:t xml:space="preserve"> </w:t>
      </w:r>
      <m:oMath>
        <m:r>
          <m:rPr>
            <m:sty m:val="b"/>
          </m:rPr>
          <m:t>β</m:t>
        </m:r>
      </m:oMath>
      <w:r>
        <w:t xml:space="preserve"> </w:t>
      </w:r>
      <w:r>
        <w:t xml:space="preserve">—descritos con mayor detalle en la Sección</w:t>
      </w:r>
      <w:r>
        <w:t xml:space="preserve"> </w:t>
      </w:r>
      <w:r>
        <w:t xml:space="preserve">4.2.1</w:t>
      </w:r>
      <w:r>
        <w:t xml:space="preserve">—, cuantifican la contribución de cada variable auxiliar a la densidad poblacional. En particular, el coeficiente</w:t>
      </w:r>
      <w:r>
        <w:t xml:space="preserve"> </w:t>
      </w:r>
      <m:oMath>
        <m:sSub>
          <m:e>
            <m:r>
              <m:t>β</m:t>
            </m:r>
          </m:e>
          <m:sub>
            <m:r>
              <m:t>k</m:t>
            </m:r>
          </m:sub>
        </m:sSub>
      </m:oMath>
      <w:r>
        <w:t xml:space="preserve"> </w:t>
      </w:r>
      <w:r>
        <w:t xml:space="preserve">mide cómo cambia la ocupación esperada de un segmento cuando la covariable correspondiente aumenta una desviación estándar, manteniendo constantes las demás variables del modelo. Debido a que la relación se establece sobre una escala logarítmica, el efecto suele interpretarse mediante su exponencial,</w:t>
      </w:r>
    </w:p>
    <w:p>
      <w:pPr>
        <w:pStyle w:val="BodyText"/>
      </w:pPr>
      <m:oMathPara>
        <m:oMathParaPr>
          <m:jc m:val="center"/>
        </m:oMathParaPr>
        <m:oMath>
          <m:r>
            <m:rPr>
              <m:sty m:val="p"/>
            </m:rPr>
            <m:t>exp</m:t>
          </m:r>
          <m:r>
            <m:rPr>
              <m:sty m:val="p"/>
            </m:rPr>
            <m:t>(</m:t>
          </m:r>
          <m:sSub>
            <m:e>
              <m:r>
                <m:t>β</m:t>
              </m:r>
            </m:e>
            <m:sub>
              <m:r>
                <m:t>k</m:t>
              </m:r>
            </m:sub>
          </m:sSub>
          <m:r>
            <m:rPr>
              <m:sty m:val="p"/>
            </m:rPr>
            <m:t>)</m:t>
          </m:r>
          <m:r>
            <m:rPr>
              <m:sty m:val="p"/>
            </m:rPr>
            <m:t>,</m:t>
          </m:r>
        </m:oMath>
      </m:oMathPara>
    </w:p>
    <w:p>
      <w:pPr>
        <w:pStyle w:val="FirstParagraph"/>
      </w:pPr>
      <w:r>
        <w:t xml:space="preserve">que corresponde al factor por el cual cambia la densidad mediana de personas por estructura habitacional. Por ejemplo, un valor de</w:t>
      </w:r>
      <w:r>
        <w:t xml:space="preserve"> </w:t>
      </w:r>
      <m:oMath>
        <m:r>
          <m:rPr>
            <m:sty m:val="p"/>
          </m:rPr>
          <m:t>exp</m:t>
        </m:r>
        <m:r>
          <m:rPr>
            <m:sty m:val="p"/>
          </m:rPr>
          <m:t>(</m:t>
        </m:r>
        <m:sSub>
          <m:e>
            <m:r>
              <m:t>β</m:t>
            </m:r>
          </m:e>
          <m:sub>
            <m:r>
              <m:t>k</m:t>
            </m:r>
          </m:sub>
        </m:sSub>
        <m:r>
          <m:rPr>
            <m:sty m:val="p"/>
          </m:rPr>
          <m:t>)</m:t>
        </m:r>
        <m:r>
          <m:rPr>
            <m:sty m:val="p"/>
          </m:rPr>
          <m:t>=</m:t>
        </m:r>
        <m:r>
          <m:t>1.10</m:t>
        </m:r>
      </m:oMath>
      <w:r>
        <w:t xml:space="preserve"> </w:t>
      </w:r>
      <w:r>
        <w:t xml:space="preserve">indica que, al aumentar una desviación estándar la covariable</w:t>
      </w:r>
      <w:r>
        <w:t xml:space="preserve"> </w:t>
      </w:r>
      <m:oMath>
        <m:r>
          <m:t>k</m:t>
        </m:r>
      </m:oMath>
      <w:r>
        <w:t xml:space="preserve">, la densidad esperada aumenta aproximadamente un 10 %; por el contrario, un valor de</w:t>
      </w:r>
      <w:r>
        <w:t xml:space="preserve"> </w:t>
      </w:r>
      <m:oMath>
        <m:r>
          <m:t>0.90</m:t>
        </m:r>
      </m:oMath>
      <w:r>
        <w:t xml:space="preserve"> </w:t>
      </w:r>
      <w:r>
        <w:t xml:space="preserve">indica una reducción cercana al 10 %.</w:t>
      </w:r>
    </w:p>
    <w:p>
      <w:pPr>
        <w:pStyle w:val="BodyText"/>
      </w:pPr>
      <w:r>
        <w:t xml:space="preserve">Los efectos aleatorios, representados por</w:t>
      </w:r>
      <w:r>
        <w:t xml:space="preserve"> </w:t>
      </w:r>
      <m:oMath>
        <m:r>
          <m:rPr>
            <m:sty m:val="b"/>
          </m:rPr>
          <m:t>γ</m:t>
        </m:r>
      </m:oMath>
      <w:r>
        <w:t xml:space="preserve"> </w:t>
      </w:r>
      <w:r>
        <w:t xml:space="preserve">—tratados con mayor detalle en la Sección</w:t>
      </w:r>
      <w:r>
        <w:t xml:space="preserve"> </w:t>
      </w:r>
      <w:r>
        <w:t xml:space="preserve">4.2.2</w:t>
      </w:r>
      <w:r>
        <w:t xml:space="preserve">—, capturan diferencias sistemáticas entre unidades territoriales que no pueden ser explicadas por las variables auxiliares. En otras palabras, permiten que territorios con características similares presenten densidades poblacionales distintas debido a factores no observados, como patrones de urbanización, condiciones geográficas o dinámicas demográficas locales. Cada efecto aleatorio actúa como un ajuste específico para la unidad territorial correspondiente y desplaza hacia arriba o hacia abajo la densidad estimada de todos los segmentos pertenecientes a esa unidad.</w:t>
      </w:r>
    </w:p>
    <w:p>
      <w:pPr>
        <w:pStyle w:val="BodyText"/>
      </w:pPr>
      <w:r>
        <w:t xml:space="preserve">El parámetro</w:t>
      </w:r>
      <w:r>
        <w:t xml:space="preserve"> </w:t>
      </w:r>
      <m:oMath>
        <m:r>
          <m:t>σ</m:t>
        </m:r>
      </m:oMath>
      <w:r>
        <w:t xml:space="preserve"> </w:t>
      </w:r>
      <w:r>
        <w:t xml:space="preserve">mide la variabilidad de las densidades poblacionales entre segmentos después de considerar tanto las covariables como los efectos aleatorios. Valores pequeños de</w:t>
      </w:r>
      <w:r>
        <w:t xml:space="preserve"> </w:t>
      </w:r>
      <m:oMath>
        <m:r>
          <m:t>σ</m:t>
        </m:r>
      </m:oMath>
      <w:r>
        <w:t xml:space="preserve"> </w:t>
      </w:r>
      <w:r>
        <w:t xml:space="preserve">indican que segmentos con características similares presentan densidades relativamente homogéneas, mientras que valores grandes reflejan una mayor heterogeneidad residual y, por tanto, una mayor incertidumbre en las predicciones individuales.</w:t>
      </w:r>
    </w:p>
    <w:p>
      <w:pPr>
        <w:pStyle w:val="BodyText"/>
      </w:pPr>
      <w:r>
        <w:t xml:space="preserve">Por su parte, el hiperparámetro</w:t>
      </w:r>
      <w:r>
        <w:t xml:space="preserve"> </w:t>
      </w:r>
      <m:oMath>
        <m:sSub>
          <m:e>
            <m:r>
              <m:t>σ</m:t>
            </m:r>
          </m:e>
          <m:sub>
            <m:r>
              <m:t>U</m:t>
            </m:r>
          </m:sub>
        </m:sSub>
      </m:oMath>
      <w:r>
        <w:t xml:space="preserve"> </w:t>
      </w:r>
      <w:r>
        <w:t xml:space="preserve">describe el grado de variabilidad existente entre las unidades territoriales consideradas en el modelo. Si</w:t>
      </w:r>
      <w:r>
        <w:t xml:space="preserve"> </w:t>
      </w:r>
      <m:oMath>
        <m:sSub>
          <m:e>
            <m:r>
              <m:t>σ</m:t>
            </m:r>
          </m:e>
          <m:sub>
            <m:r>
              <m:t>U</m:t>
            </m:r>
          </m:sub>
        </m:sSub>
      </m:oMath>
      <w:r>
        <w:t xml:space="preserve"> </w:t>
      </w:r>
      <w:r>
        <w:t xml:space="preserve">es cercano a cero, los territorios presentan comportamientos muy similares una vez controladas las covariables. En cambio, valores elevados indican que existen diferencias importantes entre territorios que no son explicadas únicamente por la información auxiliar disponible. Las distribuciones previas de</w:t>
      </w:r>
      <w:r>
        <w:t xml:space="preserve"> </w:t>
      </w:r>
      <m:oMath>
        <m:r>
          <m:t>σ</m:t>
        </m:r>
      </m:oMath>
      <w:r>
        <w:t xml:space="preserve"> </w:t>
      </w:r>
      <w:r>
        <w:t xml:space="preserve">y</w:t>
      </w:r>
      <w:r>
        <w:t xml:space="preserve"> </w:t>
      </w:r>
      <m:oMath>
        <m:sSub>
          <m:e>
            <m:r>
              <m:t>σ</m:t>
            </m:r>
          </m:e>
          <m:sub>
            <m:r>
              <m:t>U</m:t>
            </m:r>
          </m:sub>
        </m:sSub>
      </m:oMath>
      <w:r>
        <w:t xml:space="preserve"> </w:t>
      </w:r>
      <w:r>
        <w:t xml:space="preserve">se describen en la Sección</w:t>
      </w:r>
      <w:r>
        <w:t xml:space="preserve"> </w:t>
      </w:r>
      <w:r>
        <w:t xml:space="preserve">4.1.3</w:t>
      </w:r>
      <w:r>
        <w:t xml:space="preserve">.</w:t>
      </w:r>
    </w:p>
    <w:p>
      <w:pPr>
        <w:pStyle w:val="BodyText"/>
      </w:pPr>
      <w:r>
        <w:t xml:space="preserve">Finalmente, el parámetro de mayor interés es la densidad poblacional latente,</w:t>
      </w:r>
      <w:r>
        <w:t xml:space="preserve"> </w:t>
      </w:r>
      <m:oMath>
        <m:sSub>
          <m:e>
            <m:r>
              <m:t>δ</m:t>
            </m:r>
          </m:e>
          <m:sub>
            <m:r>
              <m:t>i</m:t>
            </m:r>
          </m:sub>
        </m:sSub>
      </m:oMath>
      <w:r>
        <w:t xml:space="preserve"> </w:t>
      </w:r>
      <w:r>
        <w:t xml:space="preserve">—definida en la Sección</w:t>
      </w:r>
      <w:r>
        <w:t xml:space="preserve"> </w:t>
      </w:r>
      <w:r>
        <w:t xml:space="preserve">4.1.1</w:t>
      </w:r>
      <w:r>
        <w:t xml:space="preserve">—, la cual representa el número esperado de personas por estructura habitacional en el segmento censal</w:t>
      </w:r>
      <w:r>
        <w:t xml:space="preserve"> </w:t>
      </w:r>
      <m:oMath>
        <m:r>
          <m:t>i</m:t>
        </m:r>
      </m:oMath>
      <w:r>
        <w:t xml:space="preserve">. Esta cantidad resume la intensidad de ocupación del segmento y constituye la base para predecir la población cuando únicamente se conoce el número de estructuras habitacionales. Su distribución posterior, caracterizada en la Sección</w:t>
      </w:r>
      <w:r>
        <w:t xml:space="preserve"> </w:t>
      </w:r>
      <w:r>
        <w:t xml:space="preserve">4.1.4</w:t>
      </w:r>
      <w:r>
        <w:t xml:space="preserve">, no solo proporciona una estimación puntual, sino también un intervalo de valores plausibles que refleja la incertidumbre inherente al proceso de estimación.</w:t>
      </w:r>
    </w:p>
    <w:p>
      <w:pPr>
        <w:pStyle w:val="BodyText"/>
      </w:pPr>
      <w:r>
        <w:t xml:space="preserve">En conjunto, los parámetros del modelo cumplen funciones complementarias: los efectos fijos explican cómo las características observables influyen sobre la ocupación de los segmentos; los efectos aleatorios representan diferencias territoriales no observadas; los parámetros de dispersión cuantifican la variabilidad residual entre segmentos y territorios; y la densidad latente</w:t>
      </w:r>
      <w:r>
        <w:t xml:space="preserve"> </w:t>
      </w:r>
      <m:oMath>
        <m:sSub>
          <m:e>
            <m:r>
              <m:t>δ</m:t>
            </m:r>
          </m:e>
          <m:sub>
            <m:r>
              <m:t>i</m:t>
            </m:r>
          </m:sub>
        </m:sSub>
      </m:oMath>
      <w:r>
        <w:t xml:space="preserve"> </w:t>
      </w:r>
      <w:r>
        <w:t xml:space="preserve">integra toda esta información para producir las estimaciones finales de población.</w:t>
      </w:r>
    </w:p>
    <w:bookmarkEnd w:id="73"/>
    <w:bookmarkEnd w:id="74"/>
    <w:bookmarkStart w:id="79" w:name="componentes-del-modelo"/>
    <w:p>
      <w:pPr>
        <w:pStyle w:val="Heading2"/>
      </w:pPr>
      <w:r>
        <w:rPr>
          <w:rStyle w:val="SectionNumber"/>
        </w:rPr>
        <w:t xml:space="preserve">4.2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 dado en la Sección</w:t>
      </w:r>
      <w:r>
        <w:t xml:space="preserve"> </w:t>
      </w:r>
      <w:r>
        <w:t xml:space="preserve">4.1.2</w:t>
      </w:r>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75" w:name="efectos-fijos"/>
    <w:p>
      <w:pPr>
        <w:pStyle w:val="Heading3"/>
      </w:pPr>
      <w:r>
        <w:rPr>
          <w:rStyle w:val="SectionNumber"/>
        </w:rPr>
        <w:t xml:space="preserve">4.2.1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o normalización al intervalo unitario para proporciones e índices con interpretación intrínseca en</w:t>
      </w:r>
      <w:r>
        <w:t xml:space="preserve"> </w:t>
      </w:r>
      <m:oMath>
        <m:r>
          <m:rPr>
            <m:sty m:val="p"/>
          </m:rPr>
          <m:t>[</m:t>
        </m:r>
        <m:r>
          <m:t>0</m:t>
        </m:r>
        <m:r>
          <m:rPr>
            <m:sty m:val="p"/>
          </m:rPr>
          <m:t>,</m:t>
        </m:r>
        <m:r>
          <m:t>1</m:t>
        </m:r>
        <m:r>
          <m:rPr>
            <m:sty m:val="p"/>
          </m:rPr>
          <m:t>]</m:t>
        </m:r>
      </m:oMath>
      <w:r>
        <w:t xml:space="preserve">.</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dos categorías descritas en el capítulo de integración de fuentes. Las variables socioeconómicas incluyen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principalmente mediante el análisis de correlación y la selección de variables descritos en el Capítulo</w:t>
      </w:r>
      <w:r>
        <w:t xml:space="preserve"> </w:t>
      </w:r>
      <w:r>
        <w:t xml:space="preserve">3</w:t>
      </w:r>
      <w:r>
        <w:t xml:space="preserve">, realizados antes de la estimación. Cabe señalar que las distribuciones previas</w:t>
      </w:r>
      <w:r>
        <w:t xml:space="preserve"> </w:t>
      </w:r>
      <m:oMath>
        <m:sSub>
          <m:e>
            <m:r>
              <m:t>β</m:t>
            </m:r>
          </m:e>
          <m:sub>
            <m:r>
              <m:t>k</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w:t>
      </w:r>
      <w:r>
        <w:t xml:space="preserve">no cumplen aquí un papel regularizador relevante: al fijarse</w:t>
      </w:r>
      <w:r>
        <w:t xml:space="preserve"> </w:t>
      </w:r>
      <m:oMath>
        <m:sSubSup>
          <m:e>
            <m:r>
              <m:t>τ</m:t>
            </m:r>
          </m:e>
          <m:sub>
            <m:r>
              <m:t>β</m:t>
            </m:r>
          </m:sub>
          <m:sup>
            <m:r>
              <m:t>2</m:t>
            </m:r>
          </m:sup>
        </m:sSubSup>
      </m:oMath>
      <w:r>
        <w:t xml:space="preserve"> </w:t>
      </w:r>
      <w:r>
        <w:t xml:space="preserve">en un valor grande —precisamente para que la previa sea no informativa—, la estabilización frente a predictores correlacionados debe resolverse mediante el tratamiento de las covariables previo al modelamiento, y no delegarse en la previa.</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75"/>
    <w:bookmarkStart w:id="76" w:name="efectos-aleatorios"/>
    <w:p>
      <w:pPr>
        <w:pStyle w:val="Heading3"/>
      </w:pPr>
      <w:r>
        <w:rPr>
          <w:rStyle w:val="SectionNumber"/>
        </w:rPr>
        <w:t xml:space="preserve">4.2.2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previa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r>
        <w:t xml:space="preserve"> </w:t>
      </w:r>
      <w:r>
        <w:t xml:space="preserve">(</w:t>
      </w:r>
      <w:hyperlink w:anchor="ref-Rao2015">
        <w:r>
          <w:rPr>
            <w:rStyle w:val="Hyperlink"/>
          </w:rPr>
          <w:t xml:space="preserve">Rao y Molina 2015</w:t>
        </w:r>
      </w:hyperlink>
      <w:r>
        <w:t xml:space="preserve">;</w:t>
      </w:r>
      <w:r>
        <w:t xml:space="preserve"> </w:t>
      </w:r>
      <w:hyperlink w:anchor="ref-Banerjee2015">
        <w:r>
          <w:rPr>
            <w:rStyle w:val="Hyperlink"/>
          </w:rPr>
          <w:t xml:space="preserve">Banerjee et al. 2015</w:t>
        </w:r>
      </w:hyperlink>
      <w:r>
        <w:t xml:space="preserve">)</w:t>
      </w:r>
      <w:r>
        <w:t xml:space="preserve">.</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76"/>
    <w:bookmarkStart w:id="77" w:name="interacciones"/>
    <w:p>
      <w:pPr>
        <w:pStyle w:val="Heading3"/>
      </w:pPr>
      <w:r>
        <w:rPr>
          <w:rStyle w:val="SectionNumber"/>
        </w:rPr>
        <w:t xml:space="preserve">4.2.3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previa</w:t>
      </w:r>
      <w:r>
        <w:t xml:space="preserve"> </w:t>
      </w:r>
      <m:oMath>
        <m:sSub>
          <m:e>
            <m:r>
              <m:t>β</m:t>
            </m:r>
          </m:e>
          <m:sub>
            <m:r>
              <m:t>k</m:t>
            </m:r>
            <m:r>
              <m:t>l</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socioeconómicas y espaciales, como la relación entre el acceso a servicios públicos y la distancia a centros urbanos,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cuyas bases se desarrollan en el capítulo dedicado al diagnóstico y validación.</w:t>
      </w:r>
    </w:p>
    <w:bookmarkEnd w:id="77"/>
    <w:bookmarkStart w:id="78" w:name="sobredispersion-offset"/>
    <w:p>
      <w:pPr>
        <w:pStyle w:val="Heading3"/>
      </w:pPr>
      <w:r>
        <w:rPr>
          <w:rStyle w:val="SectionNumber"/>
        </w:rPr>
        <w:t xml:space="preserve">4.2.4</w:t>
      </w:r>
      <w:r>
        <w:tab/>
      </w:r>
      <w:r>
        <w:t xml:space="preserve">Sobredispersión y offset</w:t>
      </w:r>
    </w:p>
    <w:p>
      <w:pPr>
        <w:pStyle w:val="FirstParagraph"/>
      </w:pPr>
      <w:r>
        <w:t xml:space="preserve">El diseño del modelo Poisson-lognormal incorpora dos elementos adicionales que merecen consideración específica: el uso del número de estructuras como offset del proceso de conteo, y el mecanismo de control de sobredispersión a través de la distribución log-normal.</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A partir de la definición</w:t>
      </w:r>
      <w:r>
        <w:t xml:space="preserve"> </w:t>
      </w:r>
      <m:oMath>
        <m:sSub>
          <m:e>
            <m:r>
              <m:t>λ</m:t>
            </m:r>
          </m:e>
          <m:sub>
            <m:r>
              <m:t>i</m:t>
            </m:r>
          </m:sub>
        </m:sSub>
        <m:r>
          <m:rPr>
            <m:sty m:val="p"/>
          </m:rPr>
          <m:t>=</m:t>
        </m:r>
        <m:sSub>
          <m:e>
            <m:r>
              <m:t>δ</m:t>
            </m:r>
          </m:e>
          <m:sub>
            <m:r>
              <m:t>i</m:t>
            </m:r>
          </m:sub>
        </m:sSub>
        <m:sSub>
          <m:e>
            <m:r>
              <m:t>V</m:t>
            </m:r>
          </m:e>
          <m:sub>
            <m:r>
              <m:t>i</m:t>
            </m:r>
          </m:sub>
        </m:sSub>
      </m:oMath>
      <w:r>
        <w:t xml:space="preserve">, la intensidad puede escribirse en escala logarítmica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Dado que</w:t>
      </w:r>
      <w:r>
        <w:t xml:space="preserve"> </w:t>
      </w:r>
      <m:oMath>
        <m:r>
          <m:rPr>
            <m:sty m:val="p"/>
          </m:rPr>
          <m:t>log</m:t>
        </m:r>
        <m:r>
          <m:rPr>
            <m:sty m:val="p"/>
          </m:rPr>
          <m:t>(</m:t>
        </m:r>
        <m:sSub>
          <m:e>
            <m:r>
              <m:t>δ</m:t>
            </m:r>
          </m:e>
          <m:sub>
            <m:r>
              <m:t>i</m:t>
            </m:r>
          </m:sub>
        </m:sSub>
        <m:r>
          <m:rPr>
            <m:sty m:val="p"/>
          </m:rPr>
          <m:t>)</m:t>
        </m:r>
        <m:r>
          <m:rPr>
            <m:sty m:val="p"/>
          </m:rPr>
          <m:t>=</m:t>
        </m:r>
        <m:sSub>
          <m:e>
            <m:r>
              <m:t>μ</m:t>
            </m:r>
          </m:e>
          <m:sub>
            <m:r>
              <m:t>i</m:t>
            </m:r>
          </m:sub>
        </m:sSub>
        <m:r>
          <m:rPr>
            <m:sty m:val="p"/>
          </m:rPr>
          <m:t>+</m:t>
        </m:r>
        <m:sSub>
          <m:e>
            <m:r>
              <m:t>ε</m:t>
            </m:r>
          </m:e>
          <m:sub>
            <m:r>
              <m:t>i</m:t>
            </m:r>
          </m:sub>
        </m:sSub>
      </m:oMath>
      <w:r>
        <w:t xml:space="preserve">, 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(Sección</w:t>
      </w:r>
      <w:r>
        <w:t xml:space="preserve"> </w:t>
      </w:r>
      <w:r>
        <w:t xml:space="preserve">4.1.2</w:t>
      </w:r>
      <w:r>
        <w:t xml:space="preserve">), se obtiene</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Esta parametrización posee además una interpretación demográfica directa: dos segmentos con igual densidad poblacional pero distinto número de estructuras tendrán conteos esperados diferentes únicamente por esa diferencia en el número de estructuras. El modelo explica, en consecuencia, la ocupación promedio por estructura habitacional, y utiliza</w:t>
      </w:r>
      <w:r>
        <w:t xml:space="preserve"> </w:t>
      </w:r>
      <m:oMath>
        <m:sSub>
          <m:e>
            <m:r>
              <m:t>V</m:t>
            </m:r>
          </m:e>
          <m:sub>
            <m:r>
              <m:t>i</m:t>
            </m:r>
          </m:sub>
        </m:sSub>
      </m:oMath>
      <w:r>
        <w:t xml:space="preserve"> </w:t>
      </w:r>
      <w:r>
        <w:t xml:space="preserve">para escalar dicha ocupación hasta el nivel del conteo total del segmento.</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la media y la varianza del conteo coinciden,</w:t>
      </w:r>
      <w:r>
        <w:t xml:space="preserve"> </w:t>
      </w: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oMath>
      <w:r>
        <w:t xml:space="preserve"> </w:t>
      </w:r>
      <w:r>
        <w:t xml:space="preserve">—un supuesto que los conteos poblacionales observados en segmentos censales suelen incumplir, dada la variabilidad adicional que introducen las diferencias locales en ocupación de viviendas, procesos de urbanización y composición demográfica—.</w:t>
      </w:r>
    </w:p>
    <w:p>
      <w:pPr>
        <w:pStyle w:val="BodyText"/>
      </w:pPr>
      <w:r>
        <w:t xml:space="preserve">La introducción de</w:t>
      </w:r>
      <w:r>
        <w:t xml:space="preserve"> </w:t>
      </w:r>
      <m:oMath>
        <m:sSub>
          <m:e>
            <m:r>
              <m:t>δ</m:t>
            </m:r>
          </m:e>
          <m:sub>
            <m:r>
              <m:t>i</m:t>
            </m:r>
          </m:sub>
        </m:sSub>
      </m:oMath>
      <w:r>
        <w:t xml:space="preserve"> </w:t>
      </w:r>
      <w:r>
        <w:t xml:space="preserve">log-normal rompe esta restricción de equidispersión: como se mostró en la Sección</w:t>
      </w:r>
      <w:r>
        <w:t xml:space="preserve"> </w:t>
      </w:r>
      <w:r>
        <w:t xml:space="preserve">4.1.2</w:t>
      </w:r>
      <w:r>
        <w:t xml:space="preserve">, la varianza marginal del conteo es</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donde el segundo término representa la variabilidad adicional inducida por la mezcla Poisson-lognormal, estrictamente positiva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esta sobredispersión: cuando</w:t>
      </w:r>
      <w:r>
        <w:t xml:space="preserve"> </w:t>
      </w:r>
      <m:oMath>
        <m:r>
          <m:t>σ</m:t>
        </m:r>
        <m:r>
          <m:rPr>
            <m:sty m:val="p"/>
          </m:rPr>
          <m:t>→</m:t>
        </m:r>
        <m:r>
          <m:t>0</m:t>
        </m:r>
      </m:oMath>
      <w:r>
        <w:t xml:space="preserve">, la distribución log-normal degenera en un valor fijo y el modelo se reduce al Poisson clásico; a medida que</w:t>
      </w:r>
      <w:r>
        <w:t xml:space="preserve"> </w:t>
      </w:r>
      <m:oMath>
        <m:r>
          <m:t>σ</m:t>
        </m:r>
      </m:oMath>
      <w:r>
        <w:t xml:space="preserve"> </w:t>
      </w:r>
      <w:r>
        <w:t xml:space="preserve">aumenta, también aumenta la heterogeneidad entre segmentos y, con ella, la varianza marginal de los conteos. Esta propiedad permite que el modelo se adapte automáticamente al nivel de variabilidad presente en los datos, sin requerir la especificación previa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—generada según el procedimiento descrito en la Sección</w:t>
      </w:r>
      <w:r>
        <w:t xml:space="preserve"> </w:t>
      </w:r>
      <w:r>
        <w:t xml:space="preserve">4.1.4</w:t>
      </w:r>
      <w:r>
        <w:t xml:space="preserve">—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t xml:space="preserve">La pertinencia de este mecanismo de sobredispersión debe fundamentarse en el diagnóstico exploratorio de los datos —en particular, en la relación empírica entre la media y la varianza de los conteos por segmento, descrita en el Capítulo</w:t>
      </w:r>
      <w:r>
        <w:t xml:space="preserve"> </w:t>
      </w:r>
      <w:r>
        <w:t xml:space="preserve">3</w:t>
      </w:r>
      <w:r>
        <w:t xml:space="preserve">— y confirmarse posteriormente mediante criterios de comparación de modelos.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w:t>
      </w:r>
      <w:r>
        <w:t xml:space="preserve"> </w:t>
      </w:r>
      <w:r>
        <w:t xml:space="preserve">(</w:t>
      </w:r>
      <w:hyperlink w:anchor="ref-BryantZhang2018">
        <w:r>
          <w:rPr>
            <w:rStyle w:val="Hyperlink"/>
          </w:rPr>
          <w:t xml:space="preserve">Bryant y Zhang 2018</w:t>
        </w:r>
      </w:hyperlink>
      <w:r>
        <w:t xml:space="preserve">)</w:t>
      </w:r>
      <w:r>
        <w:t xml:space="preserve">, y ha mostrado buen desempeño en las aplicaciones desarrolladas sobre censos de América Latina y el Caribe que sirven de referencia para este libro.</w:t>
      </w:r>
    </w:p>
    <w:bookmarkEnd w:id="78"/>
    <w:bookmarkEnd w:id="79"/>
    <w:bookmarkEnd w:id="80"/>
    <w:bookmarkStart w:id="137" w:name="X0e612329fcb19535e92f05d604c4226fe0a6bc8"/>
    <w:p>
      <w:pPr>
        <w:pStyle w:val="Heading1"/>
      </w:pPr>
      <w:r>
        <w:rPr>
          <w:rStyle w:val="SectionNumber"/>
        </w:rPr>
        <w:t xml:space="preserve">5</w:t>
      </w:r>
      <w:r>
        <w:tab/>
      </w:r>
      <w:r>
        <w:t xml:space="preserve">Inferencia Bayesiana e Implementación Computacional</w:t>
      </w:r>
    </w:p>
    <w:p>
      <w:pPr>
        <w:pStyle w:val="FirstParagraph"/>
      </w:pPr>
      <w:r>
        <w:t xml:space="preserve">El capítulo anterior estableció la especificación probabilística completa del modelo Poisson-lognormal: la distribución log-normal para la densidad latente de personas por estructura, la distribución de Poisson para los conteos observados, el predictor lineal con efectos fijos y aleatorios, y las distribuciones previas no informativas para todos los parámetros</w:t>
      </w:r>
      <w:r>
        <w:t xml:space="preserve"> </w:t>
      </w:r>
      <w:r>
        <w:t xml:space="preserve">(</w:t>
      </w:r>
      <w:hyperlink w:anchor="ref-Gelman2013">
        <w:r>
          <w:rPr>
            <w:rStyle w:val="Hyperlink"/>
          </w:rPr>
          <w:t xml:space="preserve">Gelman et al. 2013</w:t>
        </w:r>
      </w:hyperlink>
      <w:r>
        <w:t xml:space="preserve">)</w:t>
      </w:r>
      <w:r>
        <w:t xml:space="preserve">. Esa especificación, derivada a partir del teorema de Bayes en la Sección</w:t>
      </w:r>
      <w:r>
        <w:t xml:space="preserve"> </w:t>
      </w:r>
      <w:r>
        <w:t xml:space="preserve">4.1.4</w:t>
      </w:r>
      <w:r>
        <w:t xml:space="preserve">, define la distribución posterior</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pero no la hace analíticamente tratable: la combinación entre Poisson y log-normal no tiene forma cerrada en ninguno de los parámetros, y la dimensión del espacio parametral —que incluye</w:t>
      </w:r>
      <w:r>
        <w:t xml:space="preserve"> </w:t>
      </w:r>
      <m:oMath>
        <m:sSub>
          <m:e>
            <m:r>
              <m:t>D</m:t>
            </m:r>
          </m:e>
          <m:sub>
            <m:r>
              <m:t>o</m:t>
            </m:r>
            <m:r>
              <m:t>b</m:t>
            </m:r>
            <m:r>
              <m:t>s</m:t>
            </m:r>
          </m:sub>
        </m:sSub>
      </m:oMath>
      <w:r>
        <w:t xml:space="preserve"> </w:t>
      </w:r>
      <w:r>
        <w:t xml:space="preserve">densidades latentes más los</w:t>
      </w:r>
      <w:r>
        <w:t xml:space="preserve"> </w:t>
      </w:r>
      <m:oMath>
        <m:r>
          <m:t>P</m:t>
        </m:r>
        <m:r>
          <m:rPr>
            <m:sty m:val="p"/>
          </m:rPr>
          <m:t>+</m:t>
        </m:r>
        <m:r>
          <m:t>Q</m:t>
        </m:r>
        <m:r>
          <m:rPr>
            <m:sty m:val="p"/>
          </m:rPr>
          <m:t>+</m:t>
        </m:r>
        <m:r>
          <m:t>2</m:t>
        </m:r>
      </m:oMath>
      <w:r>
        <w:t xml:space="preserve"> </w:t>
      </w:r>
      <w:r>
        <w:t xml:space="preserve">parámetros estructurales— puede superar varios miles de dimensiones en aplicaciones censales reales.</w:t>
      </w:r>
    </w:p>
    <w:p>
      <w:pPr>
        <w:pStyle w:val="BodyText"/>
      </w:pPr>
      <w:r>
        <w:t xml:space="preserve">El presente capítulo cierra esa brecha entre la especificación y la inferencia. La herramienta central es la simulación Monte Carlo por cadenas de Markov (MCMC), y dentro de ella el algoritmo de Monte Carlo Hamiltoniano (HMC) con el muestreador adaptativo NUTS</w:t>
      </w:r>
      <w:r>
        <w:t xml:space="preserve"> </w:t>
      </w:r>
      <w:r>
        <w:t xml:space="preserve">(</w:t>
      </w:r>
      <w:hyperlink w:anchor="ref-Hoffman2014">
        <w:r>
          <w:rPr>
            <w:rStyle w:val="Hyperlink"/>
          </w:rPr>
          <w:t xml:space="preserve">Hoffman y Gelman 2014</w:t>
        </w:r>
      </w:hyperlink>
      <w:r>
        <w:t xml:space="preserve">)</w:t>
      </w:r>
      <w:r>
        <w:t xml:space="preserve">, cuya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permite obtener muestras de alta calidad de distribuciones posteriores complejas de manera eficiente. El capítulo se organiza en dos secciones: la primera describe los fundamentos del método de simulación y su implementación en Stan, ilustrada con las aplicaciones desarrolladas en cinco países del Caribe y América Latina en el marco de proyectos de asistencia técnica de CEPAL; la segunda describe el procedimiento para derivar estimaciones, intervalos de credibilidad y agregaciones territoriales.</w:t>
      </w:r>
    </w:p>
    <w:bookmarkStart w:id="86" w:name="métodos-de-simulación"/>
    <w:p>
      <w:pPr>
        <w:pStyle w:val="Heading2"/>
      </w:pPr>
      <w:r>
        <w:rPr>
          <w:rStyle w:val="SectionNumber"/>
        </w:rPr>
        <w:t xml:space="preserve">5.1</w:t>
      </w:r>
      <w:r>
        <w:tab/>
      </w:r>
      <w:r>
        <w:t xml:space="preserve">Métodos de simulación</w:t>
      </w:r>
    </w:p>
    <w:bookmarkStart w:id="81" w:name="cadenas-de-markov-monte-carlo"/>
    <w:p>
      <w:pPr>
        <w:pStyle w:val="Heading3"/>
      </w:pPr>
      <w:r>
        <w:rPr>
          <w:rStyle w:val="SectionNumber"/>
        </w:rPr>
        <w:t xml:space="preserve">5.1.1</w:t>
      </w:r>
      <w:r>
        <w:tab/>
      </w:r>
      <w:r>
        <w:t xml:space="preserve">Cadenas de Markov Monte Carlo</w:t>
      </w:r>
    </w:p>
    <w:p>
      <w:pPr>
        <w:pStyle w:val="FirstParagraph"/>
      </w:pPr>
      <w:r>
        <w:t xml:space="preserve">El principio fundamental de la inferencia MCMC es aproximar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mediante una colección de muestras</w:t>
      </w:r>
      <w:r>
        <w:t xml:space="preserve"> </w:t>
      </w:r>
      <m:oMath>
        <m:sSup>
          <m:e>
            <m:r>
              <m:rPr>
                <m:sty m:val="b"/>
              </m:rPr>
              <m:t>θ</m:t>
            </m:r>
          </m:e>
          <m:sup>
            <m:r>
              <m:rPr>
                <m:sty m:val="p"/>
              </m:rPr>
              <m:t>(</m:t>
            </m:r>
            <m:r>
              <m:t>1</m:t>
            </m:r>
            <m:r>
              <m:rPr>
                <m:sty m:val="p"/>
              </m:rPr>
              <m:t>)</m:t>
            </m:r>
          </m:sup>
        </m:sSup>
        <m:r>
          <m:rPr>
            <m:sty m:val="p"/>
          </m:rPr>
          <m:t>,</m:t>
        </m:r>
        <m:sSup>
          <m:e>
            <m:r>
              <m:rPr>
                <m:sty m:val="b"/>
              </m:rPr>
              <m:t>θ</m:t>
            </m:r>
          </m:e>
          <m:sup>
            <m:r>
              <m:rPr>
                <m:sty m:val="p"/>
              </m:rPr>
              <m:t>(</m:t>
            </m:r>
            <m:r>
              <m:t>2</m:t>
            </m:r>
            <m:r>
              <m:rPr>
                <m:sty m:val="p"/>
              </m:rPr>
              <m:t>)</m:t>
            </m:r>
          </m:sup>
        </m:sSup>
        <m:r>
          <m:rPr>
            <m:sty m:val="p"/>
          </m:rPr>
          <m:t>,</m:t>
        </m:r>
        <m:r>
          <m:rPr>
            <m:sty m:val="p"/>
          </m:rPr>
          <m:t>…</m:t>
        </m:r>
        <m:r>
          <m:rPr>
            <m:sty m:val="p"/>
          </m:rPr>
          <m:t>,</m:t>
        </m:r>
        <m:sSup>
          <m:e>
            <m:r>
              <m:rPr>
                <m:sty m:val="b"/>
              </m:rPr>
              <m:t>θ</m:t>
            </m:r>
          </m:e>
          <m:sup>
            <m:r>
              <m:rPr>
                <m:sty m:val="p"/>
              </m:rPr>
              <m:t>(</m:t>
            </m:r>
            <m:r>
              <m:t>T</m:t>
            </m:r>
            <m:r>
              <m:rPr>
                <m:sty m:val="p"/>
              </m:rPr>
              <m:t>)</m:t>
            </m:r>
          </m:sup>
        </m:sSup>
      </m:oMath>
      <w:r>
        <w:t xml:space="preserve"> </w:t>
      </w:r>
      <w:r>
        <w:t xml:space="preserve">generadas por una cadena de Markov ergódica cuya distribución estacionaria es precisamente la distribución posterior</w:t>
      </w:r>
      <w:r>
        <w:t xml:space="preserve"> </w:t>
      </w:r>
      <w:r>
        <w:t xml:space="preserve">(</w:t>
      </w:r>
      <w:hyperlink w:anchor="ref-Tierney1994">
        <w:r>
          <w:rPr>
            <w:rStyle w:val="Hyperlink"/>
          </w:rPr>
          <w:t xml:space="preserve">Tierney 1994</w:t>
        </w:r>
      </w:hyperlink>
      <w:r>
        <w:t xml:space="preserve">)</w:t>
      </w:r>
      <w:r>
        <w:t xml:space="preserve">. Una vez que la cadena ha convergido a su distribución estacionaria, las muestras pueden tratarse como realizaciones aproximadas de la distribución posterior y utilizarse para calcular cualquier cantidad de interés mediante promedios de Monte Carlo.</w:t>
      </w:r>
    </w:p>
    <w:p>
      <w:pPr>
        <w:pStyle w:val="BodyText"/>
      </w:pPr>
      <w:r>
        <w:t xml:space="preserve">Formalmente, para cualquier función</w:t>
      </w:r>
      <w:r>
        <w:t xml:space="preserve"> </w:t>
      </w:r>
      <m:oMath>
        <m:r>
          <m:t>g</m:t>
        </m:r>
        <m:r>
          <m:rPr>
            <m:sty m:val="p"/>
          </m:rPr>
          <m:t>(</m:t>
        </m:r>
        <m:r>
          <m:rPr>
            <m:sty m:val="b"/>
          </m:rPr>
          <m:t>θ</m:t>
        </m:r>
        <m:r>
          <m:rPr>
            <m:sty m:val="p"/>
          </m:rPr>
          <m:t>)</m:t>
        </m:r>
      </m:oMath>
      <w:r>
        <w:t xml:space="preserve"> </w:t>
      </w:r>
      <w:r>
        <w:t xml:space="preserve">cuadrado-integrable respecto a la distribución posterior, el estimador de Monte Carlo</w:t>
      </w:r>
    </w:p>
    <w:p>
      <w:pPr>
        <w:pStyle w:val="BodyText"/>
      </w:pPr>
      <m:oMathPara>
        <m:oMathParaPr>
          <m:jc m:val="center"/>
        </m:oMathParaPr>
        <m:oMath>
          <m:sSub>
            <m:e>
              <m:acc>
                <m:accPr>
                  <m:chr m:val="̂"/>
                </m:accPr>
                <m:e>
                  <m:r>
                    <m:t>g</m:t>
                  </m:r>
                </m:e>
              </m:acc>
            </m:e>
            <m:sub>
              <m:r>
                <m:t>T</m:t>
              </m:r>
            </m:sub>
          </m:sSub>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t>g</m:t>
              </m:r>
            </m:e>
          </m:nary>
          <m:r>
            <m:t>​</m:t>
          </m:r>
          <m:d>
            <m:dPr>
              <m:begChr m:val="("/>
              <m:sepChr m:val=""/>
              <m:endChr m:val=")"/>
              <m:grow/>
            </m:dPr>
            <m:e>
              <m:sSup>
                <m:e>
                  <m:r>
                    <m:rPr>
                      <m:sty m:val="b"/>
                    </m:rPr>
                    <m:t>θ</m:t>
                  </m:r>
                </m:e>
                <m:sup>
                  <m:r>
                    <m:rPr>
                      <m:sty m:val="p"/>
                    </m:rPr>
                    <m:t>(</m:t>
                  </m:r>
                  <m:r>
                    <m:t>t</m:t>
                  </m:r>
                  <m:r>
                    <m:rPr>
                      <m:sty m:val="p"/>
                    </m:rPr>
                    <m:t>)</m:t>
                  </m:r>
                </m:sup>
              </m:sSup>
            </m:e>
          </m:d>
        </m:oMath>
      </m:oMathPara>
    </w:p>
    <w:p>
      <w:pPr>
        <w:pStyle w:val="FirstParagraph"/>
      </w:pPr>
      <w:r>
        <w:t xml:space="preserve">converge casi seguramente a</w:t>
      </w:r>
      <w:r>
        <w:t xml:space="preserve"> </w:t>
      </w:r>
      <m:oMath>
        <m:r>
          <m:rPr>
            <m:scr m:val="double-struck"/>
            <m:sty m:val="p"/>
          </m:rPr>
          <m:t>E</m:t>
        </m:r>
        <m:r>
          <m:rPr>
            <m:sty m:val="p"/>
          </m:rPr>
          <m:t>[</m:t>
        </m:r>
        <m:r>
          <m:t>g</m:t>
        </m:r>
        <m:r>
          <m:rPr>
            <m:sty m:val="p"/>
          </m:rPr>
          <m:t>(</m:t>
        </m:r>
        <m:r>
          <m:rPr>
            <m:sty m:val="b"/>
          </m:rPr>
          <m:t>θ</m:t>
        </m:r>
        <m:r>
          <m:rPr>
            <m:sty m:val="p"/>
          </m:rPr>
          <m:t>)</m:t>
        </m:r>
        <m:r>
          <m:rPr>
            <m:sty m:val="p"/>
          </m:rPr>
          <m:t>∣</m:t>
        </m:r>
        <m:r>
          <m:rPr>
            <m:sty m:val="b"/>
          </m:rPr>
          <m:t>Y</m:t>
        </m:r>
        <m:r>
          <m:rPr>
            <m:sty m:val="p"/>
          </m:rPr>
          <m:t>]</m:t>
        </m:r>
      </m:oMath>
      <w:r>
        <w:t xml:space="preserve"> </w:t>
      </w:r>
      <w:r>
        <w:t xml:space="preserve">cuando</w:t>
      </w:r>
      <w:r>
        <w:t xml:space="preserve"> </w:t>
      </w:r>
      <m:oMath>
        <m:r>
          <m:t>T</m:t>
        </m:r>
        <m:r>
          <m:rPr>
            <m:sty m:val="p"/>
          </m:rPr>
          <m:t>→</m:t>
        </m:r>
        <m:r>
          <m:rPr>
            <m:sty m:val="p"/>
          </m:rPr>
          <m:t>∞</m:t>
        </m:r>
      </m:oMath>
      <w:r>
        <w:t xml:space="preserve">, por la ley fuerte de los grandes números para cadenas de Markov ergódicas. La tasa de convergencia depende de la correlación entre muestras consecutivas: cadenas con alta autocorrelación requieren mayor número de iteraciones para alcanzar la misma precisión que cadenas con baja autocorrelación.</w:t>
      </w:r>
    </w:p>
    <w:p>
      <w:pPr>
        <w:pStyle w:val="BodyText"/>
      </w:pPr>
      <w:r>
        <w:t xml:space="preserve">Los métodos de Metropolis-Hastings y sus variantes, que dominaron la práctica bayesiana computacional desde la década de 1990, generan cadenas cuya eficiencia decrece rápidamente con la dimensión del espacio paramétrico. En modelos de alta dimensión como el Poisson-lognormal aplicado a miles de segmentos censales, la exploración aleatoria del espacio parametral produce cadenas altamente correlacionadas que requieren un número prohibitivo de iteraciones para converger. El algoritmo HMC resuelve este problema de manera fundamental al incorporar información de gradiente para guiar la exploración del espacio paramétrico</w:t>
      </w:r>
      <w:r>
        <w:t xml:space="preserve"> </w:t>
      </w:r>
      <w:r>
        <w:t xml:space="preserve">(</w:t>
      </w:r>
      <w:hyperlink w:anchor="ref-Neal2011">
        <w:r>
          <w:rPr>
            <w:rStyle w:val="Hyperlink"/>
          </w:rPr>
          <w:t xml:space="preserve">Neal 2011</w:t>
        </w:r>
      </w:hyperlink>
      <w:r>
        <w:t xml:space="preserve">)</w:t>
      </w:r>
      <w:r>
        <w:t xml:space="preserve">.</w:t>
      </w:r>
    </w:p>
    <w:bookmarkEnd w:id="81"/>
    <w:bookmarkStart w:id="82" w:name="Xf787d3a81149868ceb22f52322ef91571d130e4"/>
    <w:p>
      <w:pPr>
        <w:pStyle w:val="Heading3"/>
      </w:pPr>
      <w:r>
        <w:rPr>
          <w:rStyle w:val="SectionNumber"/>
        </w:rPr>
        <w:t xml:space="preserve">5.1.2</w:t>
      </w:r>
      <w:r>
        <w:tab/>
      </w:r>
      <w:r>
        <w:t xml:space="preserve">Monte Carlo Hamiltoniano y el algoritmo NUTS</w:t>
      </w:r>
    </w:p>
    <w:p>
      <w:pPr>
        <w:pStyle w:val="FirstParagraph"/>
      </w:pPr>
      <w:r>
        <w:t xml:space="preserve">El Monte Carlo Hamiltoniano fue introducido originalmente en el contexto de la física de partículas bajo el nombre de</w:t>
      </w:r>
      <w:r>
        <w:t xml:space="preserve"> </w:t>
      </w:r>
      <w:r>
        <w:rPr>
          <w:i/>
          <w:iCs/>
        </w:rPr>
        <w:t xml:space="preserve">Hybrid Monte Carlo</w:t>
      </w:r>
      <w:r>
        <w:t xml:space="preserve"> </w:t>
      </w:r>
      <w:r>
        <w:t xml:space="preserve">(</w:t>
      </w:r>
      <w:hyperlink w:anchor="ref-Duane1987">
        <w:r>
          <w:rPr>
            <w:rStyle w:val="Hyperlink"/>
          </w:rPr>
          <w:t xml:space="preserve">Duane et al. 1987</w:t>
        </w:r>
      </w:hyperlink>
      <w:r>
        <w:t xml:space="preserve">)</w:t>
      </w:r>
      <w:r>
        <w:t xml:space="preserve"> </w:t>
      </w:r>
      <w:r>
        <w:t xml:space="preserve">y adaptado a la estadística bayesiana por</w:t>
      </w:r>
      <w:r>
        <w:t xml:space="preserve"> </w:t>
      </w:r>
      <w:r>
        <w:t xml:space="preserve">Neal (</w:t>
      </w:r>
      <w:hyperlink w:anchor="ref-Neal2011">
        <w:r>
          <w:rPr>
            <w:rStyle w:val="Hyperlink"/>
          </w:rPr>
          <w:t xml:space="preserve">2011</w:t>
        </w:r>
      </w:hyperlink>
      <w:r>
        <w:t xml:space="preserve">)</w:t>
      </w:r>
      <w:r>
        <w:t xml:space="preserve">. La idea central es transformar el problema de muestreo de la distribución posterior en un problema de simulación de dinámica hamiltoniana. El espacio parametral se interpreta como un espacio de posición, y se introduce un vector de momento</w:t>
      </w:r>
      <w:r>
        <w:t xml:space="preserve"> </w:t>
      </w:r>
      <m:oMath>
        <m:r>
          <m:rPr>
            <m:sty m:val="b"/>
          </m:rPr>
          <m:t>p</m:t>
        </m:r>
      </m:oMath>
      <w:r>
        <w:t xml:space="preserve"> </w:t>
      </w:r>
      <w:r>
        <w:t xml:space="preserve">del mismo tamaño que</w:t>
      </w:r>
      <w:r>
        <w:t xml:space="preserve"> </w:t>
      </w:r>
      <m:oMath>
        <m:r>
          <m:rPr>
            <m:sty m:val="b"/>
          </m:rPr>
          <m:t>θ</m:t>
        </m:r>
      </m:oMath>
      <w:r>
        <w:t xml:space="preserve">. La energía del sistema se define como la función hamiltoniana:</w:t>
      </w:r>
    </w:p>
    <w:p>
      <w:pPr>
        <w:pStyle w:val="BodyText"/>
      </w:pPr>
      <m:oMathPara>
        <m:oMathParaPr>
          <m:jc m:val="center"/>
        </m:oMathParaPr>
        <m:oMath>
          <m:r>
            <m:t>H</m:t>
          </m:r>
          <m:r>
            <m:rPr>
              <m:sty m:val="p"/>
            </m:rPr>
            <m:t>(</m:t>
          </m:r>
          <m:r>
            <m:rPr>
              <m:sty m:val="b"/>
            </m:rPr>
            <m:t>θ</m:t>
          </m:r>
          <m:r>
            <m:rPr>
              <m:sty m:val="p"/>
            </m:rPr>
            <m:t>,</m:t>
          </m:r>
          <m:r>
            <m:rPr>
              <m:sty m:val="b"/>
            </m:rPr>
            <m:t>p</m:t>
          </m:r>
          <m:r>
            <m:rPr>
              <m:sty m:val="p"/>
            </m:rPr>
            <m:t>)</m:t>
          </m:r>
          <m:r>
            <m:rPr>
              <m:sty m:val="p"/>
            </m:rPr>
            <m:t>=</m:t>
          </m:r>
          <m:r>
            <m:rPr>
              <m:sty m:val="p"/>
            </m:rPr>
            <m:t>−</m:t>
          </m:r>
          <m:r>
            <m:rPr>
              <m:sty m:val="p"/>
            </m:rPr>
            <m:t>log</m:t>
          </m:r>
          <m:r>
            <m:t>p</m:t>
          </m:r>
          <m:r>
            <m:rPr>
              <m:sty m:val="p"/>
            </m:rPr>
            <m:t>(</m:t>
          </m:r>
          <m:r>
            <m:rPr>
              <m:sty m:val="b"/>
            </m:rPr>
            <m:t>θ</m:t>
          </m:r>
          <m:r>
            <m:rPr>
              <m:sty m:val="p"/>
            </m:rPr>
            <m:t>∣</m:t>
          </m:r>
          <m:r>
            <m:rPr>
              <m:sty m:val="b"/>
            </m:rPr>
            <m:t>Y</m:t>
          </m:r>
          <m:r>
            <m:rPr>
              <m:sty m:val="p"/>
            </m:rPr>
            <m:t>)</m:t>
          </m:r>
          <m:r>
            <m:rPr>
              <m:sty m:val="p"/>
            </m:rPr>
            <m:t>+</m:t>
          </m:r>
          <m:f>
            <m:fPr>
              <m:type m:val="bar"/>
            </m:fPr>
            <m:num>
              <m:r>
                <m:t>1</m:t>
              </m:r>
            </m:num>
            <m:den>
              <m:r>
                <m:t>2</m:t>
              </m:r>
            </m:den>
          </m:f>
          <m:sSup>
            <m:e>
              <m:r>
                <m:rPr>
                  <m:sty m:val="b"/>
                </m:rPr>
                <m:t>p</m:t>
              </m:r>
            </m:e>
            <m:sup>
              <m:r>
                <m:rPr>
                  <m:sty m:val="p"/>
                </m:rPr>
                <m:t>⊤</m:t>
              </m:r>
            </m:sup>
          </m:sSup>
          <m:sSup>
            <m:e>
              <m:r>
                <m:t>M</m:t>
              </m:r>
            </m:e>
            <m:sup>
              <m:r>
                <m:rPr>
                  <m:sty m:val="p"/>
                </m:rPr>
                <m:t>−</m:t>
              </m:r>
              <m:r>
                <m:t>1</m:t>
              </m:r>
            </m:sup>
          </m:sSup>
          <m:r>
            <m:rPr>
              <m:sty m:val="b"/>
            </m:rPr>
            <m:t>p</m:t>
          </m:r>
        </m:oMath>
      </m:oMathPara>
    </w:p>
    <w:p>
      <w:pPr>
        <w:pStyle w:val="FirstParagraph"/>
      </w:pPr>
      <w:r>
        <w:t xml:space="preserve">donde</w:t>
      </w:r>
      <w:r>
        <w:t xml:space="preserve"> </w:t>
      </w:r>
      <m:oMath>
        <m:r>
          <m:t>M</m:t>
        </m:r>
      </m:oMath>
      <w:r>
        <w:t xml:space="preserve"> </w:t>
      </w:r>
      <w:r>
        <w:t xml:space="preserve">es una matriz de masa que actúa como precondicionador. La dinámica hamiltoniana conserva</w:t>
      </w:r>
      <w:r>
        <w:t xml:space="preserve"> </w:t>
      </w:r>
      <m:oMath>
        <m:r>
          <m:t>H</m:t>
        </m:r>
      </m:oMath>
      <w:r>
        <w:t xml:space="preserve"> </w:t>
      </w:r>
      <w:r>
        <w:t xml:space="preserve">y genera trayectorias que exploran regiones de alta densidad posterior de manera mucho más eficiente que los saltos aleatorios, ya que el gradiente de</w:t>
      </w:r>
      <w:r>
        <w:t xml:space="preserve"> </w:t>
      </w:r>
      <m:oMath>
        <m:r>
          <m:rPr>
            <m:sty m:val="p"/>
          </m:rPr>
          <m:t>log</m:t>
        </m:r>
        <m:r>
          <m:t>p</m:t>
        </m:r>
        <m:r>
          <m:rPr>
            <m:sty m:val="p"/>
          </m:rPr>
          <m:t>(</m:t>
        </m:r>
        <m:r>
          <m:rPr>
            <m:sty m:val="b"/>
          </m:rPr>
          <m:t>θ</m:t>
        </m:r>
        <m:r>
          <m:rPr>
            <m:sty m:val="p"/>
          </m:rPr>
          <m:t>∣</m:t>
        </m:r>
        <m:r>
          <m:rPr>
            <m:sty m:val="b"/>
          </m:rPr>
          <m:t>Y</m:t>
        </m:r>
        <m:r>
          <m:rPr>
            <m:sty m:val="p"/>
          </m:rPr>
          <m:t>)</m:t>
        </m:r>
      </m:oMath>
      <w:r>
        <w:t xml:space="preserve"> </w:t>
      </w:r>
      <w:r>
        <w:t xml:space="preserve">guía al sistema hacia regiones de mayor probabilidad.</w:t>
      </w:r>
    </w:p>
    <w:p>
      <w:pPr>
        <w:pStyle w:val="BodyText"/>
      </w:pPr>
      <w:r>
        <w:t xml:space="preserve">En la práctica, la dinámica hamiltoniana se simula discretizando el tiempo con el integrador leapfrog, que alterna actualizaciones de la posición y el momento mediante pasos de tamaño</w:t>
      </w:r>
      <w:r>
        <w:t xml:space="preserve"> </w:t>
      </w:r>
      <m:oMath>
        <m:r>
          <m:t>ε</m:t>
        </m:r>
      </m:oMath>
      <w:r>
        <w:t xml:space="preserve">:</w:t>
      </w:r>
    </w:p>
    <w:p>
      <w:pPr>
        <w:pStyle w:val="BodyText"/>
      </w:pPr>
      <m:oMathPara>
        <m:oMathParaPr>
          <m:jc m:val="center"/>
        </m:oMathParaPr>
        <m:oMath>
          <m:sSup>
            <m:e>
              <m:r>
                <m:rPr>
                  <m:sty m:val="b"/>
                </m:rPr>
                <m:t>p</m:t>
              </m:r>
            </m:e>
            <m:sup>
              <m:r>
                <m:rPr>
                  <m:sty m:val="p"/>
                </m:rPr>
                <m:t>(</m:t>
              </m:r>
              <m:r>
                <m:t>t</m:t>
              </m:r>
              <m:r>
                <m:rPr>
                  <m:sty m:val="p"/>
                </m:rPr>
                <m:t>+</m:t>
              </m:r>
              <m:r>
                <m:t>ε</m:t>
              </m:r>
              <m:r>
                <m:rPr>
                  <m:sty m:val="p"/>
                </m:rPr>
                <m:t>/</m:t>
              </m:r>
              <m:r>
                <m:t>2</m:t>
              </m:r>
              <m:r>
                <m:rPr>
                  <m:sty m:val="p"/>
                </m:rPr>
                <m:t>)</m:t>
              </m:r>
            </m:sup>
          </m:sSup>
          <m:r>
            <m:rPr>
              <m:sty m:val="p"/>
            </m:rPr>
            <m:t>=</m:t>
          </m:r>
          <m:sSup>
            <m:e>
              <m:r>
                <m:rPr>
                  <m:sty m:val="b"/>
                </m:rPr>
                <m:t>p</m:t>
              </m:r>
            </m:e>
            <m:sup>
              <m:r>
                <m:rPr>
                  <m:sty m:val="p"/>
                </m:rPr>
                <m:t>(</m:t>
              </m:r>
              <m:r>
                <m:t>t</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sup>
          </m:sSup>
          <m:r>
            <m:rPr>
              <m:sty m:val="p"/>
            </m:rPr>
            <m:t>∣</m:t>
          </m:r>
          <m:r>
            <m:rPr>
              <m:sty m:val="b"/>
            </m:rPr>
            <m:t>Y</m:t>
          </m:r>
          <m:r>
            <m:rPr>
              <m:sty m:val="p"/>
            </m:rPr>
            <m:t>)</m:t>
          </m:r>
        </m:oMath>
      </m:oMathPara>
    </w:p>
    <w:p>
      <w:pPr>
        <w:pStyle w:val="FirstParagraph"/>
      </w:pPr>
      <m:oMathPara>
        <m:oMathParaPr>
          <m:jc m:val="center"/>
        </m:oMathParaPr>
        <m:oMath>
          <m:sSup>
            <m:e>
              <m:r>
                <m:rPr>
                  <m:sty m:val="b"/>
                </m:rPr>
                <m:t>θ</m:t>
              </m:r>
            </m:e>
            <m:sup>
              <m:r>
                <m:rPr>
                  <m:sty m:val="p"/>
                </m:rPr>
                <m:t>(</m:t>
              </m:r>
              <m:r>
                <m:t>t</m:t>
              </m:r>
              <m:r>
                <m:rPr>
                  <m:sty m:val="p"/>
                </m:rPr>
                <m:t>+</m:t>
              </m:r>
              <m:r>
                <m:t>ε</m:t>
              </m:r>
              <m:r>
                <m:rPr>
                  <m:sty m:val="p"/>
                </m:rPr>
                <m:t>)</m:t>
              </m:r>
            </m:sup>
          </m:sSup>
          <m:r>
            <m:rPr>
              <m:sty m:val="p"/>
            </m:rPr>
            <m:t>=</m:t>
          </m:r>
          <m:sSup>
            <m:e>
              <m:r>
                <m:rPr>
                  <m:sty m:val="b"/>
                </m:rPr>
                <m:t>θ</m:t>
              </m:r>
            </m:e>
            <m:sup>
              <m:r>
                <m:rPr>
                  <m:sty m:val="p"/>
                </m:rPr>
                <m:t>(</m:t>
              </m:r>
              <m:r>
                <m:t>t</m:t>
              </m:r>
              <m:r>
                <m:rPr>
                  <m:sty m:val="p"/>
                </m:rPr>
                <m:t>)</m:t>
              </m:r>
            </m:sup>
          </m:sSup>
          <m:r>
            <m:rPr>
              <m:sty m:val="p"/>
            </m:rPr>
            <m:t>+</m:t>
          </m:r>
          <m:r>
            <m:t>ε</m:t>
          </m:r>
          <m:r>
            <m:t> </m:t>
          </m:r>
          <m:sSup>
            <m:e>
              <m:r>
                <m:t>M</m:t>
              </m:r>
            </m:e>
            <m:sup>
              <m:r>
                <m:rPr>
                  <m:sty m:val="p"/>
                </m:rPr>
                <m:t>−</m:t>
              </m:r>
              <m:r>
                <m:t>1</m:t>
              </m:r>
            </m:sup>
          </m:sSup>
          <m:sSup>
            <m:e>
              <m:r>
                <m:rPr>
                  <m:sty m:val="b"/>
                </m:rPr>
                <m:t>p</m:t>
              </m:r>
            </m:e>
            <m:sup>
              <m:r>
                <m:rPr>
                  <m:sty m:val="p"/>
                </m:rPr>
                <m:t>(</m:t>
              </m:r>
              <m:r>
                <m:t>t</m:t>
              </m:r>
              <m:r>
                <m:rPr>
                  <m:sty m:val="p"/>
                </m:rPr>
                <m:t>+</m:t>
              </m:r>
              <m:r>
                <m:t>ε</m:t>
              </m:r>
              <m:r>
                <m:rPr>
                  <m:sty m:val="p"/>
                </m:rPr>
                <m:t>/</m:t>
              </m:r>
              <m:r>
                <m:t>2</m:t>
              </m:r>
              <m:r>
                <m:rPr>
                  <m:sty m:val="p"/>
                </m:rPr>
                <m:t>)</m:t>
              </m:r>
            </m:sup>
          </m:sSup>
        </m:oMath>
      </m:oMathPara>
    </w:p>
    <w:p>
      <w:pPr>
        <w:pStyle w:val="FirstParagraph"/>
      </w:pPr>
      <m:oMathPara>
        <m:oMathParaPr>
          <m:jc m:val="center"/>
        </m:oMathParaPr>
        <m:oMath>
          <m:sSup>
            <m:e>
              <m:r>
                <m:rPr>
                  <m:sty m:val="b"/>
                </m:rPr>
                <m:t>p</m:t>
              </m:r>
            </m:e>
            <m:sup>
              <m:r>
                <m:rPr>
                  <m:sty m:val="p"/>
                </m:rPr>
                <m:t>(</m:t>
              </m:r>
              <m:r>
                <m:t>t</m:t>
              </m:r>
              <m:r>
                <m:rPr>
                  <m:sty m:val="p"/>
                </m:rPr>
                <m:t>+</m:t>
              </m:r>
              <m:r>
                <m:t>ε</m:t>
              </m:r>
              <m:r>
                <m:rPr>
                  <m:sty m:val="p"/>
                </m:rPr>
                <m:t>)</m:t>
              </m:r>
            </m:sup>
          </m:sSup>
          <m:r>
            <m:rPr>
              <m:sty m:val="p"/>
            </m:rPr>
            <m:t>=</m:t>
          </m:r>
          <m:sSup>
            <m:e>
              <m:r>
                <m:rPr>
                  <m:sty m:val="b"/>
                </m:rPr>
                <m:t>p</m:t>
              </m:r>
            </m:e>
            <m:sup>
              <m:r>
                <m:rPr>
                  <m:sty m:val="p"/>
                </m:rPr>
                <m:t>(</m:t>
              </m:r>
              <m:r>
                <m:t>t</m:t>
              </m:r>
              <m:r>
                <m:rPr>
                  <m:sty m:val="p"/>
                </m:rPr>
                <m:t>+</m:t>
              </m:r>
              <m:r>
                <m:t>ε</m:t>
              </m:r>
              <m:r>
                <m:rPr>
                  <m:sty m:val="p"/>
                </m:rPr>
                <m:t>/</m:t>
              </m:r>
              <m:r>
                <m:t>2</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r>
                <m:t>ε</m:t>
              </m:r>
              <m:r>
                <m:rPr>
                  <m:sty m:val="p"/>
                </m:rPr>
                <m:t>)</m:t>
              </m:r>
            </m:sup>
          </m:sSup>
          <m:r>
            <m:rPr>
              <m:sty m:val="p"/>
            </m:rPr>
            <m:t>∣</m:t>
          </m:r>
          <m:r>
            <m:rPr>
              <m:sty m:val="b"/>
            </m:rPr>
            <m:t>Y</m:t>
          </m:r>
          <m:r>
            <m:rPr>
              <m:sty m:val="p"/>
            </m:rPr>
            <m:t>)</m:t>
          </m:r>
        </m:oMath>
      </m:oMathPara>
    </w:p>
    <w:p>
      <w:pPr>
        <w:pStyle w:val="FirstParagraph"/>
      </w:pPr>
      <w:r>
        <w:t xml:space="preserve">Una introducción conceptual accesible a la mecánica de HMC, orientada a la práctica estadística bayesiana, puede encontrarse en</w:t>
      </w:r>
      <w:r>
        <w:t xml:space="preserve"> </w:t>
      </w:r>
      <w:r>
        <w:t xml:space="preserve">Betancourt (</w:t>
      </w:r>
      <w:hyperlink w:anchor="ref-Betancourt2017">
        <w:r>
          <w:rPr>
            <w:rStyle w:val="Hyperlink"/>
          </w:rPr>
          <w:t xml:space="preserve">2017</w:t>
        </w:r>
      </w:hyperlink>
      <w:r>
        <w:t xml:space="preserve">)</w:t>
      </w:r>
      <w:r>
        <w:t xml:space="preserve">. El análisis más detallado de las propiedades teóricas del método y su implementación en el contexto de modelos jerárquicos se encuentra en</w:t>
      </w:r>
      <w:r>
        <w:t xml:space="preserve"> </w:t>
      </w:r>
      <w:r>
        <w:t xml:space="preserve">Neal (</w:t>
      </w:r>
      <w:hyperlink w:anchor="ref-Neal2011">
        <w:r>
          <w:rPr>
            <w:rStyle w:val="Hyperlink"/>
          </w:rPr>
          <w:t xml:space="preserve">2011</w:t>
        </w:r>
      </w:hyperlink>
      <w:r>
        <w:t xml:space="preserve">)</w:t>
      </w:r>
      <w:r>
        <w:t xml:space="preserve"> </w:t>
      </w:r>
      <w:r>
        <w:t xml:space="preserve">y en el capítulo 12 de</w:t>
      </w:r>
      <w:r>
        <w:t xml:space="preserve"> </w:t>
      </w:r>
      <w:r>
        <w:t xml:space="preserve">Gelman et al. (</w:t>
      </w:r>
      <w:hyperlink w:anchor="ref-Gelman2013">
        <w:r>
          <w:rPr>
            <w:rStyle w:val="Hyperlink"/>
          </w:rPr>
          <w:t xml:space="preserve">2013</w:t>
        </w:r>
      </w:hyperlink>
      <w:r>
        <w:t xml:space="preserve">)</w:t>
      </w:r>
      <w:r>
        <w:t xml:space="preserve">.</w:t>
      </w:r>
    </w:p>
    <w:p>
      <w:pPr>
        <w:pStyle w:val="BodyText"/>
      </w:pPr>
      <w:r>
        <w:t xml:space="preserve">El algoritmo NUTS</w:t>
      </w:r>
      <w:r>
        <w:t xml:space="preserve"> </w:t>
      </w:r>
      <w:r>
        <w:t xml:space="preserve">(</w:t>
      </w:r>
      <w:hyperlink w:anchor="ref-Hoffman2014">
        <w:r>
          <w:rPr>
            <w:rStyle w:val="Hyperlink"/>
          </w:rPr>
          <w:t xml:space="preserve">Hoffman y Gelman 2014</w:t>
        </w:r>
      </w:hyperlink>
      <w:r>
        <w:t xml:space="preserve">)</w:t>
      </w:r>
      <w:r>
        <w:t xml:space="preserve"> </w:t>
      </w:r>
      <w:r>
        <w:t xml:space="preserve">resuelve el problema de elegir automáticamente el número de pasos leapfrog en cada iteración. La selección manual de este hiperparámetro en HMC estándar requiere ajuste fino; NUTS elimina esta necesidad mediante un criterio de parada automático que detiene la simulación cuando la trayectoria empieza a retroceder —a hacer un</w:t>
      </w:r>
      <w:r>
        <w:t xml:space="preserve"> </w:t>
      </w:r>
      <w:r>
        <w:rPr>
          <w:i/>
          <w:iCs/>
        </w:rPr>
        <w:t xml:space="preserve">U-turn</w:t>
      </w:r>
      <w:r>
        <w:t xml:space="preserve"> </w:t>
      </w:r>
      <w:r>
        <w:t xml:space="preserve">en el espacio parametral—, indicando que continuar la trayectoria no aportaría información adicional sobre la distribución posterior. El tamaño de paso</w:t>
      </w:r>
      <w:r>
        <w:t xml:space="preserve"> </w:t>
      </w:r>
      <m:oMath>
        <m:r>
          <m:t>ε</m:t>
        </m:r>
      </m:oMath>
      <w:r>
        <w:t xml:space="preserve"> </w:t>
      </w:r>
      <w:r>
        <w:t xml:space="preserve">se ajusta automáticamente durante la fase de calentamiento mediante un algoritmo de tipo dual-averaging para alcanzar una tasa de aceptación objetivo en torno al 65–80%.</w:t>
      </w:r>
    </w:p>
    <w:p>
      <w:pPr>
        <w:pStyle w:val="BodyText"/>
      </w:pPr>
      <w:r>
        <w:t xml:space="preserve">Las ventajas de HMC-NUTS sobre los métodos clásicos son decisivas para modelos de alta dimensión. En tanto que los métodos tipo Gibbs o Metropolis-Hastings presentan un tamaño efectivo de muestra que crece aproximadamente como</w:t>
      </w:r>
      <w:r>
        <w:t xml:space="preserve"> </w:t>
      </w:r>
      <m:oMath>
        <m:r>
          <m:t>T</m:t>
        </m:r>
        <m:r>
          <m:rPr>
            <m:sty m:val="p"/>
          </m:rPr>
          <m:t>/</m:t>
        </m:r>
        <m:rad>
          <m:radPr>
            <m:degHide m:val="on"/>
          </m:radPr>
          <m:deg/>
          <m:e>
            <m:r>
              <m:t>d</m:t>
            </m:r>
          </m:e>
        </m:rad>
      </m:oMath>
      <w:r>
        <w:t xml:space="preserve"> </w:t>
      </w:r>
      <w:r>
        <w:t xml:space="preserve">con</w:t>
      </w:r>
      <w:r>
        <w:t xml:space="preserve"> </w:t>
      </w:r>
      <m:oMath>
        <m:r>
          <m:t>d</m:t>
        </m:r>
      </m:oMath>
      <w:r>
        <w:t xml:space="preserve"> </w:t>
      </w:r>
      <w:r>
        <w:t xml:space="preserve">dimensiones, HMC-NUTS escala mucho más favorablemente —en ciertos regímenes aproximadamente como</w:t>
      </w:r>
      <w:r>
        <w:t xml:space="preserve"> </w:t>
      </w:r>
      <m:oMath>
        <m:r>
          <m:t>T</m:t>
        </m:r>
        <m:r>
          <m:rPr>
            <m:sty m:val="p"/>
          </m:rPr>
          <m:t>/</m:t>
        </m:r>
        <m:sSup>
          <m:e>
            <m:r>
              <m:t>d</m:t>
            </m:r>
          </m:e>
          <m:sup>
            <m:r>
              <m:t>1</m:t>
            </m:r>
            <m:r>
              <m:rPr>
                <m:sty m:val="p"/>
              </m:rPr>
              <m:t>/</m:t>
            </m:r>
            <m:r>
              <m:t>4</m:t>
            </m:r>
          </m:sup>
        </m:sSup>
      </m:oMath>
      <w:r>
        <w:t xml:space="preserve">— lo que hace factible la inferencia en modelos con miles de parámetros latentes como los que surgen en el contexto de la estimación subnacional de población</w:t>
      </w:r>
      <w:r>
        <w:t xml:space="preserve"> </w:t>
      </w:r>
      <w:r>
        <w:t xml:space="preserve">(</w:t>
      </w:r>
      <w:hyperlink w:anchor="ref-Betancourt2017">
        <w:r>
          <w:rPr>
            <w:rStyle w:val="Hyperlink"/>
          </w:rPr>
          <w:t xml:space="preserve">Betancourt 2017</w:t>
        </w:r>
      </w:hyperlink>
      <w:r>
        <w:t xml:space="preserve">)</w:t>
      </w:r>
      <w:r>
        <w:t xml:space="preserve">. Esta propiedad ha sido un factor determinante en la adopción de Stan como plataforma de estimación en los proyectos de estimación censal de CEPAL descritos en la sección</w:t>
      </w:r>
      <w:r>
        <w:t xml:space="preserve"> </w:t>
      </w:r>
      <w:r>
        <w:t xml:space="preserve">5.1.3</w:t>
      </w:r>
      <w:r>
        <w:t xml:space="preserve">.</w:t>
      </w:r>
    </w:p>
    <w:bookmarkEnd w:id="82"/>
    <w:bookmarkStart w:id="83" w:name="stan-implementacion"/>
    <w:p>
      <w:pPr>
        <w:pStyle w:val="Heading3"/>
      </w:pPr>
      <w:r>
        <w:rPr>
          <w:rStyle w:val="SectionNumber"/>
        </w:rPr>
        <w:t xml:space="preserve">5.1.3</w:t>
      </w:r>
      <w:r>
        <w:tab/>
      </w:r>
      <w:r>
        <w:t xml:space="preserve">Implementación en Stan</w:t>
      </w:r>
    </w:p>
    <w:p>
      <w:pPr>
        <w:pStyle w:val="FirstParagraph"/>
      </w:pPr>
      <w:r>
        <w:t xml:space="preserve">Stan es un lenguaje de programación probabilística que compila modelos en código C++ optimizado e implementa HMC-NUTS con calibración automática de hiperparámetros</w:t>
      </w:r>
      <w:r>
        <w:t xml:space="preserve"> </w:t>
      </w:r>
      <w:r>
        <w:t xml:space="preserve">(</w:t>
      </w:r>
      <w:hyperlink w:anchor="ref-Carpenter2017">
        <w:r>
          <w:rPr>
            <w:rStyle w:val="Hyperlink"/>
          </w:rPr>
          <w:t xml:space="preserve">Carpenter et al. 2017</w:t>
        </w:r>
      </w:hyperlink>
      <w:r>
        <w:t xml:space="preserve">)</w:t>
      </w:r>
      <w:r>
        <w:t xml:space="preserve">. La interfaz con R se realiza a través del paquete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 que permite especificar el modelo en el lenguaje propio de Stan y gestionar la compilación, ejecución y extracción de resultados desde R.</w:t>
      </w:r>
    </w:p>
    <w:p>
      <w:pPr>
        <w:pStyle w:val="BodyText"/>
      </w:pPr>
      <w:r>
        <w:t xml:space="preserve">Un programa Stan se organiza en bloques con funciones específicas. El bloque</w:t>
      </w:r>
      <w:r>
        <w:t xml:space="preserve"> </w:t>
      </w:r>
      <w:r>
        <w:rPr>
          <w:rStyle w:val="VerbatimChar"/>
        </w:rPr>
        <w:t xml:space="preserve">data</w:t>
      </w:r>
      <w:r>
        <w:t xml:space="preserve"> </w:t>
      </w:r>
      <w:r>
        <w:t xml:space="preserve">declara las cantidades conocidas que se pasan desde R al modelo. El bloque</w:t>
      </w:r>
      <w:r>
        <w:t xml:space="preserve"> </w:t>
      </w:r>
      <w:r>
        <w:rPr>
          <w:rStyle w:val="VerbatimChar"/>
        </w:rPr>
        <w:t xml:space="preserve">parameters</w:t>
      </w:r>
      <w:r>
        <w:t xml:space="preserve"> </w:t>
      </w:r>
      <w:r>
        <w:t xml:space="preserve">declara los parámetros desconocidos sobre los que se realiza la inferencia. El bloque</w:t>
      </w:r>
      <w:r>
        <w:t xml:space="preserve"> </w:t>
      </w:r>
      <w:r>
        <w:rPr>
          <w:rStyle w:val="VerbatimChar"/>
        </w:rPr>
        <w:t xml:space="preserve">transformed parameters</w:t>
      </w:r>
      <w:r>
        <w:t xml:space="preserve"> </w:t>
      </w:r>
      <w:r>
        <w:t xml:space="preserve">define cantidades deterministas calculadas a partir de los parámetros. El bloque</w:t>
      </w:r>
      <w:r>
        <w:t xml:space="preserve"> </w:t>
      </w:r>
      <w:r>
        <w:rPr>
          <w:rStyle w:val="VerbatimChar"/>
        </w:rPr>
        <w:t xml:space="preserve">model</w:t>
      </w:r>
      <w:r>
        <w:t xml:space="preserve"> </w:t>
      </w:r>
      <w:r>
        <w:t xml:space="preserve">define la distribución posterior a través de sus componentes log-verosimilitud y log-prior. El bloque</w:t>
      </w:r>
      <w:r>
        <w:t xml:space="preserve"> </w:t>
      </w:r>
      <w:r>
        <w:rPr>
          <w:rStyle w:val="VerbatimChar"/>
        </w:rPr>
        <w:t xml:space="preserve">generated quantities</w:t>
      </w:r>
      <w:r>
        <w:t xml:space="preserve"> </w:t>
      </w:r>
      <w:r>
        <w:t xml:space="preserve">define cantidades que se calculan a partir de las muestras posteriores una vez completado el muestreo, incluyendo predicciones para nuevas observaciones.</w:t>
      </w:r>
    </w:p>
    <w:p>
      <w:pPr>
        <w:pStyle w:val="BodyText"/>
      </w:pPr>
      <w:r>
        <w:t xml:space="preserve">El código Stan del modelo Poisson-lognormal, desarrollado en el marco de los proyectos de asistencia técnica de CEPAL y aplicado en Costa Rica, Barbados, Jamaica, Dominica y República Dominicana, tiene la siguiente estructura:</w:t>
      </w:r>
    </w:p>
    <w:p>
      <w:pPr>
        <w:pStyle w:val="SourceCode"/>
      </w:pPr>
      <w:r>
        <w:rPr>
          <w:rStyle w:val="KeywordTok"/>
        </w:rPr>
        <w:t xml:space="preserve">data</w:t>
      </w:r>
      <w:r>
        <w:rPr>
          <w:rStyle w:val="NormalTok"/>
        </w:rPr>
        <w:t xml:space="preserve"> {</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D_obs;                  </w:t>
      </w:r>
      <w:r>
        <w:rPr>
          <w:rStyle w:val="CommentTok"/>
        </w:rPr>
        <w:t xml:space="preserve">// Segmentos observados en el censo</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D_tot;                  </w:t>
      </w:r>
      <w:r>
        <w:rPr>
          <w:rStyle w:val="CommentTok"/>
        </w:rPr>
        <w:t xml:space="preserve">// Total de segmentos en el país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P;                      </w:t>
      </w:r>
      <w:r>
        <w:rPr>
          <w:rStyle w:val="CommentTok"/>
        </w:rPr>
        <w:t xml:space="preserve">// Número de covariables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Q;                      </w:t>
      </w:r>
      <w:r>
        <w:rPr>
          <w:rStyle w:val="CommentTok"/>
        </w:rPr>
        <w:t xml:space="preserve">// Número de efectos aleatorios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Y_obs;     </w:t>
      </w:r>
      <w:r>
        <w:rPr>
          <w:rStyle w:val="CommentTok"/>
        </w:rPr>
        <w:t xml:space="preserve">// Conteos poblacionales observados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V_obs;     </w:t>
      </w:r>
      <w:r>
        <w:rPr>
          <w:rStyle w:val="CommentTok"/>
        </w:rPr>
        <w:t xml:space="preserve">// Estructuras en segmentos observados</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V_tot;     </w:t>
      </w:r>
      <w:r>
        <w:rPr>
          <w:rStyle w:val="CommentTok"/>
        </w:rPr>
        <w:t xml:space="preserve">// Estructuras en todos los segmentos</w:t>
      </w:r>
      <w:r>
        <w:br/>
      </w:r>
      <w:r>
        <w:rPr>
          <w:rStyle w:val="NormalTok"/>
        </w:rPr>
        <w:t xml:space="preserve">  </w:t>
      </w:r>
      <w:r>
        <w:rPr>
          <w:rStyle w:val="DataTypeTok"/>
        </w:rPr>
        <w:t xml:space="preserve">matrix</w:t>
      </w:r>
      <w:r>
        <w:rPr>
          <w:rStyle w:val="NormalTok"/>
        </w:rPr>
        <w:t xml:space="preserve">[D_obs, P] X_obs;              </w:t>
      </w:r>
      <w:r>
        <w:rPr>
          <w:rStyle w:val="CommentTok"/>
        </w:rPr>
        <w:t xml:space="preserve">// Covariables en segmentos observados</w:t>
      </w:r>
      <w:r>
        <w:br/>
      </w:r>
      <w:r>
        <w:rPr>
          <w:rStyle w:val="NormalTok"/>
        </w:rPr>
        <w:t xml:space="preserve">  </w:t>
      </w:r>
      <w:r>
        <w:rPr>
          <w:rStyle w:val="DataTypeTok"/>
        </w:rPr>
        <w:t xml:space="preserve">matrix</w:t>
      </w:r>
      <w:r>
        <w:rPr>
          <w:rStyle w:val="NormalTok"/>
        </w:rPr>
        <w:t xml:space="preserve">[D_tot, P] X_tot;              </w:t>
      </w:r>
      <w:r>
        <w:rPr>
          <w:rStyle w:val="CommentTok"/>
        </w:rPr>
        <w:t xml:space="preserve">// Covariables en todos los segmentos</w:t>
      </w:r>
      <w:r>
        <w:br/>
      </w:r>
      <w:r>
        <w:rPr>
          <w:rStyle w:val="NormalTok"/>
        </w:rPr>
        <w:t xml:space="preserve">  </w:t>
      </w:r>
      <w:r>
        <w:rPr>
          <w:rStyle w:val="DataTypeTok"/>
        </w:rPr>
        <w:t xml:space="preserve">matrix</w:t>
      </w:r>
      <w:r>
        <w:rPr>
          <w:rStyle w:val="NormalTok"/>
        </w:rPr>
        <w:t xml:space="preserve">[D_obs, Q] Z_obs;              </w:t>
      </w:r>
      <w:r>
        <w:rPr>
          <w:rStyle w:val="CommentTok"/>
        </w:rPr>
        <w:t xml:space="preserve">// Indicadores de efectos aleatorios (observadas)</w:t>
      </w:r>
      <w:r>
        <w:br/>
      </w:r>
      <w:r>
        <w:rPr>
          <w:rStyle w:val="NormalTok"/>
        </w:rPr>
        <w:t xml:space="preserve">  </w:t>
      </w:r>
      <w:r>
        <w:rPr>
          <w:rStyle w:val="DataTypeTok"/>
        </w:rPr>
        <w:t xml:space="preserve">matrix</w:t>
      </w:r>
      <w:r>
        <w:rPr>
          <w:rStyle w:val="NormalTok"/>
        </w:rPr>
        <w:t xml:space="preserve">[D_tot, Q] Z_tot;              </w:t>
      </w:r>
      <w:r>
        <w:rPr>
          <w:rStyle w:val="CommentTok"/>
        </w:rPr>
        <w:t xml:space="preserve">// Indicadores de efectos aleatorios (todas)</w:t>
      </w:r>
      <w:r>
        <w:br/>
      </w:r>
      <w:r>
        <w:rPr>
          <w:rStyle w:val="NormalTok"/>
        </w:rPr>
        <w:t xml:space="preserve">}</w:t>
      </w:r>
      <w:r>
        <w:br/>
      </w:r>
      <w:r>
        <w:br/>
      </w:r>
      <w:r>
        <w:rPr>
          <w:rStyle w:val="KeywordTok"/>
        </w:rPr>
        <w:t xml:space="preserve">parameters</w:t>
      </w:r>
      <w:r>
        <w:rPr>
          <w:rStyle w:val="NormalTok"/>
        </w:rPr>
        <w:t xml:space="preserve"> {</w:t>
      </w:r>
      <w:r>
        <w:br/>
      </w:r>
      <w:r>
        <w:rPr>
          <w:rStyle w:val="NormalTok"/>
        </w:rPr>
        <w:t xml:space="preserve">  </w:t>
      </w:r>
      <w:r>
        <w:rPr>
          <w:rStyle w:val="DataTypeTok"/>
        </w:rPr>
        <w:t xml:space="preserve">vector</w:t>
      </w:r>
      <w:r>
        <w:rPr>
          <w:rStyle w:val="NormalTok"/>
        </w:rPr>
        <w:t xml:space="preserve">[P]           beta;     </w:t>
      </w:r>
      <w:r>
        <w:rPr>
          <w:rStyle w:val="CommentTok"/>
        </w:rPr>
        <w:t xml:space="preserve">// Coeficientes de efectos fijos</w:t>
      </w:r>
      <w:r>
        <w:br/>
      </w:r>
      <w:r>
        <w:rPr>
          <w:rStyle w:val="NormalTok"/>
        </w:rPr>
        <w:t xml:space="preserve">  </w:t>
      </w:r>
      <w:r>
        <w:rPr>
          <w:rStyle w:val="DataTypeTok"/>
        </w:rPr>
        <w:t xml:space="preserve">vector</w:t>
      </w:r>
      <w:r>
        <w:rPr>
          <w:rStyle w:val="NormalTok"/>
        </w:rPr>
        <w:t xml:space="preserve">[Q]           gamma;    </w:t>
      </w:r>
      <w:r>
        <w:rPr>
          <w:rStyle w:val="CommentTok"/>
        </w:rPr>
        <w:t xml:space="preserve">// Coeficientes de efectos aleatorios</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    </w:t>
      </w:r>
      <w:r>
        <w:rPr>
          <w:rStyle w:val="CommentTok"/>
        </w:rPr>
        <w:t xml:space="preserve">// Escala de la distribución log-normal</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sigmaU;   </w:t>
      </w:r>
      <w:r>
        <w:rPr>
          <w:rStyle w:val="CommentTok"/>
        </w:rPr>
        <w:t xml:space="preserve">// Escala de los efectos aleatorios</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densidad; </w:t>
      </w:r>
      <w:r>
        <w:rPr>
          <w:rStyle w:val="CommentTok"/>
        </w:rPr>
        <w:t xml:space="preserve">// Densidades latentes en segmentos observados</w:t>
      </w:r>
      <w:r>
        <w:br/>
      </w:r>
      <w:r>
        <w:rPr>
          <w:rStyle w:val="NormalTok"/>
        </w:rPr>
        <w:t xml:space="preserve">}</w:t>
      </w:r>
      <w:r>
        <w:br/>
      </w:r>
      <w:r>
        <w:br/>
      </w:r>
      <w:r>
        <w:rPr>
          <w:rStyle w:val="KeywordTok"/>
        </w:rPr>
        <w:t xml:space="preserve">transformed parameters</w:t>
      </w:r>
      <w:r>
        <w:rPr>
          <w:rStyle w:val="NormalTok"/>
        </w:rPr>
        <w:t xml:space="preserve"> {</w:t>
      </w:r>
      <w:r>
        <w:br/>
      </w:r>
      <w:r>
        <w:rPr>
          <w:rStyle w:val="NormalTok"/>
        </w:rPr>
        <w:t xml:space="preserve">  </w:t>
      </w:r>
      <w:r>
        <w:rPr>
          <w:rStyle w:val="DataTypeTok"/>
        </w:rPr>
        <w:t xml:space="preserve">vector</w:t>
      </w:r>
      <w:r>
        <w:rPr>
          <w:rStyle w:val="NormalTok"/>
        </w:rPr>
        <w:t xml:space="preserve">[D_obs]        lp;      </w:t>
      </w:r>
      <w:r>
        <w:rPr>
          <w:rStyle w:val="CommentTok"/>
        </w:rPr>
        <w:t xml:space="preserve">// Predictor lineal</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lambda; </w:t>
      </w:r>
      <w:r>
        <w:rPr>
          <w:rStyle w:val="CommentTok"/>
        </w:rPr>
        <w:t xml:space="preserve">// Parámetro Poisson</w:t>
      </w:r>
      <w:r>
        <w:br/>
      </w:r>
      <w:r>
        <w:br/>
      </w:r>
      <w:r>
        <w:rPr>
          <w:rStyle w:val="NormalTok"/>
        </w:rPr>
        <w:t xml:space="preserve">  lp = X_obs * beta + Z_obs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lambda[d] = fmin(fmax(</w:t>
      </w:r>
      <w:r>
        <w:rPr>
          <w:rStyle w:val="DecValTok"/>
        </w:rPr>
        <w:t xml:space="preserve">1</w:t>
      </w:r>
      <w:r>
        <w:rPr>
          <w:rStyle w:val="NormalTok"/>
        </w:rPr>
        <w:t xml:space="preserve">, densidad[d] * V_obs[d]), </w:t>
      </w:r>
      <w:r>
        <w:rPr>
          <w:rStyle w:val="DecValTok"/>
        </w:rPr>
        <w:t xml:space="preserve">10000000</w:t>
      </w:r>
      <w:r>
        <w:rPr>
          <w:rStyle w:val="NormalTok"/>
        </w:rPr>
        <w:t xml:space="preserve">);</w:t>
      </w:r>
      <w:r>
        <w:br/>
      </w:r>
      <w:r>
        <w:rPr>
          <w:rStyle w:val="NormalTok"/>
        </w:rPr>
        <w:t xml:space="preserve">}</w:t>
      </w:r>
      <w:r>
        <w:br/>
      </w:r>
      <w:r>
        <w:br/>
      </w:r>
      <w:r>
        <w:rPr>
          <w:rStyle w:val="KeywordTok"/>
        </w:rPr>
        <w:t xml:space="preserve">model</w:t>
      </w:r>
      <w:r>
        <w:rPr>
          <w:rStyle w:val="NormalTok"/>
        </w:rPr>
        <w:t xml:space="preserve"> {</w:t>
      </w:r>
      <w:r>
        <w:br/>
      </w:r>
      <w:r>
        <w:rPr>
          <w:rStyle w:val="NormalTok"/>
        </w:rPr>
        <w:t xml:space="preserve">  </w:t>
      </w:r>
      <w:r>
        <w:rPr>
          <w:rStyle w:val="CommentTok"/>
        </w:rPr>
        <w:t xml:space="preserve">// Distribuciones previas</w:t>
      </w:r>
      <w:r>
        <w:br/>
      </w:r>
      <w:r>
        <w:rPr>
          <w:rStyle w:val="NormalTok"/>
        </w:rPr>
        <w:t xml:space="preserve">  beta   ~ normal(</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gamma  ~ normal(</w:t>
      </w:r>
      <w:r>
        <w:rPr>
          <w:rStyle w:val="DecValTok"/>
        </w:rPr>
        <w:t xml:space="preserve">0</w:t>
      </w:r>
      <w:r>
        <w:rPr>
          <w:rStyle w:val="NormalTok"/>
        </w:rPr>
        <w:t xml:space="preserve">, sigmaU);</w:t>
      </w:r>
      <w:r>
        <w:br/>
      </w:r>
      <w:r>
        <w:rPr>
          <w:rStyle w:val="NormalTok"/>
        </w:rPr>
        <w:t xml:space="preserve">  sigma  ~ cauchy(</w:t>
      </w:r>
      <w:r>
        <w:rPr>
          <w:rStyle w:val="DecValTok"/>
        </w:rPr>
        <w:t xml:space="preserve">0</w:t>
      </w:r>
      <w:r>
        <w:rPr>
          <w:rStyle w:val="NormalTok"/>
        </w:rPr>
        <w:t xml:space="preserve">, </w:t>
      </w:r>
      <w:r>
        <w:rPr>
          <w:rStyle w:val="FloatTok"/>
        </w:rPr>
        <w:t xml:space="preserve">2.5</w:t>
      </w:r>
      <w:r>
        <w:rPr>
          <w:rStyle w:val="NormalTok"/>
        </w:rPr>
        <w:t xml:space="preserve">);</w:t>
      </w:r>
      <w:r>
        <w:br/>
      </w:r>
      <w:r>
        <w:rPr>
          <w:rStyle w:val="NormalTok"/>
        </w:rPr>
        <w:t xml:space="preserve">  sigmaU ~ normal(</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Verosimilitud</w:t>
      </w:r>
      <w:r>
        <w:br/>
      </w:r>
      <w:r>
        <w:rPr>
          <w:rStyle w:val="NormalTok"/>
        </w:rPr>
        <w:t xml:space="preserve">  Y_obs    ~ poisson(lambda);</w:t>
      </w:r>
      <w:r>
        <w:br/>
      </w:r>
      <w:r>
        <w:rPr>
          <w:rStyle w:val="NormalTok"/>
        </w:rPr>
        <w:t xml:space="preserve">  densidad ~ lognormal(lp, sigma);</w:t>
      </w:r>
      <w:r>
        <w:br/>
      </w:r>
      <w:r>
        <w:rPr>
          <w:rStyle w:val="NormalTok"/>
        </w:rPr>
        <w:t xml:space="preserve">}</w:t>
      </w:r>
      <w:r>
        <w:br/>
      </w:r>
      <w:r>
        <w:br/>
      </w:r>
      <w:r>
        <w:rPr>
          <w:rStyle w:val="KeywordTok"/>
        </w:rPr>
        <w:t xml:space="preserve">generated quantities</w:t>
      </w:r>
      <w:r>
        <w:rPr>
          <w:rStyle w:val="NormalTok"/>
        </w:rPr>
        <w:t xml:space="preserve"> {</w:t>
      </w:r>
      <w:r>
        <w:br/>
      </w:r>
      <w:r>
        <w:rPr>
          <w:rStyle w:val="NormalTok"/>
        </w:rPr>
        <w:t xml:space="preserve">  </w:t>
      </w:r>
      <w:r>
        <w:rPr>
          <w:rStyle w:val="DataTypeTok"/>
        </w:rPr>
        <w:t xml:space="preserve">vector</w:t>
      </w:r>
      <w:r>
        <w:rPr>
          <w:rStyle w:val="NormalTok"/>
        </w:rPr>
        <w:t xml:space="preserve">[D_tot]           lp_tot;</w:t>
      </w:r>
      <w:r>
        <w:br/>
      </w:r>
      <w:r>
        <w:rPr>
          <w:rStyle w:val="NormalTok"/>
        </w:rPr>
        <w:t xml:space="preserve">  </w:t>
      </w:r>
      <w:r>
        <w:rPr>
          <w:rStyle w:val="DataTypeTok"/>
        </w:rPr>
        <w:t xml:space="preserve">array</w:t>
      </w:r>
      <w:r>
        <w:rPr>
          <w:rStyle w:val="NormalTok"/>
        </w:rPr>
        <w:t xml:space="preserve">[D_tot]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densidad_hat;</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&gt;[D_tot]  lambda2;</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Y_tot;</w:t>
      </w:r>
      <w:r>
        <w:br/>
      </w:r>
      <w:r>
        <w:rPr>
          <w:rStyle w:val="NormalTok"/>
        </w:rPr>
        <w:t xml:space="preserve">  </w:t>
      </w:r>
      <w:r>
        <w:rPr>
          <w:rStyle w:val="DataTypeTok"/>
        </w:rPr>
        <w:t xml:space="preserve">vector</w:t>
      </w:r>
      <w:r>
        <w:rPr>
          <w:rStyle w:val="NormalTok"/>
        </w:rPr>
        <w:t xml:space="preserve">[D_obs]           log_lik;      </w:t>
      </w:r>
      <w:r>
        <w:rPr>
          <w:rStyle w:val="CommentTok"/>
        </w:rPr>
        <w:t xml:space="preserve">// Log-verosimilitud puntual (LOO/WAIC)</w:t>
      </w:r>
      <w:r>
        <w:br/>
      </w:r>
      <w:r>
        <w:br/>
      </w:r>
      <w:r>
        <w:rPr>
          <w:rStyle w:val="NormalTok"/>
        </w:rPr>
        <w:t xml:space="preserve">  lp_tot = X_tot * beta + Z_tot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:D_tot) {</w:t>
      </w:r>
      <w:r>
        <w:br/>
      </w:r>
      <w:r>
        <w:rPr>
          <w:rStyle w:val="NormalTok"/>
        </w:rPr>
        <w:t xml:space="preserve">    densidad_hat[d] = lognormal_rng(lp_tot[d], sigma);</w:t>
      </w:r>
      <w:r>
        <w:br/>
      </w:r>
      <w:r>
        <w:rPr>
          <w:rStyle w:val="NormalTok"/>
        </w:rPr>
        <w:t xml:space="preserve">    lambda2[d]      = fmin(fmax(</w:t>
      </w:r>
      <w:r>
        <w:rPr>
          <w:rStyle w:val="DecValTok"/>
        </w:rPr>
        <w:t xml:space="preserve">1</w:t>
      </w:r>
      <w:r>
        <w:rPr>
          <w:rStyle w:val="NormalTok"/>
        </w:rPr>
        <w:t xml:space="preserve">, densidad_hat[d] * V_tot[d]), </w:t>
      </w:r>
      <w:r>
        <w:rPr>
          <w:rStyle w:val="DecValTok"/>
        </w:rPr>
        <w:t xml:space="preserve">10000000</w:t>
      </w:r>
      <w:r>
        <w:rPr>
          <w:rStyle w:val="NormalTok"/>
        </w:rPr>
        <w:t xml:space="preserve">);</w:t>
      </w:r>
      <w:r>
        <w:br/>
      </w:r>
      <w:r>
        <w:rPr>
          <w:rStyle w:val="NormalTok"/>
        </w:rPr>
        <w:t xml:space="preserve">    Y_tot[d]        = poisson_rng(lambda2[d]);</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log_lik[d] = poisson_lpmf(Y_obs[d] | lambda[d]);</w:t>
      </w:r>
      <w:r>
        <w:br/>
      </w:r>
      <w:r>
        <w:rPr>
          <w:rStyle w:val="NormalTok"/>
        </w:rPr>
        <w:t xml:space="preserve">}</w:t>
      </w:r>
    </w:p>
    <w:p>
      <w:pPr>
        <w:pStyle w:val="FirstParagraph"/>
      </w:pPr>
      <w:r>
        <w:t xml:space="preserve">Cada bloque cumple una función precisa en relación con la especificación matemática del capítulo anterior. El bloque</w:t>
      </w:r>
      <w:r>
        <w:t xml:space="preserve"> </w:t>
      </w:r>
      <w:r>
        <w:rPr>
          <w:rStyle w:val="VerbatimChar"/>
        </w:rPr>
        <w:t xml:space="preserve">data</w:t>
      </w:r>
      <w:r>
        <w:t xml:space="preserve"> </w:t>
      </w:r>
      <w:r>
        <w:t xml:space="preserve">recibe las ocho matrices y vectores que constituyen los insumos del modelo: dimensiones del problema (</w:t>
      </w:r>
      <m:oMath>
        <m:sSub>
          <m:e>
            <m:r>
              <m:t>D</m:t>
            </m:r>
          </m:e>
          <m:sub>
            <m:r>
              <m:t>o</m:t>
            </m:r>
            <m:r>
              <m:t>b</m:t>
            </m:r>
            <m:r>
              <m:t>s</m:t>
            </m:r>
          </m:sub>
        </m:sSub>
      </m:oMath>
      <w:r>
        <w:t xml:space="preserve">,</w:t>
      </w:r>
      <w:r>
        <w:t xml:space="preserve"> </w:t>
      </w:r>
      <m:oMath>
        <m:sSub>
          <m:e>
            <m:r>
              <m:t>D</m:t>
            </m:r>
          </m:e>
          <m:sub>
            <m:r>
              <m:t>t</m:t>
            </m:r>
            <m:r>
              <m:t>o</m:t>
            </m:r>
            <m:r>
              <m:t>t</m:t>
            </m:r>
          </m:sub>
        </m:sSub>
      </m:oMath>
      <w:r>
        <w:t xml:space="preserve">,</w:t>
      </w:r>
      <w:r>
        <w:t xml:space="preserve"> </w:t>
      </w:r>
      <m:oMath>
        <m:r>
          <m:t>P</m:t>
        </m:r>
      </m:oMath>
      <w:r>
        <w:t xml:space="preserve">,</w:t>
      </w:r>
      <w:r>
        <w:t xml:space="preserve"> </w:t>
      </w:r>
      <m:oMath>
        <m:r>
          <m:t>Q</m:t>
        </m:r>
      </m:oMath>
      <w:r>
        <w:t xml:space="preserve">), conteos y estructuras observados, y las matrices de diseño para efectos fijos y aleatorios. El bloque</w:t>
      </w:r>
      <w:r>
        <w:t xml:space="preserve"> </w:t>
      </w:r>
      <w:r>
        <w:rPr>
          <w:rStyle w:val="VerbatimChar"/>
        </w:rPr>
        <w:t xml:space="preserve">parameters</w:t>
      </w:r>
      <w:r>
        <w:t xml:space="preserve"> </w:t>
      </w:r>
      <w:r>
        <w:t xml:space="preserve">declara los cinco grupos de parámetros desconocidos</w:t>
      </w:r>
      <w:r>
        <w:t xml:space="preserve"> </w:t>
      </w:r>
      <m:oMath>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r>
          <m:rPr>
            <m:sty m:val="b"/>
          </m:rPr>
          <m:t>δ</m:t>
        </m:r>
        <m:r>
          <m:rPr>
            <m:sty m:val="p"/>
          </m:rPr>
          <m:t>}</m:t>
        </m:r>
      </m:oMath>
      <w:r>
        <w:t xml:space="preserve">; la restricción</w:t>
      </w:r>
      <w:r>
        <w:t xml:space="preserve"> </w:t>
      </w:r>
      <w:r>
        <w:rPr>
          <w:rStyle w:val="VerbatimChar"/>
        </w:rPr>
        <w:t xml:space="preserve">lower=0</w:t>
      </w:r>
      <w:r>
        <w:t xml:space="preserve"> </w:t>
      </w:r>
      <w:r>
        <w:t xml:space="preserve">en</w:t>
      </w:r>
      <w:r>
        <w:t xml:space="preserve"> </w:t>
      </w:r>
      <w:r>
        <w:rPr>
          <w:rStyle w:val="VerbatimChar"/>
        </w:rPr>
        <w:t xml:space="preserve">sigma</w:t>
      </w:r>
      <w:r>
        <w:t xml:space="preserve">,</w:t>
      </w:r>
      <w:r>
        <w:t xml:space="preserve"> </w:t>
      </w:r>
      <w:r>
        <w:rPr>
          <w:rStyle w:val="VerbatimChar"/>
        </w:rPr>
        <w:t xml:space="preserve">sigmaU</w:t>
      </w:r>
      <w:r>
        <w:t xml:space="preserve"> </w:t>
      </w:r>
      <w:r>
        <w:t xml:space="preserve">y</w:t>
      </w:r>
      <w:r>
        <w:t xml:space="preserve"> </w:t>
      </w:r>
      <w:r>
        <w:rPr>
          <w:rStyle w:val="VerbatimChar"/>
        </w:rPr>
        <w:t xml:space="preserve">densidad</w:t>
      </w:r>
      <w:r>
        <w:t xml:space="preserve"> </w:t>
      </w:r>
      <w:r>
        <w:t xml:space="preserve">garantiza que Stan opere en el espacio transformado correspondiente, con la transformación logarítmica aplicada automáticamente durante el muestreo.</w:t>
      </w:r>
    </w:p>
    <w:p>
      <w:pPr>
        <w:pStyle w:val="BodyText"/>
      </w:pPr>
      <w:r>
        <w:t xml:space="preserve">En el bloque</w:t>
      </w:r>
      <w:r>
        <w:t xml:space="preserve"> </w:t>
      </w:r>
      <w:r>
        <w:rPr>
          <w:rStyle w:val="VerbatimChar"/>
        </w:rPr>
        <w:t xml:space="preserve">transformed parameters</w:t>
      </w:r>
      <w:r>
        <w:t xml:space="preserve"> </w:t>
      </w:r>
      <w:r>
        <w:t xml:space="preserve">se calcula el predictor lineal</w:t>
      </w:r>
      <w:r>
        <w:t xml:space="preserve"> </w:t>
      </w:r>
      <m:oMath>
        <m:r>
          <m:rPr>
            <m:sty m:val="b"/>
          </m:rPr>
          <m:t>l</m:t>
        </m:r>
        <m:r>
          <m:rPr>
            <m:sty m:val="b"/>
          </m:rPr>
          <m:t>p</m:t>
        </m:r>
        <m:r>
          <m:rPr>
            <m:sty m:val="p"/>
          </m:rPr>
          <m:t>=</m:t>
        </m:r>
        <m:sSub>
          <m:e>
            <m:r>
              <m:rPr>
                <m:sty m:val="b"/>
              </m:rPr>
              <m:t>X</m:t>
            </m:r>
          </m:e>
          <m:sub>
            <m:r>
              <m:t>o</m:t>
            </m:r>
            <m:r>
              <m:t>b</m:t>
            </m:r>
            <m:r>
              <m:t>s</m:t>
            </m:r>
          </m:sub>
        </m:sSub>
        <m:r>
          <m:rPr>
            <m:sty m:val="b"/>
          </m:rPr>
          <m:t>β</m:t>
        </m:r>
        <m:r>
          <m:rPr>
            <m:sty m:val="p"/>
          </m:rPr>
          <m:t>+</m:t>
        </m:r>
        <m:sSub>
          <m:e>
            <m:r>
              <m:rPr>
                <m:sty m:val="b"/>
              </m:rPr>
              <m:t>Z</m:t>
            </m:r>
          </m:e>
          <m:sub>
            <m:r>
              <m:t>o</m:t>
            </m:r>
            <m:r>
              <m:t>b</m:t>
            </m:r>
            <m:r>
              <m:t>s</m:t>
            </m:r>
          </m:sub>
        </m:sSub>
        <m:r>
          <m:rPr>
            <m:sty m:val="b"/>
          </m:rPr>
          <m:t>γ</m:t>
        </m:r>
      </m:oMath>
      <w:r>
        <w:t xml:space="preserve"> </w:t>
      </w:r>
      <w:r>
        <w:t xml:space="preserve">y se construye el parámetro de intensidad Poisson</w:t>
      </w:r>
      <w:r>
        <w:t xml:space="preserve"> </w:t>
      </w:r>
      <m:oMath>
        <m:sSub>
          <m:e>
            <m:r>
              <m:t>λ</m:t>
            </m:r>
          </m:e>
          <m:sub>
            <m:r>
              <m:t>d</m:t>
            </m:r>
          </m:sub>
        </m:sSub>
        <m:r>
          <m:rPr>
            <m:sty m:val="p"/>
          </m:rPr>
          <m:t>=</m:t>
        </m:r>
        <m:sSub>
          <m:e>
            <m:r>
              <m:t>δ</m:t>
            </m:r>
          </m:e>
          <m:sub>
            <m:r>
              <m:t>d</m:t>
            </m:r>
          </m:sub>
        </m:sSub>
        <m:r>
          <m:rPr>
            <m:sty m:val="p"/>
          </m:rPr>
          <m:t>⋅</m:t>
        </m:r>
        <m:sSub>
          <m:e>
            <m:r>
              <m:t>V</m:t>
            </m:r>
          </m:e>
          <m:sub>
            <m:r>
              <m:t>d</m:t>
            </m:r>
          </m:sub>
        </m:sSub>
      </m:oMath>
      <w:r>
        <w:t xml:space="preserve">. La función</w:t>
      </w:r>
      <w:r>
        <w:t xml:space="preserve"> </w:t>
      </w:r>
      <w:r>
        <w:rPr>
          <w:rStyle w:val="VerbatimChar"/>
        </w:rPr>
        <w:t xml:space="preserve">fmin(fmax(1, ...), 10000000)</w:t>
      </w:r>
      <w:r>
        <w:t xml:space="preserve"> </w:t>
      </w:r>
      <w:r>
        <w:t xml:space="preserve">implementa la restricción de la intensidad a un rango numéricamente estable: impide intensidades menores que uno y previene desbordamientos aritméticos en segmentos con predictor lineal muy alto.</w:t>
      </w:r>
    </w:p>
    <w:p>
      <w:pPr>
        <w:pStyle w:val="BodyText"/>
      </w:pPr>
      <w:r>
        <w:t xml:space="preserve">El bloque</w:t>
      </w:r>
      <w:r>
        <w:t xml:space="preserve"> </w:t>
      </w:r>
      <w:r>
        <w:rPr>
          <w:rStyle w:val="VerbatimChar"/>
        </w:rPr>
        <w:t xml:space="preserve">model</w:t>
      </w:r>
      <w:r>
        <w:t xml:space="preserve"> </w:t>
      </w:r>
      <w:r>
        <w:t xml:space="preserve">transcribe directamente las especificaciones probabilísticas del capítulo anterior. La línea</w:t>
      </w:r>
      <w:r>
        <w:t xml:space="preserve"> </w:t>
      </w:r>
      <w:r>
        <w:rPr>
          <w:rStyle w:val="VerbatimChar"/>
        </w:rPr>
        <w:t xml:space="preserve">Y_obs ~ poisson(lambda)</w:t>
      </w:r>
      <w:r>
        <w:t xml:space="preserve"> </w:t>
      </w:r>
      <w:r>
        <w:t xml:space="preserve">acumula la log-verosimilitud de Poisson;</w:t>
      </w:r>
      <w:r>
        <w:t xml:space="preserve"> </w:t>
      </w:r>
      <w:r>
        <w:rPr>
          <w:rStyle w:val="VerbatimChar"/>
        </w:rPr>
        <w:t xml:space="preserve">densidad ~ lognormal(lp, sigma)</w:t>
      </w:r>
      <w:r>
        <w:t xml:space="preserve"> </w:t>
      </w:r>
      <w:r>
        <w:t xml:space="preserve">acumula la contribución log-normal de las densidades latentes incluyendo el jacobiano correspondiente; y las distribuciones previas reflejan las elecciones no informativas discutidas en la Sección</w:t>
      </w:r>
      <w:r>
        <w:t xml:space="preserve"> </w:t>
      </w:r>
      <w:r>
        <w:t xml:space="preserve">4.1.3</w:t>
      </w:r>
      <w:r>
        <w:t xml:space="preserve"> </w:t>
      </w:r>
      <w:r>
        <w:t xml:space="preserve">del capítulo anterior, siguiendo las recomendaciones de</w:t>
      </w:r>
      <w:r>
        <w:t xml:space="preserve"> </w:t>
      </w:r>
      <w:r>
        <w:t xml:space="preserve">Gelman et al. (</w:t>
      </w:r>
      <w:hyperlink w:anchor="ref-Gelman2013">
        <w:r>
          <w:rPr>
            <w:rStyle w:val="Hyperlink"/>
          </w:rPr>
          <w:t xml:space="preserve">2013</w:t>
        </w:r>
      </w:hyperlink>
      <w:r>
        <w:t xml:space="preserve">)</w:t>
      </w:r>
      <w:r>
        <w:t xml:space="preserve"> </w:t>
      </w:r>
      <w:r>
        <w:t xml:space="preserve">y</w:t>
      </w:r>
      <w:r>
        <w:t xml:space="preserve"> </w:t>
      </w:r>
      <w:r>
        <w:t xml:space="preserve">McElreath (</w:t>
      </w:r>
      <w:hyperlink w:anchor="ref-McElreath2020">
        <w:r>
          <w:rPr>
            <w:rStyle w:val="Hyperlink"/>
          </w:rPr>
          <w:t xml:space="preserve">2020</w:t>
        </w:r>
      </w:hyperlink>
      <w:r>
        <w:t xml:space="preserve">)</w:t>
      </w:r>
      <w:r>
        <w:t xml:space="preserve"> </w:t>
      </w:r>
      <w:r>
        <w:t xml:space="preserve">para modelos jerárquicos.</w:t>
      </w:r>
    </w:p>
    <w:p>
      <w:pPr>
        <w:pStyle w:val="BodyText"/>
      </w:pPr>
      <w:r>
        <w:t xml:space="preserve">El bloque</w:t>
      </w:r>
      <w:r>
        <w:t xml:space="preserve"> </w:t>
      </w:r>
      <w:r>
        <w:rPr>
          <w:rStyle w:val="VerbatimChar"/>
        </w:rPr>
        <w:t xml:space="preserve">generated quantities</w:t>
      </w:r>
      <w:r>
        <w:t xml:space="preserve"> </w:t>
      </w:r>
      <w:r>
        <w:t xml:space="preserve">implementa la predicción fuera de muestra. Para cada segmento del conjunto completo</w:t>
      </w:r>
      <w:r>
        <w:t xml:space="preserve"> </w:t>
      </w:r>
      <m:oMath>
        <m:r>
          <m:rPr>
            <m:scr m:val="script"/>
            <m:sty m:val="p"/>
          </m:rPr>
          <m:t>S</m:t>
        </m:r>
      </m:oMath>
      <w:r>
        <w:t xml:space="preserve"> </w:t>
      </w:r>
      <w:r>
        <w:t xml:space="preserve">se calcula el predictor lineal con las covariables de todos los segmentos, se genera una muestra de la densidad predictiva</w:t>
      </w:r>
      <w:r>
        <w:t xml:space="preserve"> </w:t>
      </w:r>
      <m:oMath>
        <m:sSub>
          <m:e>
            <m:acc>
              <m:accPr>
                <m:chr m:val="̃"/>
              </m:accPr>
              <m:e>
                <m:r>
                  <m:t>δ</m:t>
                </m:r>
              </m:e>
            </m:acc>
          </m:e>
          <m:sub>
            <m:r>
              <m:t>d</m:t>
            </m:r>
          </m:sub>
        </m:sSub>
        <m:r>
          <m:rPr>
            <m:sty m:val="p"/>
          </m:rPr>
          <m:t>∼</m:t>
        </m:r>
        <m:r>
          <m:rPr>
            <m:nor/>
            <m:sty m:val="p"/>
          </m:rPr>
          <m:t>LogNormal</m:t>
        </m:r>
        <m:r>
          <m:rPr>
            <m:sty m:val="p"/>
          </m:rPr>
          <m:t>(</m:t>
        </m:r>
        <m:sSub>
          <m:e>
            <m:r>
              <m:rPr>
                <m:nor/>
                <m:sty m:val="p"/>
              </m:rPr>
              <m:t>lp_tot</m:t>
            </m:r>
          </m:e>
          <m:sub>
            <m:r>
              <m:t>d</m:t>
            </m:r>
          </m:sub>
        </m:sSub>
        <m:r>
          <m:rPr>
            <m:sty m:val="p"/>
          </m:rPr>
          <m:t>,</m:t>
        </m:r>
        <m:r>
          <m:t>σ</m:t>
        </m:r>
        <m:r>
          <m:rPr>
            <m:sty m:val="p"/>
          </m:rPr>
          <m:t>)</m:t>
        </m:r>
      </m:oMath>
      <w:r>
        <w:t xml:space="preserve"> </w:t>
      </w:r>
      <w:r>
        <w:t xml:space="preserve">y se genera un conteo predictivo</w:t>
      </w:r>
      <w:r>
        <w:t xml:space="preserve"> </w:t>
      </w:r>
      <m:oMath>
        <m:sSub>
          <m:e>
            <m:acc>
              <m:accPr>
                <m:chr m:val="̃"/>
              </m:accPr>
              <m:e>
                <m:r>
                  <m:t>Y</m:t>
                </m:r>
              </m:e>
            </m:acc>
          </m:e>
          <m:sub>
            <m:r>
              <m:t>d</m:t>
            </m:r>
          </m:sub>
        </m:sSub>
        <m:r>
          <m:rPr>
            <m:sty m:val="p"/>
          </m:rPr>
          <m:t>∼</m:t>
        </m:r>
        <m:r>
          <m:rPr>
            <m:nor/>
            <m:sty m:val="p"/>
          </m:rPr>
          <m:t>Poisson</m:t>
        </m:r>
        <m:r>
          <m:rPr>
            <m:sty m:val="p"/>
          </m:rPr>
          <m:t>(</m:t>
        </m:r>
        <m:sSub>
          <m:e>
            <m:acc>
              <m:accPr>
                <m:chr m:val="̃"/>
              </m:accPr>
              <m:e>
                <m:r>
                  <m:t>δ</m:t>
                </m:r>
              </m:e>
            </m:acc>
          </m:e>
          <m:sub>
            <m:r>
              <m:t>d</m:t>
            </m:r>
          </m:sub>
        </m:sSub>
        <m:r>
          <m:rPr>
            <m:sty m:val="p"/>
          </m:rPr>
          <m:t>⋅</m:t>
        </m:r>
        <m:sSub>
          <m:e>
            <m:r>
              <m:t>V</m:t>
            </m:r>
          </m:e>
          <m:sub>
            <m:r>
              <m:t>d</m:t>
            </m:r>
          </m:sub>
        </m:sSub>
        <m:r>
          <m:rPr>
            <m:sty m:val="p"/>
          </m:rPr>
          <m:t>)</m:t>
        </m:r>
      </m:oMath>
      <w:r>
        <w:t xml:space="preserve">. Este bloque se ejecuta una vez por muestra de la distribución posterior, de modo que la colección de matrices</w:t>
      </w:r>
      <w:r>
        <w:t xml:space="preserve"> </w:t>
      </w:r>
      <w:r>
        <w:rPr>
          <w:rStyle w:val="VerbatimChar"/>
        </w:rPr>
        <w:t xml:space="preserve">Y_tot</w:t>
      </w:r>
      <w:r>
        <w:t xml:space="preserve"> </w:t>
      </w:r>
      <w:r>
        <w:t xml:space="preserve">y</w:t>
      </w:r>
      <w:r>
        <w:t xml:space="preserve"> </w:t>
      </w:r>
      <w:r>
        <w:rPr>
          <w:rStyle w:val="VerbatimChar"/>
        </w:rPr>
        <w:t xml:space="preserve">densidad_hat</w:t>
      </w:r>
      <w:r>
        <w:t xml:space="preserve"> </w:t>
      </w:r>
      <w:r>
        <w:t xml:space="preserve">a lo largo de las</w:t>
      </w:r>
      <w:r>
        <w:t xml:space="preserve"> </w:t>
      </w:r>
      <m:oMath>
        <m:r>
          <m:t>T</m:t>
        </m:r>
      </m:oMath>
      <w:r>
        <w:t xml:space="preserve"> </w:t>
      </w:r>
      <w:r>
        <w:t xml:space="preserve">iteraciones constituye directamente la distribución predictiva posterior. Adicionalmente, el bloque calcula el vector</w:t>
      </w:r>
      <w:r>
        <w:t xml:space="preserve"> </w:t>
      </w:r>
      <w:r>
        <w:rPr>
          <w:rStyle w:val="VerbatimChar"/>
        </w:rPr>
        <w:t xml:space="preserve">log_lik</w:t>
      </w:r>
      <w:r>
        <w:t xml:space="preserve"> </w:t>
      </w:r>
      <w:r>
        <w:t xml:space="preserve">con la log-verosimilitud puntual de Poisson evaluada en cada segmento observado —</w:t>
      </w:r>
      <m:oMath>
        <m:r>
          <m:rPr>
            <m:sty m:val="p"/>
          </m:rPr>
          <m:t>log</m:t>
        </m:r>
        <m:r>
          <m:t>p</m:t>
        </m:r>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oMath>
      <w:r>
        <w:t xml:space="preserve"> </w:t>
      </w:r>
      <w:r>
        <w:t xml:space="preserve">para</w:t>
      </w:r>
      <w:r>
        <w:t xml:space="preserve"> </w:t>
      </w:r>
      <m:oMath>
        <m:r>
          <m:t>i</m:t>
        </m:r>
        <m:r>
          <m:rPr>
            <m:sty m:val="p"/>
          </m:rPr>
          <m:t>∈</m:t>
        </m:r>
        <m:sSub>
          <m:e>
            <m:r>
              <m:rPr>
                <m:scr m:val="script"/>
                <m:sty m:val="p"/>
              </m:rPr>
              <m:t>S</m:t>
            </m:r>
          </m:e>
          <m:sub>
            <m:r>
              <m:t>o</m:t>
            </m:r>
            <m:r>
              <m:t>b</m:t>
            </m:r>
            <m:r>
              <m:t>s</m:t>
            </m:r>
          </m:sub>
        </m:sSub>
      </m:oMath>
      <w:r>
        <w:t xml:space="preserve">—, requerido posteriormente para el cálculo de los criterios LOO y WAIC.</w:t>
      </w:r>
    </w:p>
    <w:bookmarkEnd w:id="83"/>
    <w:bookmarkStart w:id="84" w:name="X003c96f4662688b2f63936f52b6563f5a39595b"/>
    <w:p>
      <w:pPr>
        <w:pStyle w:val="Heading3"/>
      </w:pPr>
      <w:r>
        <w:rPr>
          <w:rStyle w:val="SectionNumber"/>
        </w:rPr>
        <w:t xml:space="preserve">5.1.4</w:t>
      </w:r>
      <w:r>
        <w:tab/>
      </w:r>
      <w:r>
        <w:t xml:space="preserve">Configuración de cadenas, muestras e iteraciones</w:t>
      </w:r>
    </w:p>
    <w:p>
      <w:pPr>
        <w:pStyle w:val="FirstParagraph"/>
      </w:pPr>
      <w:r>
        <w:t xml:space="preserve">La ejecución del modelo Stan desde R requiere configurar cuatro parámetros principales: el número de cadenas, el número de iteraciones totales, el número de iteraciones de calentamiento y los parámetros de control del algoritmo</w:t>
      </w:r>
      <w:r>
        <w:t xml:space="preserve"> </w:t>
      </w:r>
      <w:r>
        <w:t xml:space="preserve">(</w:t>
      </w:r>
      <w:hyperlink w:anchor="ref-Gelman2013">
        <w:r>
          <w:rPr>
            <w:rStyle w:val="Hyperlink"/>
          </w:rPr>
          <w:t xml:space="preserve">Gelman et al. 2013, cap. 11</w:t>
        </w:r>
      </w:hyperlink>
      <w:r>
        <w:t xml:space="preserve">)</w:t>
      </w:r>
      <w:r>
        <w:t xml:space="preserve">:</w:t>
      </w:r>
    </w:p>
    <w:p>
      <w:pPr>
        <w:pStyle w:val="SourceCode"/>
      </w:pPr>
      <w:r>
        <w:rPr>
          <w:rStyle w:val="FunctionTok"/>
        </w:rPr>
        <w:t xml:space="preserve">library</w:t>
      </w:r>
      <w:r>
        <w:rPr>
          <w:rStyle w:val="NormalTok"/>
        </w:rPr>
        <w:t xml:space="preserve">(rstan)</w:t>
      </w:r>
      <w:r>
        <w:br/>
      </w:r>
      <w:r>
        <w:rPr>
          <w:rStyle w:val="FunctionTok"/>
        </w:rPr>
        <w:t xml:space="preserve">library</w:t>
      </w:r>
      <w:r>
        <w:rPr>
          <w:rStyle w:val="NormalTok"/>
        </w:rPr>
        <w:t xml:space="preserve">(bayesplot)</w:t>
      </w:r>
      <w:r>
        <w:br/>
      </w:r>
      <w:r>
        <w:rPr>
          <w:rStyle w:val="FunctionTok"/>
        </w:rPr>
        <w:t xml:space="preserve">library</w:t>
      </w:r>
      <w:r>
        <w:rPr>
          <w:rStyle w:val="NormalTok"/>
        </w:rPr>
        <w:t xml:space="preserve">(loo)</w:t>
      </w:r>
      <w:r>
        <w:br/>
      </w:r>
      <w:r>
        <w:br/>
      </w:r>
      <w:r>
        <w:rPr>
          <w:rStyle w:val="CommentTok"/>
        </w:rPr>
        <w:t xml:space="preserve"># Habilitar paralelización y caché de modelos compilados</w:t>
      </w:r>
      <w:r>
        <w:br/>
      </w:r>
      <w:r>
        <w:rPr>
          <w:rStyle w:val="FunctionTok"/>
        </w:rPr>
        <w:t xml:space="preserve">options</w:t>
      </w:r>
      <w:r>
        <w:rPr>
          <w:rStyle w:val="NormalTok"/>
        </w:rPr>
        <w:t xml:space="preserve">(</w:t>
      </w:r>
      <w:r>
        <w:rPr>
          <w:rStyle w:val="AttributeTok"/>
        </w:rPr>
        <w:t xml:space="preserve">mc.cores =</w:t>
      </w:r>
      <w:r>
        <w:rPr>
          <w:rStyle w:val="NormalTok"/>
        </w:rPr>
        <w:t xml:space="preserve"> parallel</w:t>
      </w:r>
      <w:r>
        <w:rPr>
          <w:rStyle w:val="SpecialCharTok"/>
        </w:rPr>
        <w:t xml:space="preserve">::</w:t>
      </w:r>
      <w:r>
        <w:rPr>
          <w:rStyle w:val="FunctionTok"/>
        </w:rPr>
        <w:t xml:space="preserve">detectCores</w:t>
      </w:r>
      <w:r>
        <w:rPr>
          <w:rStyle w:val="NormalTok"/>
        </w:rPr>
        <w:t xml:space="preserve">())</w:t>
      </w:r>
      <w:r>
        <w:br/>
      </w:r>
      <w:r>
        <w:rPr>
          <w:rStyle w:val="NormalTok"/>
        </w:rPr>
        <w:t xml:space="preserve">rstan</w:t>
      </w:r>
      <w:r>
        <w:rPr>
          <w:rStyle w:val="SpecialCharTok"/>
        </w:rPr>
        <w:t xml:space="preserve">::</w:t>
      </w:r>
      <w:r>
        <w:rPr>
          <w:rStyle w:val="FunctionTok"/>
        </w:rPr>
        <w:t xml:space="preserve">rstan_options</w:t>
      </w:r>
      <w:r>
        <w:rPr>
          <w:rStyle w:val="NormalTok"/>
        </w:rPr>
        <w:t xml:space="preserve">(</w:t>
      </w:r>
      <w:r>
        <w:rPr>
          <w:rStyle w:val="AttributeTok"/>
        </w:rPr>
        <w:t xml:space="preserve">auto_write =</w:t>
      </w:r>
      <w:r>
        <w:rPr>
          <w:rStyle w:val="NormalTok"/>
        </w:rPr>
        <w:t xml:space="preserve"> </w:t>
      </w:r>
      <w:r>
        <w:rPr>
          <w:rStyle w:val="ConstantTok"/>
        </w:rPr>
        <w:t xml:space="preserve">TRUE</w:t>
      </w:r>
      <w:r>
        <w:rPr>
          <w:rStyle w:val="NormalTok"/>
        </w:rPr>
        <w:t xml:space="preserve">)</w:t>
      </w:r>
      <w:r>
        <w:br/>
      </w:r>
      <w:r>
        <w:br/>
      </w:r>
      <w:r>
        <w:rPr>
          <w:rStyle w:val="CommentTok"/>
        </w:rPr>
        <w:t xml:space="preserve"># Ajustar el modelo</w:t>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"00_function/Modelo_ECLAC_V02_fin.stan"</w:t>
      </w:r>
      <w:r>
        <w:rPr>
          <w:rStyle w:val="NormalTok"/>
        </w:rPr>
        <w:t xml:space="preserve">,</w:t>
      </w:r>
      <w:r>
        <w:br/>
      </w:r>
      <w:r>
        <w:rPr>
          <w:rStyle w:val="NormalTok"/>
        </w:rPr>
        <w:t xml:space="preserve">  </w:t>
      </w:r>
      <w:r>
        <w:rPr>
          <w:rStyle w:val="AttributeTok"/>
        </w:rPr>
        <w:t xml:space="preserve">data    =</w:t>
      </w:r>
      <w:r>
        <w:rPr>
          <w:rStyle w:val="NormalTok"/>
        </w:rPr>
        <w:t xml:space="preserve"> list_par,</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w:t>
      </w:r>
    </w:p>
    <w:p>
      <w:pPr>
        <w:pStyle w:val="FirstParagraph"/>
      </w:pPr>
      <w:r>
        <w:t xml:space="preserve">El parámetro</w:t>
      </w:r>
      <w:r>
        <w:t xml:space="preserve"> </w:t>
      </w:r>
      <w:r>
        <w:rPr>
          <w:rStyle w:val="VerbatimChar"/>
        </w:rPr>
        <w:t xml:space="preserve">iter</w:t>
      </w:r>
      <w:r>
        <w:t xml:space="preserve"> </w:t>
      </w:r>
      <w:r>
        <w:t xml:space="preserve">fija el número total de iteraciones por cadena, incluyendo el calentamiento. De las 2 000 iteraciones totales por cadena, 1 500 corresponden a la fase de calentamiento y 500 a la fase de inferencia. Con 4 cadenas en paralelo, el conjunto de muestras útiles comprende</w:t>
      </w:r>
      <w:r>
        <w:t xml:space="preserve"> </w:t>
      </w:r>
      <m:oMath>
        <m:r>
          <m:t>4</m:t>
        </m:r>
        <m:r>
          <m:rPr>
            <m:sty m:val="p"/>
          </m:rPr>
          <m:t>×</m:t>
        </m:r>
        <m:r>
          <m:t>500</m:t>
        </m:r>
        <m:r>
          <m:rPr>
            <m:sty m:val="p"/>
          </m:rPr>
          <m:t>=</m:t>
        </m:r>
        <m:r>
          <m:t>2</m:t>
        </m:r>
        <m:r>
          <m:t> </m:t>
        </m:r>
        <m:r>
          <m:t>000</m:t>
        </m:r>
      </m:oMath>
      <w:r>
        <w:t xml:space="preserve"> </w:t>
      </w:r>
      <w:r>
        <w:t xml:space="preserve">muestras de la distribución posterior. En aplicaciones censales con alta dimensión latente —</w:t>
      </w:r>
      <m:oMath>
        <m:sSub>
          <m:e>
            <m:r>
              <m:t>D</m:t>
            </m:r>
          </m:e>
          <m:sub>
            <m:r>
              <m:t>o</m:t>
            </m:r>
            <m:r>
              <m:t>b</m:t>
            </m:r>
            <m:r>
              <m:t>s</m:t>
            </m:r>
          </m:sub>
        </m:sSub>
      </m:oMath>
      <w:r>
        <w:t xml:space="preserve"> </w:t>
      </w:r>
      <w:r>
        <w:t xml:space="preserve">del orden de miles de segmentos— esta configuración es un punto de partida razonable que puede refinarse en función de los diagnósticos de convergencia descritos en el capítulo siguiente.</w:t>
      </w:r>
    </w:p>
    <w:p>
      <w:pPr>
        <w:pStyle w:val="BodyText"/>
      </w:pPr>
      <w:r>
        <w:t xml:space="preserve">El uso de múltiples cadenas independientes, iniciadas desde puntos dispersos del espacio paramétrico, es una práctica estándar en inferencia MCMC</w:t>
      </w:r>
      <w:r>
        <w:t xml:space="preserve"> </w:t>
      </w:r>
      <w:r>
        <w:t xml:space="preserve">(</w:t>
      </w:r>
      <w:hyperlink w:anchor="ref-Gelman1992">
        <w:r>
          <w:rPr>
            <w:rStyle w:val="Hyperlink"/>
          </w:rPr>
          <w:t xml:space="preserve">Gelman y Rubin 1992</w:t>
        </w:r>
      </w:hyperlink>
      <w:r>
        <w:t xml:space="preserve">)</w:t>
      </w:r>
      <w:r>
        <w:t xml:space="preserve">. La comparación entre cadenas permite detectar problemas de convergencia que una cadena única no puede revelar: si todas las cadenas convergen a la misma región de alta densidad posterior, existe mayor confianza en que están explorando adecuadamente la distribución objetivo. El diagnóstico formal basado en la comparación de varianza entre cadenas e intra-cadena, el estadístico</w:t>
      </w:r>
      <w:r>
        <w:t xml:space="preserve"> </w:t>
      </w:r>
      <m:oMath>
        <m:acc>
          <m:accPr>
            <m:chr m:val="̂"/>
          </m:accPr>
          <m:e>
            <m:r>
              <m:t>R</m:t>
            </m:r>
          </m:e>
        </m:acc>
      </m:oMath>
      <w:r>
        <w:t xml:space="preserve"> </w:t>
      </w:r>
      <w:r>
        <w:t xml:space="preserve">(</w:t>
      </w:r>
      <w:hyperlink w:anchor="ref-Gelman1992">
        <w:r>
          <w:rPr>
            <w:rStyle w:val="Hyperlink"/>
          </w:rPr>
          <w:t xml:space="preserve">Gelman y Rubin 1992</w:t>
        </w:r>
      </w:hyperlink>
      <w:r>
        <w:t xml:space="preserve">;</w:t>
      </w:r>
      <w:r>
        <w:t xml:space="preserve"> </w:t>
      </w:r>
      <w:hyperlink w:anchor="ref-Vehtari2021">
        <w:r>
          <w:rPr>
            <w:rStyle w:val="Hyperlink"/>
          </w:rPr>
          <w:t xml:space="preserve">Vehtari et al. 2021</w:t>
        </w:r>
      </w:hyperlink>
      <w:r>
        <w:t xml:space="preserve">)</w:t>
      </w:r>
      <w:r>
        <w:t xml:space="preserve">, cuyo fundamento matemático se documenta en dichas referencias, se reporta de forma sistemática junto con el tamaño efectivo de muestra en el resumen posterior presentado en la sección siguiente.</w:t>
      </w:r>
    </w:p>
    <w:p>
      <w:pPr>
        <w:pStyle w:val="BodyText"/>
      </w:pPr>
      <w:r>
        <w:t xml:space="preserve">La fase de calentamiento cumple tres funciones en Stan. Primera: el algoritmo NUTS ajusta adaptativamente el tamaño de paso</w:t>
      </w:r>
      <w:r>
        <w:t xml:space="preserve"> </w:t>
      </w:r>
      <m:oMath>
        <m:r>
          <m:t>ε</m:t>
        </m:r>
      </m:oMath>
      <w:r>
        <w:t xml:space="preserve"> </w:t>
      </w:r>
      <w:r>
        <w:t xml:space="preserve">para alcanzar la tasa de aceptación objetivo. Segunda: se estima la matriz de masa</w:t>
      </w:r>
      <w:r>
        <w:t xml:space="preserve"> </w:t>
      </w:r>
      <m:oMath>
        <m:r>
          <m:t>M</m:t>
        </m:r>
      </m:oMath>
      <w:r>
        <w:t xml:space="preserve"> </w:t>
      </w:r>
      <w:r>
        <w:t xml:space="preserve">que actúa como métrica del espacio parametral; Stan utiliza por defecto una métrica euclidiana diagonal cuyos elementos se estiman a partir de la varianza empírica de las muestras de calentamiento. Tercera: la cadena se aproxima a la región de alta densidad posterior, descartando las muestras iniciales que pueden estar lejos del modo. Las muestras de la fase de calentamiento no son utilizables para inferencia porque los hiperparámetros del algoritmo aún están siendo ajustados.</w:t>
      </w:r>
    </w:p>
    <w:p>
      <w:pPr>
        <w:pStyle w:val="BodyText"/>
      </w:pPr>
      <w:r>
        <w:t xml:space="preserve">El parámetro</w:t>
      </w:r>
      <w:r>
        <w:t xml:space="preserve"> </w:t>
      </w:r>
      <w:r>
        <w:rPr>
          <w:rStyle w:val="VerbatimChar"/>
        </w:rPr>
        <w:t xml:space="preserve">max_treedepth = 15</w:t>
      </w:r>
      <w:r>
        <w:t xml:space="preserve"> </w:t>
      </w:r>
      <w:r>
        <w:t xml:space="preserve">controla la profundidad máxima del árbol binomial que construye NUTS en cada iteración. Un árbol de profundidad</w:t>
      </w:r>
      <w:r>
        <w:t xml:space="preserve"> </w:t>
      </w:r>
      <m:oMath>
        <m:r>
          <m:t>L</m:t>
        </m:r>
      </m:oMath>
      <w:r>
        <w:t xml:space="preserve"> </w:t>
      </w:r>
      <w:r>
        <w:t xml:space="preserve">equivale a</w:t>
      </w:r>
      <w:r>
        <w:t xml:space="preserve"> </w:t>
      </w:r>
      <m:oMath>
        <m:sSup>
          <m:e>
            <m:r>
              <m:t>2</m:t>
            </m:r>
          </m:e>
          <m:sup>
            <m:r>
              <m:t>L</m:t>
            </m:r>
          </m:sup>
        </m:sSup>
      </m:oMath>
      <w:r>
        <w:t xml:space="preserve"> </w:t>
      </w:r>
      <w:r>
        <w:t xml:space="preserve">evaluaciones del leapfrog, lo que permite trayectorias de gran alcance en distribuciones posteriores con geometría compleja. El valor por defecto en Stan es 10; aumentarlo a 15 es recomendable en modelos con alta dimensionalidad latente o correlaciones posteriores fuertes, al costo de mayor tiempo de cómputo por iteración. Si durante la ejecución Stan registra advertencias de tipo</w:t>
      </w:r>
      <w:r>
        <w:t xml:space="preserve"> </w:t>
      </w:r>
      <w:r>
        <w:rPr>
          <w:rStyle w:val="VerbatimChar"/>
        </w:rPr>
        <w:t xml:space="preserve">maximum treedepth exceeded</w:t>
      </w:r>
      <w:r>
        <w:t xml:space="preserve">, se debe aumentar este parámetro o revisar la parametrización del modelo.</w:t>
      </w:r>
    </w:p>
    <w:bookmarkEnd w:id="84"/>
    <w:bookmarkStart w:id="85" w:name="Xd1f0f7a7fdf736f7e58777967d2d1033109dfbe"/>
    <w:p>
      <w:pPr>
        <w:pStyle w:val="Heading3"/>
      </w:pPr>
      <w:r>
        <w:rPr>
          <w:rStyle w:val="SectionNumber"/>
        </w:rPr>
        <w:t xml:space="preserve">5.1.5</w:t>
      </w:r>
      <w:r>
        <w:tab/>
      </w:r>
      <w:r>
        <w:t xml:space="preserve">Paralelización y eficiencia computacional</w:t>
      </w:r>
    </w:p>
    <w:p>
      <w:pPr>
        <w:pStyle w:val="FirstParagraph"/>
      </w:pPr>
      <w:r>
        <w:t xml:space="preserve">La línea</w:t>
      </w:r>
      <w:r>
        <w:t xml:space="preserve"> </w:t>
      </w:r>
      <w:r>
        <w:rPr>
          <w:rStyle w:val="VerbatimChar"/>
        </w:rPr>
        <w:t xml:space="preserve">options(mc.cores = parallel::detectCores())</w:t>
      </w:r>
      <w:r>
        <w:t xml:space="preserve"> </w:t>
      </w:r>
      <w:r>
        <w:t xml:space="preserve">configura la ejecución de las cuatro cadenas en paralelo, utilizando tantos núcleos del procesador como estén disponibles. La opción</w:t>
      </w:r>
      <w:r>
        <w:t xml:space="preserve"> </w:t>
      </w:r>
      <w:r>
        <w:rPr>
          <w:rStyle w:val="VerbatimChar"/>
        </w:rPr>
        <w:t xml:space="preserve">rstan_options(auto_write = TRUE)</w:t>
      </w:r>
      <w:r>
        <w:t xml:space="preserve"> </w:t>
      </w:r>
      <w:r>
        <w:t xml:space="preserve">permite que Stan almacene en disco el modelo compilado en C++, de modo que sucesivas ejecuciones del mismo modelo reutilizan el código compilado y evitan el tiempo de compilación —que puede ser de 30 a 90 segundos según la complejidad del modelo— en cada llamada a</w:t>
      </w:r>
      <w:r>
        <w:t xml:space="preserve"> </w:t>
      </w:r>
      <w:r>
        <w:rPr>
          <w:rStyle w:val="VerbatimChar"/>
        </w:rPr>
        <w:t xml:space="preserve">stan()</w:t>
      </w:r>
      <w:r>
        <w:t xml:space="preserve">.</w:t>
      </w:r>
    </w:p>
    <w:p>
      <w:pPr>
        <w:pStyle w:val="BodyText"/>
      </w:pPr>
      <w:r>
        <w:t xml:space="preserve">En aplicaciones con</w:t>
      </w:r>
      <w:r>
        <w:t xml:space="preserve"> </w:t>
      </w:r>
      <m:oMath>
        <m:sSub>
          <m:e>
            <m:r>
              <m:t>D</m:t>
            </m:r>
          </m:e>
          <m:sub>
            <m:r>
              <m:t>o</m:t>
            </m:r>
            <m:r>
              <m:t>b</m:t>
            </m:r>
            <m:r>
              <m:t>s</m:t>
            </m:r>
          </m:sub>
        </m:sSub>
      </m:oMath>
      <w:r>
        <w:t xml:space="preserve"> </w:t>
      </w:r>
      <w:r>
        <w:t xml:space="preserve">del orden de varios miles de segmentos, el costo computacional dominante por iteración proviene de la evaluación del gradiente del logaritmo de la distribución conjunta respecto a los parámetros latentes</w:t>
      </w:r>
      <w:r>
        <w:t xml:space="preserve"> </w:t>
      </w:r>
      <m:oMath>
        <m:r>
          <m:rPr>
            <m:sty m:val="b"/>
          </m:rPr>
          <m:t>δ</m:t>
        </m:r>
      </m:oMath>
      <w:r>
        <w:t xml:space="preserve">. Stan calcula estos gradientes mediante diferenciación automática sobre el grafo computacional del modelo</w:t>
      </w:r>
      <w:r>
        <w:t xml:space="preserve"> </w:t>
      </w:r>
      <w:r>
        <w:t xml:space="preserve">(</w:t>
      </w:r>
      <w:hyperlink w:anchor="ref-Carpenter2017">
        <w:r>
          <w:rPr>
            <w:rStyle w:val="Hyperlink"/>
          </w:rPr>
          <w:t xml:space="preserve">Carpenter et al. 2017</w:t>
        </w:r>
      </w:hyperlink>
      <w:r>
        <w:t xml:space="preserve">)</w:t>
      </w:r>
      <w:r>
        <w:t xml:space="preserve">, lo que garantiza gradientes exactos al costo de un factor constante —típicamente entre 2 y 5— sobre el tiempo de evaluación de la log-densidad.</w:t>
      </w:r>
    </w:p>
    <w:p>
      <w:pPr>
        <w:pStyle w:val="BodyText"/>
      </w:pPr>
      <w:r>
        <w:t xml:space="preserve">El manejo de memoria es relevante cuando el bloque</w:t>
      </w:r>
      <w:r>
        <w:t xml:space="preserve"> </w:t>
      </w:r>
      <w:r>
        <w:rPr>
          <w:rStyle w:val="VerbatimChar"/>
        </w:rPr>
        <w:t xml:space="preserve">generated quantities</w:t>
      </w:r>
      <w:r>
        <w:t xml:space="preserve"> </w:t>
      </w:r>
      <w:r>
        <w:t xml:space="preserve">genera matrices de predicción de dimensión</w:t>
      </w:r>
      <w:r>
        <w:t xml:space="preserve"> </w:t>
      </w:r>
      <m:oMath>
        <m:sSub>
          <m:e>
            <m:r>
              <m:t>D</m:t>
            </m:r>
          </m:e>
          <m:sub>
            <m:r>
              <m:t>t</m:t>
            </m:r>
            <m:r>
              <m:t>o</m:t>
            </m:r>
            <m:r>
              <m:t>t</m:t>
            </m:r>
          </m:sub>
        </m:sSub>
        <m:r>
          <m:rPr>
            <m:sty m:val="p"/>
          </m:rPr>
          <m:t>×</m:t>
        </m:r>
        <m:r>
          <m:t>T</m:t>
        </m:r>
      </m:oMath>
      <w:r>
        <w:t xml:space="preserve">. Es recomendable guardar el objeto Stan en disco inmediatamente tras la ejecución para evitar recomputaciones:</w:t>
      </w:r>
    </w:p>
    <w:p>
      <w:pPr>
        <w:pStyle w:val="SourceCode"/>
      </w:pPr>
      <w:r>
        <w:rPr>
          <w:rStyle w:val="CommentTok"/>
        </w:rPr>
        <w:t xml:space="preserve"># Guardar el objeto ajustado</w:t>
      </w:r>
      <w:r>
        <w:br/>
      </w:r>
      <w:r>
        <w:rPr>
          <w:rStyle w:val="FunctionTok"/>
        </w:rPr>
        <w:t xml:space="preserve">saveRDS</w:t>
      </w:r>
      <w:r>
        <w:rPr>
          <w:rStyle w:val="NormalTok"/>
        </w:rPr>
        <w:t xml:space="preserve">(stan_model,</w:t>
      </w:r>
      <w:r>
        <w:br/>
      </w:r>
      <w:r>
        <w:rPr>
          <w:rStyle w:val="NormalTok"/>
        </w:rPr>
        <w:t xml:space="preserve">        </w:t>
      </w:r>
      <w:r>
        <w:rPr>
          <w:rStyle w:val="AttributeTok"/>
        </w:rPr>
        <w:t xml:space="preserve">file =</w:t>
      </w:r>
      <w:r>
        <w:rPr>
          <w:rStyle w:val="NormalTok"/>
        </w:rPr>
        <w:t xml:space="preserve"> </w:t>
      </w:r>
      <w:r>
        <w:rPr>
          <w:rStyle w:val="StringTok"/>
        </w:rPr>
        <w:t xml:space="preserve">"Data/modelo/fit_pob_bayes_lognormal.rds"</w:t>
      </w:r>
      <w:r>
        <w:rPr>
          <w:rStyle w:val="NormalTok"/>
        </w:rPr>
        <w:t xml:space="preserve">)</w:t>
      </w:r>
      <w:r>
        <w:br/>
      </w:r>
      <w:r>
        <w:br/>
      </w:r>
      <w:r>
        <w:rPr>
          <w:rStyle w:val="CommentTok"/>
        </w:rPr>
        <w:t xml:space="preserve"># Cargar para análisis posteriores sin reejecutar el modelo</w:t>
      </w:r>
      <w:r>
        <w:br/>
      </w:r>
      <w:r>
        <w:rPr>
          <w:rStyle w:val="NormalTok"/>
        </w:rPr>
        <w:t xml:space="preserve">stan_model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"Data/modelo/fit_pob_bayes_lognormal.rds"</w:t>
      </w:r>
      <w:r>
        <w:rPr>
          <w:rStyle w:val="NormalTok"/>
        </w:rPr>
        <w:t xml:space="preserve">)</w:t>
      </w:r>
    </w:p>
    <w:bookmarkEnd w:id="85"/>
    <w:bookmarkEnd w:id="86"/>
    <w:bookmarkStart w:id="93" w:name="distribución-posterior-y-estimaciones"/>
    <w:p>
      <w:pPr>
        <w:pStyle w:val="Heading2"/>
      </w:pPr>
      <w:r>
        <w:rPr>
          <w:rStyle w:val="SectionNumber"/>
        </w:rPr>
        <w:t xml:space="preserve">5.2</w:t>
      </w:r>
      <w:r>
        <w:tab/>
      </w:r>
      <w:r>
        <w:t xml:space="preserve">Distribución posterior y estimaciones</w:t>
      </w:r>
    </w:p>
    <w:bookmarkStart w:id="87" w:name="Xd86f0805791a62e5e2e57bc949d574942c6b7be"/>
    <w:p>
      <w:pPr>
        <w:pStyle w:val="Heading3"/>
      </w:pPr>
      <w:r>
        <w:rPr>
          <w:rStyle w:val="SectionNumber"/>
        </w:rPr>
        <w:t xml:space="preserve">5.2.1</w:t>
      </w:r>
      <w:r>
        <w:tab/>
      </w:r>
      <w:r>
        <w:t xml:space="preserve">Estimaciones puntuales y resumen posterior</w:t>
      </w:r>
    </w:p>
    <w:p>
      <w:pPr>
        <w:pStyle w:val="FirstParagraph"/>
      </w:pPr>
      <w:r>
        <w:t xml:space="preserve">Una vez obtenidas las muestras de la distribución posterior, el objeto</w:t>
      </w:r>
      <w:r>
        <w:t xml:space="preserve"> </w:t>
      </w:r>
      <w:r>
        <w:rPr>
          <w:rStyle w:val="VerbatimChar"/>
        </w:rPr>
        <w:t xml:space="preserve">stan_model</w:t>
      </w:r>
      <w:r>
        <w:t xml:space="preserve"> </w:t>
      </w:r>
      <w:r>
        <w:t xml:space="preserve">generado por</w:t>
      </w:r>
      <w:r>
        <w:t xml:space="preserve"> </w:t>
      </w:r>
      <w:r>
        <w:rPr>
          <w:rStyle w:val="VerbatimChar"/>
        </w:rPr>
        <w:t xml:space="preserve">rstan::stan()</w:t>
      </w:r>
      <w:r>
        <w:t xml:space="preserve"> </w:t>
      </w:r>
      <w:r>
        <w:t xml:space="preserve">concentra toda la información inferencial del modelo. La función</w:t>
      </w:r>
      <w:r>
        <w:t xml:space="preserve"> </w:t>
      </w:r>
      <w:r>
        <w:rPr>
          <w:rStyle w:val="VerbatimChar"/>
        </w:rPr>
        <w:t xml:space="preserve">summary()</w:t>
      </w:r>
      <w:r>
        <w:t xml:space="preserve"> </w:t>
      </w:r>
      <w:r>
        <w:t xml:space="preserve">extrae para cada parámetro las estadísticas de resumen posterior más relevantes: media, error estándar de Monte Carlo, desviación estándar, percentiles y los diagnósticos de convergencia</w:t>
      </w:r>
      <w:r>
        <w:t xml:space="preserve"> </w:t>
      </w:r>
      <m:oMath>
        <m:acc>
          <m:accPr>
            <m:chr m:val="̂"/>
          </m:accPr>
          <m:e>
            <m:r>
              <m:t>R</m:t>
            </m:r>
          </m:e>
        </m:acc>
      </m:oMath>
      <w:r>
        <w:t xml:space="preserve"> </w:t>
      </w:r>
      <w:r>
        <w:t xml:space="preserve">(</w:t>
      </w:r>
      <w:hyperlink w:anchor="ref-Vehtari2021">
        <w:r>
          <w:rPr>
            <w:rStyle w:val="Hyperlink"/>
          </w:rPr>
          <w:t xml:space="preserve">Vehtari et al. 2021</w:t>
        </w:r>
      </w:hyperlink>
      <w:r>
        <w:t xml:space="preserve">)</w:t>
      </w:r>
      <w:r>
        <w:t xml:space="preserve"> </w:t>
      </w:r>
      <w:r>
        <w:t xml:space="preserve">y tamaño efectivo de muestra</w:t>
      </w:r>
      <w:r>
        <w:t xml:space="preserve"> </w:t>
      </w:r>
      <w:r>
        <w:t xml:space="preserve">(</w:t>
      </w:r>
      <w:hyperlink w:anchor="ref-Gelman1992">
        <w:r>
          <w:rPr>
            <w:rStyle w:val="Hyperlink"/>
          </w:rPr>
          <w:t xml:space="preserve">Gelman y Rubin 1992</w:t>
        </w:r>
      </w:hyperlink>
      <w:r>
        <w:t xml:space="preserve">)</w:t>
      </w:r>
      <w:r>
        <w:t xml:space="preserve">:</w:t>
      </w:r>
    </w:p>
    <w:p>
      <w:pPr>
        <w:pStyle w:val="SourceCode"/>
      </w:pPr>
      <w:r>
        <w:rPr>
          <w:rStyle w:val="CommentTok"/>
        </w:rPr>
        <w:t xml:space="preserve"># Resumen de todos los parámetros</w:t>
      </w:r>
      <w:r>
        <w:br/>
      </w:r>
      <w:r>
        <w:rPr>
          <w:rStyle w:val="NormalTok"/>
        </w:rPr>
        <w:t xml:space="preserve">params </w:t>
      </w:r>
      <w:r>
        <w:rPr>
          <w:rStyle w:val="OtherTok"/>
        </w:rPr>
        <w:t xml:space="preserve">&lt;-</w:t>
      </w:r>
      <w:r>
        <w:rPr>
          <w:rStyle w:val="NormalTok"/>
        </w:rPr>
        <w:t xml:space="preserve"> </w:t>
      </w:r>
      <w:r>
        <w:rPr>
          <w:rStyle w:val="FunctionTok"/>
        </w:rPr>
        <w:t xml:space="preserve">summary</w:t>
      </w:r>
      <w:r>
        <w:rPr>
          <w:rStyle w:val="NormalTok"/>
        </w:rPr>
        <w:t xml:space="preserve">(stan_model)</w:t>
      </w:r>
      <w:r>
        <w:rPr>
          <w:rStyle w:val="SpecialCharTok"/>
        </w:rPr>
        <w:t xml:space="preserve">$</w:t>
      </w:r>
      <w:r>
        <w:rPr>
          <w:rStyle w:val="NormalTok"/>
        </w:rPr>
        <w:t xml:space="preserve">summary</w:t>
      </w:r>
      <w:r>
        <w:br/>
      </w:r>
      <w:r>
        <w:br/>
      </w:r>
      <w:r>
        <w:rPr>
          <w:rStyle w:val="CommentTok"/>
        </w:rPr>
        <w:t xml:space="preserve"># Resumen específico de parámetros de interés</w:t>
      </w:r>
      <w:r>
        <w:br/>
      </w:r>
      <w:r>
        <w:rPr>
          <w:rStyle w:val="NormalTok"/>
        </w:rPr>
        <w:t xml:space="preserve">densidad_obs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w:t>
      </w:r>
      <w:r>
        <w:rPr>
          <w:rStyle w:val="NormalTok"/>
        </w:rPr>
        <w:t xml:space="preserve">)</w:t>
      </w:r>
      <w:r>
        <w:rPr>
          <w:rStyle w:val="SpecialCharTok"/>
        </w:rPr>
        <w:t xml:space="preserve">$</w:t>
      </w:r>
      <w:r>
        <w:rPr>
          <w:rStyle w:val="NormalTok"/>
        </w:rPr>
        <w:t xml:space="preserve">summary</w:t>
      </w:r>
      <w:r>
        <w:br/>
      </w:r>
      <w:r>
        <w:rPr>
          <w:rStyle w:val="NormalTok"/>
        </w:rPr>
        <w:t xml:space="preserve">densidad_pred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"densidad_hat"</w:t>
      </w:r>
      <w:r>
        <w:rPr>
          <w:rStyle w:val="NormalTok"/>
        </w:rPr>
        <w:t xml:space="preserve">)</w:t>
      </w:r>
      <w:r>
        <w:rPr>
          <w:rStyle w:val="SpecialCharTok"/>
        </w:rPr>
        <w:t xml:space="preserve">$</w:t>
      </w:r>
      <w:r>
        <w:rPr>
          <w:rStyle w:val="NormalTok"/>
        </w:rPr>
        <w:t xml:space="preserve">summary</w:t>
      </w:r>
      <w:r>
        <w:br/>
      </w:r>
      <w:r>
        <w:rPr>
          <w:rStyle w:val="NormalTok"/>
        </w:rPr>
        <w:t xml:space="preserve">Y_tot_pred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"Y_tot"</w:t>
      </w:r>
      <w:r>
        <w:rPr>
          <w:rStyle w:val="NormalTok"/>
        </w:rPr>
        <w:t xml:space="preserve">)</w:t>
      </w:r>
      <w:r>
        <w:rPr>
          <w:rStyle w:val="SpecialCharTok"/>
        </w:rPr>
        <w:t xml:space="preserve">$</w:t>
      </w:r>
      <w:r>
        <w:rPr>
          <w:rStyle w:val="NormalTok"/>
        </w:rPr>
        <w:t xml:space="preserve">summary</w:t>
      </w:r>
    </w:p>
    <w:p>
      <w:pPr>
        <w:pStyle w:val="FirstParagraph"/>
      </w:pPr>
      <w:r>
        <w:t xml:space="preserve">Cada fila de estas matrices de resumen corresponde a un parámetro o cantidad generada, y las columnas reportan las siguientes estadísticas: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Columna</w:t>
            </w:r>
          </w:p>
        </w:tc>
        <w:tc>
          <w:tcPr/>
          <w:p>
            <w:pPr>
              <w:pStyle w:val="Compact"/>
            </w:pPr>
            <w:r>
              <w:t xml:space="preserve">Descripción</w:t>
            </w:r>
          </w:p>
        </w:tc>
      </w:tr>
      <w:tr>
        <w:tc>
          <w:tcPr/>
          <w:p>
            <w:pPr>
              <w:pStyle w:val="Compact"/>
            </w:pPr>
            <w:r>
              <w:rPr>
                <w:rStyle w:val="VerbatimChar"/>
              </w:rPr>
              <w:t xml:space="preserve">mean</w:t>
            </w:r>
          </w:p>
        </w:tc>
        <w:tc>
          <w:tcPr/>
          <w:p>
            <w:pPr>
              <w:pStyle w:val="Compact"/>
            </w:pPr>
            <w:r>
              <w:t xml:space="preserve">Media posterior</w:t>
            </w:r>
            <w:r>
              <w:t xml:space="preserve"> </w:t>
            </w:r>
            <m:oMath>
              <m:acc>
                <m:accPr>
                  <m:chr m:val="̂"/>
                </m:accPr>
                <m:e>
                  <m:r>
                    <m:t>θ</m:t>
                  </m:r>
                </m:e>
              </m:acc>
              <m:r>
                <m:rPr>
                  <m:sty m:val="p"/>
                </m:rPr>
                <m:t>=</m:t>
              </m:r>
              <m:r>
                <m:rPr>
                  <m:scr m:val="double-struck"/>
                  <m:sty m:val="p"/>
                </m:rPr>
                <m:t>E</m:t>
              </m:r>
              <m:r>
                <m:rPr>
                  <m:sty m:val="p"/>
                </m:rPr>
                <m:t>[</m:t>
              </m:r>
              <m:r>
                <m:t>θ</m:t>
              </m:r>
              <m:r>
                <m:rPr>
                  <m:sty m:val="p"/>
                </m:rPr>
                <m:t>∣</m:t>
              </m:r>
              <m:r>
                <m:rPr>
                  <m:sty m:val="b"/>
                </m:rPr>
                <m:t>Y</m:t>
              </m:r>
              <m:r>
                <m:rPr>
                  <m:sty m:val="p"/>
                </m:rPr>
                <m:t>]</m:t>
              </m:r>
            </m:oMath>
          </w:p>
        </w:tc>
      </w:tr>
      <w:tr>
        <w:tc>
          <w:tcPr/>
          <w:p>
            <w:pPr>
              <w:pStyle w:val="Compact"/>
            </w:pPr>
            <w:r>
              <w:rPr>
                <w:rStyle w:val="VerbatimChar"/>
              </w:rPr>
              <w:t xml:space="preserve">se_mean</w:t>
            </w:r>
          </w:p>
        </w:tc>
        <w:tc>
          <w:tcPr/>
          <w:p>
            <w:pPr>
              <w:pStyle w:val="Compact"/>
            </w:pPr>
            <w:r>
              <w:t xml:space="preserve">Error estándar de Monte Carlo</w:t>
            </w:r>
            <w:r>
              <w:t xml:space="preserve"> </w:t>
            </w:r>
            <m:oMath>
              <m:sSub>
                <m:e>
                  <m:acc>
                    <m:accPr>
                      <m:chr m:val="̂"/>
                    </m:accPr>
                    <m:e>
                      <m:r>
                        <m:t>σ</m:t>
                      </m:r>
                    </m:e>
                  </m:acc>
                </m:e>
                <m:sub>
                  <m:r>
                    <m:t>θ</m:t>
                  </m:r>
                </m:sub>
              </m:sSub>
              <m:r>
                <m:rPr>
                  <m:sty m:val="p"/>
                </m:rPr>
                <m:t>/</m:t>
              </m:r>
              <m:rad>
                <m:radPr>
                  <m:degHide m:val="on"/>
                </m:radPr>
                <m:deg/>
                <m:e>
                  <m:sSub>
                    <m:e>
                      <m:r>
                        <m:t>n</m:t>
                      </m:r>
                    </m:e>
                    <m:sub>
                      <m:r>
                        <m:t>e</m:t>
                      </m:r>
                      <m:r>
                        <m:t>f</m:t>
                      </m:r>
                      <m:r>
                        <m:t>f</m:t>
                      </m:r>
                    </m:sub>
                  </m:sSub>
                </m:e>
              </m:rad>
            </m:oMath>
          </w:p>
        </w:tc>
      </w:tr>
      <w:tr>
        <w:tc>
          <w:tcPr/>
          <w:p>
            <w:pPr>
              <w:pStyle w:val="Compact"/>
            </w:pPr>
            <w:r>
              <w:rPr>
                <w:rStyle w:val="VerbatimChar"/>
              </w:rPr>
              <w:t xml:space="preserve">sd</w:t>
            </w:r>
          </w:p>
        </w:tc>
        <w:tc>
          <w:tcPr/>
          <w:p>
            <w:pPr>
              <w:pStyle w:val="Compact"/>
            </w:pPr>
            <w:r>
              <w:t xml:space="preserve">Desviación estándar posterior</w:t>
            </w:r>
          </w:p>
        </w:tc>
      </w:tr>
      <w:tr>
        <w:tc>
          <w:tcPr/>
          <w:p>
            <w:pPr>
              <w:pStyle w:val="Compact"/>
            </w:pPr>
            <w:r>
              <w:rPr>
                <w:rStyle w:val="VerbatimChar"/>
              </w:rPr>
              <w:t xml:space="preserve">2.5%</w:t>
            </w:r>
            <w:r>
              <w:t xml:space="preserve">,</w:t>
            </w:r>
            <w:r>
              <w:t xml:space="preserve"> </w:t>
            </w:r>
            <w:r>
              <w:rPr>
                <w:rStyle w:val="VerbatimChar"/>
              </w:rPr>
              <w:t xml:space="preserve">97.5%</w:t>
            </w:r>
          </w:p>
        </w:tc>
        <w:tc>
          <w:tcPr/>
          <w:p>
            <w:pPr>
              <w:pStyle w:val="Compact"/>
            </w:pPr>
            <w:r>
              <w:t xml:space="preserve">Intervalo de credibilidad al 95%</w:t>
            </w:r>
          </w:p>
        </w:tc>
      </w:tr>
      <w:tr>
        <w:tc>
          <w:tcPr/>
          <w:p>
            <w:pPr>
              <w:pStyle w:val="Compact"/>
            </w:pPr>
            <w:r>
              <w:rPr>
                <w:rStyle w:val="VerbatimChar"/>
              </w:rPr>
              <w:t xml:space="preserve">50%</w:t>
            </w:r>
          </w:p>
        </w:tc>
        <w:tc>
          <w:tcPr/>
          <w:p>
            <w:pPr>
              <w:pStyle w:val="Compact"/>
            </w:pPr>
            <w:r>
              <w:t xml:space="preserve">Mediana posterior</w:t>
            </w:r>
          </w:p>
        </w:tc>
      </w:tr>
      <w:tr>
        <w:tc>
          <w:tcPr/>
          <w:p>
            <w:pPr>
              <w:pStyle w:val="Compact"/>
            </w:pPr>
            <w:r>
              <w:rPr>
                <w:rStyle w:val="VerbatimChar"/>
              </w:rPr>
              <w:t xml:space="preserve">n_eff</w:t>
            </w:r>
          </w:p>
        </w:tc>
        <w:tc>
          <w:tcPr/>
          <w:p>
            <w:pPr>
              <w:pStyle w:val="Compact"/>
            </w:pPr>
            <w:r>
              <w:t xml:space="preserve">Tamaño efectivo de muestra</w:t>
            </w:r>
          </w:p>
        </w:tc>
      </w:tr>
      <w:tr>
        <w:tc>
          <w:tcPr/>
          <w:p>
            <w:pPr>
              <w:pStyle w:val="Compact"/>
            </w:pPr>
            <w:r>
              <w:rPr>
                <w:rStyle w:val="VerbatimChar"/>
              </w:rPr>
              <w:t xml:space="preserve">Rhat</w:t>
            </w:r>
          </w:p>
        </w:tc>
        <w:tc>
          <w:tcPr/>
          <w:p>
            <w:pPr>
              <w:pStyle w:val="Compact"/>
            </w:pPr>
            <w:r>
              <w:t xml:space="preserve">Estadístico de convergencia</w:t>
            </w:r>
            <w:r>
              <w:t xml:space="preserve"> </w:t>
            </w:r>
            <m:oMath>
              <m:acc>
                <m:accPr>
                  <m:chr m:val="̂"/>
                </m:accPr>
                <m:e>
                  <m:r>
                    <m:t>R</m:t>
                  </m:r>
                </m:e>
              </m:acc>
            </m:oMath>
          </w:p>
        </w:tc>
      </w:tr>
    </w:tbl>
    <w:p>
      <w:pPr>
        <w:pStyle w:val="BodyText"/>
      </w:pPr>
      <w:r>
        <w:t xml:space="preserve">Para los conteos predichos</w:t>
      </w:r>
      <w:r>
        <w:t xml:space="preserve"> </w:t>
      </w:r>
      <w:r>
        <w:rPr>
          <w:rStyle w:val="VerbatimChar"/>
        </w:rPr>
        <w:t xml:space="preserve">Y_tot</w:t>
      </w:r>
      <w:r>
        <w:t xml:space="preserve">, la media posterior y la mediana posterior constituyen las dos estimaciones puntuales naturales. La media es el estimador de Bayes bajo pérdida cuadrática y suele preferirse para agregaciones. La mediana es el estimador de Bayes bajo pérdida absoluta y es más robusta a colas pesadas de la distribución predictiva</w:t>
      </w:r>
      <w:r>
        <w:t xml:space="preserve"> </w:t>
      </w:r>
      <w:r>
        <w:t xml:space="preserve">(</w:t>
      </w:r>
      <w:hyperlink w:anchor="ref-Gelman2013">
        <w:r>
          <w:rPr>
            <w:rStyle w:val="Hyperlink"/>
          </w:rPr>
          <w:t xml:space="preserve">Gelman et al. 2013</w:t>
        </w:r>
      </w:hyperlink>
      <w:r>
        <w:t xml:space="preserve">)</w:t>
      </w:r>
      <w:r>
        <w:t xml:space="preserve">. La diferencia entre ambas estimaciones a nivel nacional —obtenida con</w:t>
      </w:r>
      <w:r>
        <w:t xml:space="preserve"> </w:t>
      </w:r>
      <w:r>
        <w:rPr>
          <w:rStyle w:val="VerbatimChar"/>
        </w:rPr>
        <w:t xml:space="preserve">sum(Y_tot_pred[, "mean"])</w:t>
      </w:r>
      <w:r>
        <w:t xml:space="preserve"> </w:t>
      </w:r>
      <w:r>
        <w:t xml:space="preserve">y</w:t>
      </w:r>
      <w:r>
        <w:t xml:space="preserve"> </w:t>
      </w:r>
      <w:r>
        <w:rPr>
          <w:rStyle w:val="VerbatimChar"/>
        </w:rPr>
        <w:t xml:space="preserve">sum(Y_tot_pred[, "50%"])</w:t>
      </w:r>
      <w:r>
        <w:t xml:space="preserve"> </w:t>
      </w:r>
      <w:r>
        <w:t xml:space="preserve">respectivamente— cuantifica la asimetría agregada de la distribución predictiva y debe documentarse en los reportes técnicos.</w:t>
      </w:r>
    </w:p>
    <w:bookmarkEnd w:id="87"/>
    <w:bookmarkStart w:id="88" w:name="Xb008346ccde05659a339d52baea313c1527e765"/>
    <w:p>
      <w:pPr>
        <w:pStyle w:val="Heading3"/>
      </w:pPr>
      <w:r>
        <w:rPr>
          <w:rStyle w:val="SectionNumber"/>
        </w:rPr>
        <w:t xml:space="preserve">5.2.2</w:t>
      </w:r>
      <w:r>
        <w:tab/>
      </w:r>
      <w:r>
        <w:t xml:space="preserve">Extracción de muestras e intervalos de credibilidad</w:t>
      </w:r>
    </w:p>
    <w:p>
      <w:pPr>
        <w:pStyle w:val="FirstParagraph"/>
      </w:pPr>
      <w:r>
        <w:t xml:space="preserve">La función</w:t>
      </w:r>
      <w:r>
        <w:t xml:space="preserve"> </w:t>
      </w:r>
      <w:r>
        <w:rPr>
          <w:rStyle w:val="VerbatimChar"/>
        </w:rPr>
        <w:t xml:space="preserve">rstan::extract()</w:t>
      </w:r>
      <w:r>
        <w:t xml:space="preserve"> </w:t>
      </w:r>
      <w:r>
        <w:t xml:space="preserve">extrae las muestras brutas de la distribución posterior en forma de arreglos, lo que permite calcular cualquier funcional que no esté incluido en el resumen estándar:</w:t>
      </w:r>
    </w:p>
    <w:p>
      <w:pPr>
        <w:pStyle w:val="SourceCode"/>
      </w:pPr>
      <w:r>
        <w:rPr>
          <w:rStyle w:val="CommentTok"/>
        </w:rPr>
        <w:t xml:space="preserve"># Extraer muestras posteriores de los parámetros de interés</w:t>
      </w:r>
      <w:r>
        <w:br/>
      </w:r>
      <w:r>
        <w:rPr>
          <w:rStyle w:val="NormalTok"/>
        </w:rPr>
        <w:t xml:space="preserve">posterior_samples </w:t>
      </w:r>
      <w:r>
        <w:rPr>
          <w:rStyle w:val="OtherTok"/>
        </w:rPr>
        <w:t xml:space="preserve">&lt;-</w:t>
      </w:r>
      <w:r>
        <w:rPr>
          <w:rStyle w:val="NormalTok"/>
        </w:rPr>
        <w:t xml:space="preserve"> rstan</w:t>
      </w:r>
      <w:r>
        <w:rPr>
          <w:rStyle w:val="SpecialCharTok"/>
        </w:rPr>
        <w:t xml:space="preserve">::</w:t>
      </w:r>
      <w:r>
        <w:rPr>
          <w:rStyle w:val="FunctionTok"/>
        </w:rPr>
        <w:t xml:space="preserve">extract</w:t>
      </w:r>
      <w:r>
        <w:rPr>
          <w:rStyle w:val="NormalTok"/>
        </w:rPr>
        <w:t xml:space="preserve">(</w:t>
      </w:r>
      <w:r>
        <w:br/>
      </w:r>
      <w:r>
        <w:rPr>
          <w:rStyle w:val="NormalTok"/>
        </w:rPr>
        <w:t xml:space="preserve">  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"densidad"</w:t>
      </w:r>
      <w:r>
        <w:rPr>
          <w:rStyle w:val="NormalTok"/>
        </w:rPr>
        <w:t xml:space="preserve">, </w:t>
      </w:r>
      <w:r>
        <w:rPr>
          <w:rStyle w:val="StringTok"/>
        </w:rPr>
        <w:t xml:space="preserve">"Y_tot"</w:t>
      </w:r>
      <w:r>
        <w:rPr>
          <w:rStyle w:val="NormalTok"/>
        </w:rPr>
        <w:t xml:space="preserve">, </w:t>
      </w:r>
      <w:r>
        <w:rPr>
          <w:rStyle w:val="StringTok"/>
        </w:rPr>
        <w:t xml:space="preserve">"densidad_hat"</w:t>
      </w:r>
      <w:r>
        <w:rPr>
          <w:rStyle w:val="NormalTok"/>
        </w:rPr>
        <w:t xml:space="preserve">)</w:t>
      </w:r>
      <w:r>
        <w:br/>
      </w:r>
      <w:r>
        <w:rPr>
          <w:rStyle w:val="NormalTok"/>
        </w:rPr>
        <w:t xml:space="preserve">)</w:t>
      </w:r>
      <w:r>
        <w:br/>
      </w:r>
      <w:r>
        <w:br/>
      </w:r>
      <w:r>
        <w:rPr>
          <w:rStyle w:val="CommentTok"/>
        </w:rPr>
        <w:t xml:space="preserve"># densidad_post: matriz de dimensión T × D_obs</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br/>
      </w:r>
      <w:r>
        <w:rPr>
          <w:rStyle w:val="CommentTok"/>
        </w:rPr>
        <w:t xml:space="preserve"># Y_tot_samp: matriz de dimensión T × D_tot</w:t>
      </w:r>
      <w:r>
        <w:br/>
      </w:r>
      <w:r>
        <w:rPr>
          <w:rStyle w:val="NormalTok"/>
        </w:rPr>
        <w:t xml:space="preserve">Y_tot_samp </w:t>
      </w:r>
      <w:r>
        <w:rPr>
          <w:rStyle w:val="OtherTok"/>
        </w:rPr>
        <w:t xml:space="preserve">&lt;-</w:t>
      </w:r>
      <w:r>
        <w:rPr>
          <w:rStyle w:val="NormalTok"/>
        </w:rPr>
        <w:t xml:space="preserve"> posterior_samples</w:t>
      </w:r>
      <w:r>
        <w:rPr>
          <w:rStyle w:val="SpecialCharTok"/>
        </w:rPr>
        <w:t xml:space="preserve">$</w:t>
      </w:r>
      <w:r>
        <w:rPr>
          <w:rStyle w:val="NormalTok"/>
        </w:rPr>
        <w:t xml:space="preserve">Y_tot</w:t>
      </w:r>
    </w:p>
    <w:p>
      <w:pPr>
        <w:pStyle w:val="FirstParagraph"/>
      </w:pPr>
      <w:r>
        <w:t xml:space="preserve">El intervalo de credibilidad al 95% para el conteo del segmento</w:t>
      </w:r>
      <w:r>
        <w:t xml:space="preserve"> </w:t>
      </w:r>
      <m:oMath>
        <m:r>
          <m:t>d</m:t>
        </m:r>
      </m:oMath>
      <w:r>
        <w:t xml:space="preserve"> </w:t>
      </w:r>
      <w:r>
        <w:t xml:space="preserve">se calcula como:</w:t>
      </w:r>
    </w:p>
    <w:p>
      <w:pPr>
        <w:pStyle w:val="BodyText"/>
      </w:pPr>
      <m:oMathPara>
        <m:oMathParaPr>
          <m:jc m:val="center"/>
        </m:oMathParaPr>
        <m:oMath>
          <m:sSub>
            <m:e>
              <m:r>
                <m:rPr>
                  <m:nor/>
                  <m:sty m:val="p"/>
                </m:rPr>
                <m:t>IC</m:t>
              </m:r>
            </m:e>
            <m:sub>
              <m:r>
                <m:t>95</m:t>
              </m:r>
              <m:r>
                <m:rPr>
                  <m:sty m:val="p"/>
                </m:rPr>
                <m:t>%</m:t>
              </m:r>
            </m:sub>
          </m:sSub>
          <m:r>
            <m:rPr>
              <m:sty m:val="p"/>
            </m:rPr>
            <m:t>(</m:t>
          </m:r>
          <m:sSub>
            <m:e>
              <m:r>
                <m:t>Y</m:t>
              </m:r>
            </m:e>
            <m:sub>
              <m:r>
                <m:t>d</m:t>
              </m:r>
            </m:sub>
          </m:sSub>
          <m:r>
            <m:rPr>
              <m:sty m:val="p"/>
            </m:rPr>
            <m:t>)</m:t>
          </m:r>
          <m:r>
            <m:rPr>
              <m:sty m:val="p"/>
            </m:rPr>
            <m:t>=</m:t>
          </m:r>
          <m:d>
            <m:dPr>
              <m:begChr m:val="["/>
              <m:sepChr m:val=""/>
              <m:endChr m:val="]"/>
              <m:grow/>
            </m:dPr>
            <m:e>
              <m:sSubSup>
                <m:e>
                  <m:r>
                    <m:t>F</m:t>
                  </m:r>
                </m:e>
                <m:sub>
                  <m:sSub>
                    <m:e>
                      <m:r>
                        <m:t>Y</m:t>
                      </m:r>
                    </m:e>
                    <m:sub>
                      <m:r>
                        <m:t>d</m:t>
                      </m:r>
                    </m:sub>
                  </m:sSub>
                </m:sub>
                <m:sup>
                  <m:r>
                    <m:rPr>
                      <m:sty m:val="p"/>
                    </m:rPr>
                    <m:t>−</m:t>
                  </m:r>
                  <m:r>
                    <m:t>1</m:t>
                  </m:r>
                </m:sup>
              </m:sSubSup>
              <m:r>
                <m:rPr>
                  <m:sty m:val="p"/>
                </m:rPr>
                <m:t>(</m:t>
              </m:r>
              <m:r>
                <m:t>0</m:t>
              </m:r>
              <m:r>
                <m:rPr>
                  <m:sty m:val="p"/>
                </m:rPr>
                <m:t>,</m:t>
              </m:r>
              <m:r>
                <m:t>025</m:t>
              </m:r>
              <m:r>
                <m:rPr>
                  <m:sty m:val="p"/>
                </m:rPr>
                <m:t>)</m:t>
              </m:r>
              <m:r>
                <m:rPr>
                  <m:sty m:val="p"/>
                </m:rPr>
                <m:t>,</m:t>
              </m:r>
              <m:r>
                <m:t> </m:t>
              </m:r>
              <m:sSubSup>
                <m:e>
                  <m:r>
                    <m:t>F</m:t>
                  </m:r>
                </m:e>
                <m:sub>
                  <m:sSub>
                    <m:e>
                      <m:r>
                        <m:t>Y</m:t>
                      </m:r>
                    </m:e>
                    <m:sub>
                      <m:r>
                        <m:t>d</m:t>
                      </m:r>
                    </m:sub>
                  </m:sSub>
                </m:sub>
                <m:sup>
                  <m:r>
                    <m:rPr>
                      <m:sty m:val="p"/>
                    </m:rPr>
                    <m:t>−</m:t>
                  </m:r>
                  <m:r>
                    <m:t>1</m:t>
                  </m:r>
                </m:sup>
              </m:sSubSup>
              <m:r>
                <m:rPr>
                  <m:sty m:val="p"/>
                </m:rPr>
                <m:t>(</m:t>
              </m:r>
              <m:r>
                <m:t>0</m:t>
              </m:r>
              <m:r>
                <m:rPr>
                  <m:sty m:val="p"/>
                </m:rPr>
                <m:t>,</m:t>
              </m:r>
              <m:r>
                <m:t>975</m:t>
              </m:r>
              <m:r>
                <m:rPr>
                  <m:sty m:val="p"/>
                </m:rPr>
                <m:t>)</m:t>
              </m:r>
            </m:e>
          </m:d>
        </m:oMath>
      </m:oMathPara>
    </w:p>
    <w:p>
      <w:pPr>
        <w:pStyle w:val="FirstParagraph"/>
      </w:pPr>
      <w:r>
        <w:t xml:space="preserve">donde</w:t>
      </w:r>
      <w:r>
        <w:t xml:space="preserve"> </w:t>
      </w:r>
      <m:oMath>
        <m:sSubSup>
          <m:e>
            <m:r>
              <m:t>F</m:t>
            </m:r>
          </m:e>
          <m:sub>
            <m:sSub>
              <m:e>
                <m:r>
                  <m:t>Y</m:t>
                </m:r>
              </m:e>
              <m:sub>
                <m:r>
                  <m:t>d</m:t>
                </m:r>
              </m:sub>
            </m:sSub>
          </m:sub>
          <m:sup>
            <m:r>
              <m:rPr>
                <m:sty m:val="p"/>
              </m:rPr>
              <m:t>−</m:t>
            </m:r>
            <m:r>
              <m:t>1</m:t>
            </m:r>
          </m:sup>
        </m:sSubSup>
      </m:oMath>
      <w:r>
        <w:t xml:space="preserve"> </w:t>
      </w:r>
      <w:r>
        <w:t xml:space="preserve">denota el cuantil empírico de las</w:t>
      </w:r>
      <w:r>
        <w:t xml:space="preserve"> </w:t>
      </w:r>
      <m:oMath>
        <m:r>
          <m:t>T</m:t>
        </m:r>
      </m:oMath>
      <w:r>
        <w:t xml:space="preserve"> </w:t>
      </w:r>
      <w:r>
        <w:t xml:space="preserve">muestras de</w:t>
      </w:r>
      <w:r>
        <w:t xml:space="preserve"> </w:t>
      </w:r>
      <w:r>
        <w:rPr>
          <w:rStyle w:val="VerbatimChar"/>
        </w:rPr>
        <w:t xml:space="preserve">Y_tot_samp[, d]</w:t>
      </w:r>
      <w:r>
        <w:t xml:space="preserve">. A diferencia de los intervalos de confianza frecuentistas, el intervalo de credibilidad tiene una interpretación probabilística directa: dada la información observada y el modelo, la probabilidad posterior de que</w:t>
      </w:r>
      <w:r>
        <w:t xml:space="preserve"> </w:t>
      </w:r>
      <m:oMath>
        <m:sSub>
          <m:e>
            <m:r>
              <m:t>Y</m:t>
            </m:r>
          </m:e>
          <m:sub>
            <m:r>
              <m:t>d</m:t>
            </m:r>
          </m:sub>
        </m:sSub>
      </m:oMath>
      <w:r>
        <w:t xml:space="preserve"> </w:t>
      </w:r>
      <w:r>
        <w:t xml:space="preserve">caiga en ese intervalo es 0.95</w:t>
      </w:r>
      <w:r>
        <w:t xml:space="preserve"> </w:t>
      </w:r>
      <w:r>
        <w:t xml:space="preserve">(</w:t>
      </w:r>
      <w:hyperlink w:anchor="ref-Gelman2013">
        <w:r>
          <w:rPr>
            <w:rStyle w:val="Hyperlink"/>
          </w:rPr>
          <w:t xml:space="preserve">Gelman et al. 2013</w:t>
        </w:r>
      </w:hyperlink>
      <w:r>
        <w:t xml:space="preserve">)</w:t>
      </w:r>
      <w:r>
        <w:t xml:space="preserve">. Esta propiedad facilita la comunicación de la incertidumbre a usuarios institucionales no especializados en estadística.</w:t>
      </w:r>
    </w:p>
    <w:bookmarkEnd w:id="88"/>
    <w:bookmarkStart w:id="89" w:name="estimaciones-a-nivel-de-segmento-censal"/>
    <w:p>
      <w:pPr>
        <w:pStyle w:val="Heading3"/>
      </w:pPr>
      <w:r>
        <w:rPr>
          <w:rStyle w:val="SectionNumber"/>
        </w:rPr>
        <w:t xml:space="preserve">5.2.3</w:t>
      </w:r>
      <w:r>
        <w:tab/>
      </w:r>
      <w:r>
        <w:t xml:space="preserve">Estimaciones a nivel de segmento censal</w:t>
      </w:r>
    </w:p>
    <w:p>
      <w:pPr>
        <w:pStyle w:val="FirstParagraph"/>
      </w:pPr>
      <w:r>
        <w:t xml:space="preserve">La predicción del conteo poblacional para cada segmento del país combina la información directa del censo con las predicciones del modelo según el estado de cobertura del operativo censal:</w:t>
      </w:r>
    </w:p>
    <w:p>
      <w:pPr>
        <w:pStyle w:val="SourceCode"/>
      </w:pPr>
      <w:r>
        <w:rPr>
          <w:rStyle w:val="FunctionTok"/>
        </w:rPr>
        <w:t xml:space="preserve">library</w:t>
      </w:r>
      <w:r>
        <w:rPr>
          <w:rStyle w:val="NormalTok"/>
        </w:rPr>
        <w:t xml:space="preserve">(tidyverse)</w:t>
      </w:r>
      <w:r>
        <w:br/>
      </w:r>
      <w:r>
        <w:br/>
      </w:r>
      <w:r>
        <w:rPr>
          <w:rStyle w:val="CommentTok"/>
        </w:rPr>
        <w:t xml:space="preserve"># Extraer predicciones como data frame</w:t>
      </w:r>
      <w:r>
        <w:br/>
      </w:r>
      <w:r>
        <w:rPr>
          <w:rStyle w:val="NormalTok"/>
        </w:rPr>
        <w:t xml:space="preserve">df_y_pred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(Y_tot_samp))</w:t>
      </w:r>
      <w:r>
        <w:br/>
      </w:r>
      <w:r>
        <w:rPr>
          <w:rStyle w:val="FunctionTok"/>
        </w:rPr>
        <w:t xml:space="preserve">colnames</w:t>
      </w:r>
      <w:r>
        <w:rPr>
          <w:rStyle w:val="NormalTok"/>
        </w:rPr>
        <w:t xml:space="preserve">(df_y_pred)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"pred_cont_"</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(df_y_pred)))</w:t>
      </w:r>
      <w:r>
        <w:br/>
      </w:r>
      <w:r>
        <w:br/>
      </w:r>
      <w:r>
        <w:rPr>
          <w:rStyle w:val="CommentTok"/>
        </w:rPr>
        <w:t xml:space="preserve"># Unir con metadatos del segmento</w:t>
      </w:r>
      <w:r>
        <w:br/>
      </w:r>
      <w:r>
        <w:rPr>
          <w:rStyle w:val="NormalTok"/>
        </w:rPr>
        <w:t xml:space="preserve">df_y_pred </w:t>
      </w:r>
      <w:r>
        <w:rPr>
          <w:rStyle w:val="OtherTok"/>
        </w:rPr>
        <w:t xml:space="preserve">&lt;-</w:t>
      </w:r>
      <w:r>
        <w:rPr>
          <w:rStyle w:val="NormalTok"/>
        </w:rPr>
        <w:t xml:space="preserve"> data_model </w:t>
      </w:r>
      <w:r>
        <w:rPr>
          <w:rStyle w:val="SpecialCharTok"/>
        </w:rPr>
        <w:t xml:space="preserve">%&gt;%</w:t>
      </w:r>
      <w:r>
        <w:br/>
      </w:r>
      <w:r>
        <w:rPr>
          <w:rStyle w:val="NormalTok"/>
        </w:rPr>
        <w:t xml:space="preserve">  </w:t>
      </w:r>
      <w:r>
        <w:rPr>
          <w:rStyle w:val="FunctionTok"/>
        </w:rPr>
        <w:t xml:space="preserve">select</w:t>
      </w:r>
      <w:r>
        <w:rPr>
          <w:rStyle w:val="NormalTok"/>
        </w:rPr>
        <w:t xml:space="preserve">(ED</w:t>
      </w:r>
      <w:r>
        <w:rPr>
          <w:rStyle w:val="SpecialCharTok"/>
        </w:rPr>
        <w:t xml:space="preserve">:</w:t>
      </w:r>
      <w:r>
        <w:rPr>
          <w:rStyle w:val="NormalTok"/>
        </w:rPr>
        <w:t xml:space="preserve">Status) </w:t>
      </w:r>
      <w:r>
        <w:rPr>
          <w:rStyle w:val="SpecialCharTok"/>
        </w:rPr>
        <w:t xml:space="preserve">%&gt;%</w:t>
      </w:r>
      <w:r>
        <w:br/>
      </w:r>
      <w:r>
        <w:rPr>
          <w:rStyle w:val="NormalTok"/>
        </w:rPr>
        <w:t xml:space="preserve">  </w:t>
      </w:r>
      <w:r>
        <w:rPr>
          <w:rStyle w:val="FunctionTok"/>
        </w:rPr>
        <w:t xml:space="preserve">bind_cols</w:t>
      </w:r>
      <w:r>
        <w:rPr>
          <w:rStyle w:val="NormalTok"/>
        </w:rPr>
        <w:t xml:space="preserve">(df_y_pred)</w:t>
      </w:r>
      <w:r>
        <w:br/>
      </w:r>
      <w:r>
        <w:br/>
      </w:r>
      <w:r>
        <w:rPr>
          <w:rStyle w:val="NormalTok"/>
        </w:rPr>
        <w:t xml:space="preserve">pred_cols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"^pred_cont_"</w:t>
      </w:r>
      <w:r>
        <w:rPr>
          <w:rStyle w:val="NormalTok"/>
        </w:rPr>
        <w:t xml:space="preserve">, </w:t>
      </w:r>
      <w:r>
        <w:rPr>
          <w:rStyle w:val="FunctionTok"/>
        </w:rPr>
        <w:t xml:space="preserve">names</w:t>
      </w:r>
      <w:r>
        <w:rPr>
          <w:rStyle w:val="NormalTok"/>
        </w:rPr>
        <w:t xml:space="preserve">(df_y_pred),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CommentTok"/>
        </w:rPr>
        <w:t xml:space="preserve"># Calcular estimación puntual y medidas de incertidumbre por segmento</w:t>
      </w:r>
      <w:r>
        <w:br/>
      </w:r>
      <w:r>
        <w:rPr>
          <w:rStyle w:val="NormalTok"/>
        </w:rPr>
        <w:t xml:space="preserve">estimaciones_segmento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pob_mediana =</w:t>
      </w:r>
      <w:r>
        <w:rPr>
          <w:rStyle w:val="NormalTok"/>
        </w:rPr>
        <w:t xml:space="preserve"> </w:t>
      </w:r>
      <w:r>
        <w:rPr>
          <w:rStyle w:val="FunctionTok"/>
        </w:rPr>
        <w:t xml:space="preserve">median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La estimación definitiva del conteo de cada segmento aplica la siguiente regla según el estado de cobertura:</w:t>
      </w:r>
    </w:p>
    <w:p>
      <w:pPr>
        <w:pStyle w:val="SourceCode"/>
      </w:pPr>
      <w:r>
        <w:rPr>
          <w:rStyle w:val="NormalTok"/>
        </w:rPr>
        <w:t xml:space="preserve">estimaciones_segmento </w:t>
      </w:r>
      <w:r>
        <w:rPr>
          <w:rStyle w:val="OtherTok"/>
        </w:rPr>
        <w:t xml:space="preserve">&lt;-</w:t>
      </w:r>
      <w:r>
        <w:rPr>
          <w:rStyle w:val="NormalTok"/>
        </w:rPr>
        <w:t xml:space="preserve"> estimaciones_segmento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pob_final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Cobertura completa: se usa directamente el conteo censal</w:t>
      </w:r>
      <w:r>
        <w:br/>
      </w:r>
      <w:r>
        <w:rPr>
          <w:rStyle w:val="NormalTok"/>
        </w:rPr>
        <w:t xml:space="preserve">      Status </w:t>
      </w:r>
      <w:r>
        <w:rPr>
          <w:rStyle w:val="SpecialCharTok"/>
        </w:rPr>
        <w:t xml:space="preserve">==</w:t>
      </w:r>
      <w:r>
        <w:rPr>
          <w:rStyle w:val="NormalTok"/>
        </w:rPr>
        <w:t xml:space="preserve"> </w:t>
      </w:r>
      <w:r>
        <w:rPr>
          <w:rStyle w:val="StringTok"/>
        </w:rPr>
        <w:t xml:space="preserve">"Completed-full"</w:t>
      </w:r>
      <w:r>
        <w:rPr>
          <w:rStyle w:val="NormalTok"/>
        </w:rPr>
        <w:t xml:space="preserve">  </w:t>
      </w:r>
      <w:r>
        <w:rPr>
          <w:rStyle w:val="SpecialCharTok"/>
        </w:rPr>
        <w:t xml:space="preserve">~</w:t>
      </w:r>
      <w:r>
        <w:rPr>
          <w:rStyle w:val="NormalTok"/>
        </w:rPr>
        <w:t xml:space="preserve"> T_pers,</w:t>
      </w:r>
      <w:r>
        <w:br/>
      </w:r>
      <w:r>
        <w:rPr>
          <w:rStyle w:val="NormalTok"/>
        </w:rPr>
        <w:t xml:space="preserve">      </w:t>
      </w:r>
      <w:r>
        <w:rPr>
          <w:rStyle w:val="CommentTok"/>
        </w:rPr>
        <w:t xml:space="preserve"># Sin cobertura: se usa la predicción del modelo</w:t>
      </w:r>
      <w:r>
        <w:br/>
      </w:r>
      <w:r>
        <w:rPr>
          <w:rStyle w:val="NormalTok"/>
        </w:rPr>
        <w:t xml:space="preserve">      Status </w:t>
      </w:r>
      <w:r>
        <w:rPr>
          <w:rStyle w:val="SpecialCharTok"/>
        </w:rPr>
        <w:t xml:space="preserve">==</w:t>
      </w:r>
      <w:r>
        <w:rPr>
          <w:rStyle w:val="NormalTok"/>
        </w:rPr>
        <w:t xml:space="preserve"> </w:t>
      </w:r>
      <w:r>
        <w:rPr>
          <w:rStyle w:val="StringTok"/>
        </w:rPr>
        <w:t xml:space="preserve">"Not Attempted"</w:t>
      </w:r>
      <w:r>
        <w:rPr>
          <w:rStyle w:val="NormalTok"/>
        </w:rPr>
        <w:t xml:space="preserve">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con subenumeración: se usa la predicción</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&lt;</w:t>
      </w:r>
      <w:r>
        <w:rPr>
          <w:rStyle w:val="NormalTok"/>
        </w:rPr>
        <w:t xml:space="preserve"> pob_media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sin subenumeración evidente: se mantiene el observado</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&gt;=</w:t>
      </w:r>
      <w:r>
        <w:rPr>
          <w:rStyle w:val="NormalTok"/>
        </w:rPr>
        <w:t xml:space="preserve"> pob_media       </w:t>
      </w:r>
      <w:r>
        <w:rPr>
          <w:rStyle w:val="SpecialCharTok"/>
        </w:rPr>
        <w:t xml:space="preserve">~</w:t>
      </w:r>
      <w:r>
        <w:rPr>
          <w:rStyle w:val="NormalTok"/>
        </w:rPr>
        <w:t xml:space="preserve"> T_pers,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p>
    <w:p>
      <w:pPr>
        <w:pStyle w:val="FirstParagraph"/>
      </w:pPr>
      <w:r>
        <w:t xml:space="preserve">Esta regla garantiza coherencia operativa y refleja la naturaleza unidireccional del error de cobertura: la omisión genera subenumeración, no sobreconteo. Los segmentos con cobertura completa no son modificados por el modelo; los no abordados reciben íntegramente la predicción bayesiana; los parcialmente cubiertos son tratados según el principio de dominancia descrito en</w:t>
      </w:r>
      <w:r>
        <w:t xml:space="preserve"> </w:t>
      </w:r>
      <w:r>
        <w:t xml:space="preserve">Mercer et al. (</w:t>
      </w:r>
      <w:hyperlink w:anchor="ref-Mercer2015">
        <w:r>
          <w:rPr>
            <w:rStyle w:val="Hyperlink"/>
          </w:rPr>
          <w:t xml:space="preserve">2015</w:t>
        </w:r>
      </w:hyperlink>
      <w:r>
        <w:t xml:space="preserve">)</w:t>
      </w:r>
      <w:r>
        <w:t xml:space="preserve"> </w:t>
      </w:r>
      <w:r>
        <w:t xml:space="preserve">para contextos similares de integración de múltiples fuentes.</w:t>
      </w:r>
    </w:p>
    <w:bookmarkEnd w:id="89"/>
    <w:bookmarkStart w:id="90" w:name="Xf54144ba0db31f4b25d9a929c974d2d032cd256"/>
    <w:p>
      <w:pPr>
        <w:pStyle w:val="Heading3"/>
      </w:pPr>
      <w:r>
        <w:rPr>
          <w:rStyle w:val="SectionNumber"/>
        </w:rPr>
        <w:t xml:space="preserve">5.2.4</w:t>
      </w:r>
      <w:r>
        <w:tab/>
      </w:r>
      <w:r>
        <w:t xml:space="preserve">Agregación a niveles geográficos superiores</w:t>
      </w:r>
    </w:p>
    <w:p>
      <w:pPr>
        <w:pStyle w:val="FirstParagraph"/>
      </w:pPr>
      <w:r>
        <w:t xml:space="preserve">La distribución posterior del total de población en cualquier unidad geográfica de nivel superior se obtiene sumando los conteos de los segmentos que la componen a través de cada muestra de la distribución predictiva. Esta propiedad de coherencia por agregación es una de las ventajas del enfoque probabilístico respecto a los métodos de estimación directa</w:t>
      </w:r>
      <w:r>
        <w:t xml:space="preserve"> </w:t>
      </w:r>
      <w:r>
        <w:t xml:space="preserve">(</w:t>
      </w:r>
      <w:hyperlink w:anchor="ref-Rao2015">
        <w:r>
          <w:rPr>
            <w:rStyle w:val="Hyperlink"/>
          </w:rPr>
          <w:t xml:space="preserve">Rao y Molina 2015</w:t>
        </w:r>
      </w:hyperlink>
      <w:r>
        <w:t xml:space="preserve">)</w:t>
      </w:r>
      <w:r>
        <w:t xml:space="preserve">:</w:t>
      </w:r>
    </w:p>
    <w:p>
      <w:pPr>
        <w:pStyle w:val="SourceCode"/>
      </w:pPr>
      <w:r>
        <w:rPr>
          <w:rStyle w:val="CommentTok"/>
        </w:rPr>
        <w:t xml:space="preserve"># Agregación a nivel parroquial con intervalo de credibilidad</w:t>
      </w:r>
      <w:r>
        <w:br/>
      </w:r>
      <w:r>
        <w:rPr>
          <w:rStyle w:val="NormalTok"/>
        </w:rPr>
        <w:t xml:space="preserve">estimaciones_parroquia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group_by</w:t>
      </w:r>
      <w:r>
        <w:rPr>
          <w:rStyle w:val="NormalTok"/>
        </w:rPr>
        <w:t xml:space="preserve">(parish)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tot_pob_media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tot_pob_ls_95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w:t>
      </w:r>
      <w:r>
        <w:rPr>
          <w:rStyle w:val="AttributeTok"/>
        </w:rPr>
        <w:t xml:space="preserve">len_ic        =</w:t>
      </w:r>
      <w:r>
        <w:rPr>
          <w:rStyle w:val="NormalTok"/>
        </w:rPr>
        <w:t xml:space="preserve"> tot_pob_ls_95 </w:t>
      </w:r>
      <w:r>
        <w:rPr>
          <w:rStyle w:val="SpecialCharTok"/>
        </w:rPr>
        <w:t xml:space="preserve">-</w:t>
      </w:r>
      <w:r>
        <w:rPr>
          <w:rStyle w:val="NormalTok"/>
        </w:rPr>
        <w:t xml:space="preserve"> tot_pob_li_95</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Total nacional con intervalo de credibilidad</w:t>
      </w:r>
      <w:r>
        <w:br/>
      </w:r>
      <w:r>
        <w:rPr>
          <w:rStyle w:val="NormalTok"/>
        </w:rPr>
        <w:t xml:space="preserve">estimacion_nacional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"iteracion"</w:t>
      </w:r>
      <w:r>
        <w:rPr>
          <w:rStyle w:val="NormalTok"/>
        </w:rPr>
        <w:t xml:space="preserve">, </w:t>
      </w:r>
      <w:r>
        <w:rPr>
          <w:rStyle w:val="AttributeTok"/>
        </w:rPr>
        <w:t xml:space="preserve">values_to =</w:t>
      </w:r>
      <w:r>
        <w:rPr>
          <w:rStyle w:val="NormalTok"/>
        </w:rPr>
        <w:t xml:space="preserve"> </w:t>
      </w:r>
      <w:r>
        <w:rPr>
          <w:rStyle w:val="StringTok"/>
        </w:rPr>
        <w:t xml:space="preserve">"total_pob"</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(total_pob),</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(total_pob),</w:t>
      </w:r>
      <w:r>
        <w:br/>
      </w:r>
      <w:r>
        <w:rPr>
          <w:rStyle w:val="NormalTok"/>
        </w:rPr>
        <w:t xml:space="preserve">    </w:t>
      </w:r>
      <w:r>
        <w:rPr>
          <w:rStyle w:val="AttributeTok"/>
        </w:rPr>
        <w:t xml:space="preserve">li_95   =</w:t>
      </w:r>
      <w:r>
        <w:rPr>
          <w:rStyle w:val="NormalTok"/>
        </w:rPr>
        <w:t xml:space="preserve"> </w:t>
      </w:r>
      <w:r>
        <w:rPr>
          <w:rStyle w:val="FunctionTok"/>
        </w:rPr>
        <w:t xml:space="preserve">quantile</w:t>
      </w:r>
      <w:r>
        <w:rPr>
          <w:rStyle w:val="NormalTok"/>
        </w:rPr>
        <w:t xml:space="preserve">(total_pob, </w:t>
      </w:r>
      <w:r>
        <w:rPr>
          <w:rStyle w:val="FloatTok"/>
        </w:rPr>
        <w:t xml:space="preserve">0.025</w:t>
      </w:r>
      <w:r>
        <w:rPr>
          <w:rStyle w:val="NormalTok"/>
        </w:rPr>
        <w:t xml:space="preserve">),</w:t>
      </w:r>
      <w:r>
        <w:br/>
      </w:r>
      <w:r>
        <w:rPr>
          <w:rStyle w:val="NormalTok"/>
        </w:rPr>
        <w:t xml:space="preserve">    </w:t>
      </w:r>
      <w:r>
        <w:rPr>
          <w:rStyle w:val="AttributeTok"/>
        </w:rPr>
        <w:t xml:space="preserve">ls_95   =</w:t>
      </w:r>
      <w:r>
        <w:rPr>
          <w:rStyle w:val="NormalTok"/>
        </w:rPr>
        <w:t xml:space="preserve"> </w:t>
      </w:r>
      <w:r>
        <w:rPr>
          <w:rStyle w:val="FunctionTok"/>
        </w:rPr>
        <w:t xml:space="preserve">quantile</w:t>
      </w:r>
      <w:r>
        <w:rPr>
          <w:rStyle w:val="NormalTok"/>
        </w:rPr>
        <w:t xml:space="preserve">(total_pob, </w:t>
      </w:r>
      <w:r>
        <w:rPr>
          <w:rStyle w:val="FloatTok"/>
        </w:rPr>
        <w:t xml:space="preserve">0.975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(total_pob)</w:t>
      </w:r>
      <w:r>
        <w:br/>
      </w:r>
      <w:r>
        <w:rPr>
          <w:rStyle w:val="NormalTok"/>
        </w:rPr>
        <w:t xml:space="preserve">  )</w:t>
      </w:r>
    </w:p>
    <w:p>
      <w:pPr>
        <w:pStyle w:val="FirstParagraph"/>
      </w:pPr>
      <w:r>
        <w:t xml:space="preserve">La amplitud del intervalo de credibilidad del total nacional refleja simultáneamente la incertidumbre sobre los parámetros del modelo y la variabilidad estocástica del proceso de Poisson en cada segmento. En aplicaciones prácticas, este intervalo es usualmente estrecho en comparación con el total estimado porque la mayor parte de la variabilidad individual se cancela en la suma; pero puede ser sustancialmente amplio para unidades geográficas con pocos segmentos y baja cobertura censal.</w:t>
      </w:r>
    </w:p>
    <w:bookmarkEnd w:id="90"/>
    <w:bookmarkStart w:id="91" w:name="verificación-predictiva-posterior"/>
    <w:p>
      <w:pPr>
        <w:pStyle w:val="Heading3"/>
      </w:pPr>
      <w:r>
        <w:rPr>
          <w:rStyle w:val="SectionNumber"/>
        </w:rPr>
        <w:t xml:space="preserve">5.2.5</w:t>
      </w:r>
      <w:r>
        <w:tab/>
      </w:r>
      <w:r>
        <w:t xml:space="preserve">Verificación predictiva posterior</w:t>
      </w:r>
    </w:p>
    <w:p>
      <w:pPr>
        <w:pStyle w:val="FirstParagraph"/>
      </w:pPr>
      <w:r>
        <w:t xml:space="preserve">La verificación de la capacidad del modelo para reproducir los patrones observados en los datos se realiza mediante la comparación de la distribución predictiva posterior con los datos observados</w:t>
      </w:r>
      <w:r>
        <w:t xml:space="preserve"> </w:t>
      </w:r>
      <w:r>
        <w:t xml:space="preserve">(</w:t>
      </w:r>
      <w:hyperlink w:anchor="ref-Gabry2019">
        <w:r>
          <w:rPr>
            <w:rStyle w:val="Hyperlink"/>
          </w:rPr>
          <w:t xml:space="preserve">Gabry et al. 2019</w:t>
        </w:r>
      </w:hyperlink>
      <w:r>
        <w:t xml:space="preserve">)</w:t>
      </w:r>
      <w:r>
        <w:t xml:space="preserve">. En el contexto del modelo Poisson-lognormal, es más informativo verificar la capacidad predictiva sobre la densidad</w:t>
      </w:r>
      <w:r>
        <w:t xml:space="preserve"> </w:t>
      </w:r>
      <m:oMath>
        <m:sSub>
          <m:e>
            <m:r>
              <m:t>δ</m:t>
            </m:r>
          </m:e>
          <m:sub>
            <m:r>
              <m:t>i</m:t>
            </m:r>
          </m:sub>
        </m:sSub>
        <m:r>
          <m:rPr>
            <m:sty m:val="p"/>
          </m:rPr>
          <m:t>=</m:t>
        </m:r>
        <m:sSub>
          <m:e>
            <m:r>
              <m:t>Y</m:t>
            </m:r>
          </m:e>
          <m:sub>
            <m:r>
              <m:t>i</m:t>
            </m:r>
          </m:sub>
        </m:sSub>
        <m:r>
          <m:rPr>
            <m:sty m:val="p"/>
          </m:rPr>
          <m:t>/</m:t>
        </m:r>
        <m:sSub>
          <m:e>
            <m:r>
              <m:t>V</m:t>
            </m:r>
          </m:e>
          <m:sub>
            <m:r>
              <m:t>i</m:t>
            </m:r>
          </m:sub>
        </m:sSub>
      </m:oMath>
      <w:r>
        <w:t xml:space="preserve"> </w:t>
      </w:r>
      <w:r>
        <w:t xml:space="preserve">que directamente sobre los conteos, ya que la densidad es la cantidad central del modelo y su distribución no depende del número de estructuras:</w:t>
      </w:r>
    </w:p>
    <w:p>
      <w:pPr>
        <w:pStyle w:val="SourceCode"/>
      </w:pPr>
      <w:r>
        <w:rPr>
          <w:rStyle w:val="CommentTok"/>
        </w:rPr>
        <w:t xml:space="preserve"># Subconjunto aleatorio de muestras de densidad</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rPr>
          <w:rStyle w:val="NormalTok"/>
        </w:rPr>
        <w:t xml:space="preserve">idx_muestra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(densidad_post), </w:t>
      </w:r>
      <w:r>
        <w:rPr>
          <w:rStyle w:val="DecValTok"/>
        </w:rPr>
        <w:t xml:space="preserve">500</w:t>
      </w:r>
      <w:r>
        <w:rPr>
          <w:rStyle w:val="NormalTok"/>
        </w:rPr>
        <w:t xml:space="preserve">)</w:t>
      </w:r>
      <w:r>
        <w:br/>
      </w:r>
      <w:r>
        <w:rPr>
          <w:rStyle w:val="NormalTok"/>
        </w:rPr>
        <w:t xml:space="preserve">densidad_rep  </w:t>
      </w:r>
      <w:r>
        <w:rPr>
          <w:rStyle w:val="OtherTok"/>
        </w:rPr>
        <w:t xml:space="preserve">&lt;-</w:t>
      </w:r>
      <w:r>
        <w:rPr>
          <w:rStyle w:val="NormalTok"/>
        </w:rPr>
        <w:t xml:space="preserve"> densidad_post[idx_muestra, ]</w:t>
      </w:r>
      <w:r>
        <w:br/>
      </w:r>
      <w:r>
        <w:br/>
      </w:r>
      <w:r>
        <w:rPr>
          <w:rStyle w:val="CommentTok"/>
        </w:rPr>
        <w:t xml:space="preserve"># Gráfico de verificación predictiva posterior</w:t>
      </w:r>
      <w:r>
        <w:br/>
      </w:r>
      <w:r>
        <w:rPr>
          <w:rStyle w:val="NormalTok"/>
        </w:rPr>
        <w:t xml:space="preserve">ppc_dens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 </w:t>
      </w:r>
      <w:r>
        <w:rPr>
          <w:rStyle w:val="SpecialCharTok"/>
        </w:rPr>
        <w:t xml:space="preserve">/</w:t>
      </w:r>
      <w:r>
        <w:rPr>
          <w:rStyle w:val="NormalTok"/>
        </w:rPr>
        <w:t xml:space="preserve"> V_obs),</w:t>
      </w:r>
      <w:r>
        <w:br/>
      </w:r>
      <w:r>
        <w:rPr>
          <w:rStyle w:val="NormalTok"/>
        </w:rPr>
        <w:t xml:space="preserve">  </w:t>
      </w:r>
      <w:r>
        <w:rPr>
          <w:rStyle w:val="AttributeTok"/>
        </w:rPr>
        <w:t xml:space="preserve">yrep =</w:t>
      </w:r>
      <w:r>
        <w:rPr>
          <w:rStyle w:val="NormalTok"/>
        </w:rPr>
        <w:t xml:space="preserve"> densidad_rep</w:t>
      </w:r>
      <w:r>
        <w:br/>
      </w:r>
      <w:r>
        <w:rPr>
          <w:rStyle w:val="NormalTok"/>
        </w:rPr>
        <w:t xml:space="preserve">)</w:t>
      </w:r>
      <w:r>
        <w:br/>
      </w:r>
      <w:r>
        <w:br/>
      </w:r>
      <w:r>
        <w:rPr>
          <w:rStyle w:val="CommentTok"/>
        </w:rPr>
        <w:t xml:space="preserve"># Verificación sobre los conteos brutos</w:t>
      </w:r>
      <w:r>
        <w:br/>
      </w:r>
      <w:r>
        <w:rPr>
          <w:rStyle w:val="NormalTok"/>
        </w:rPr>
        <w:t xml:space="preserve">ppc_pers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w:t>
      </w:r>
      <w:r>
        <w:br/>
      </w:r>
      <w:r>
        <w:rPr>
          <w:rStyle w:val="NormalTok"/>
        </w:rPr>
        <w:t xml:space="preserve">  </w:t>
      </w:r>
      <w:r>
        <w:rPr>
          <w:rStyle w:val="AttributeTok"/>
        </w:rPr>
        <w:t xml:space="preserve">yrep =</w:t>
      </w:r>
      <w:r>
        <w:rPr>
          <w:rStyle w:val="NormalTok"/>
        </w:rPr>
        <w:t xml:space="preserve"> </w:t>
      </w:r>
      <w:r>
        <w:rPr>
          <w:rStyle w:val="FunctionTok"/>
        </w:rPr>
        <w:t xml:space="preserve">t</w:t>
      </w:r>
      <w:r>
        <w:rPr>
          <w:rStyle w:val="NormalTok"/>
        </w:rPr>
        <w:t xml:space="preserve">(</w:t>
      </w:r>
      <w:r>
        <w:rPr>
          <w:rStyle w:val="FunctionTok"/>
        </w:rPr>
        <w:t xml:space="preserve">t</w:t>
      </w:r>
      <w:r>
        <w:rPr>
          <w:rStyle w:val="NormalTok"/>
        </w:rPr>
        <w:t xml:space="preserve">(densidad_rep) </w:t>
      </w:r>
      <w:r>
        <w:rPr>
          <w:rStyle w:val="SpecialCharTok"/>
        </w:rPr>
        <w:t xml:space="preserve">*</w:t>
      </w:r>
      <w:r>
        <w:rPr>
          <w:rStyle w:val="NormalTok"/>
        </w:rPr>
        <w:t xml:space="preserve"> V_obs)</w:t>
      </w:r>
      <w:r>
        <w:br/>
      </w:r>
      <w:r>
        <w:rPr>
          <w:rStyle w:val="NormalTok"/>
        </w:rPr>
        <w:t xml:space="preserve">)</w:t>
      </w:r>
      <w:r>
        <w:br/>
      </w:r>
      <w:r>
        <w:br/>
      </w:r>
      <w:r>
        <w:rPr>
          <w:rStyle w:val="NormalTok"/>
        </w:rPr>
        <w:t xml:space="preserve">ppc_dens </w:t>
      </w:r>
      <w:r>
        <w:rPr>
          <w:rStyle w:val="SpecialCharTok"/>
        </w:rPr>
        <w:t xml:space="preserve">|</w:t>
      </w:r>
      <w:r>
        <w:rPr>
          <w:rStyle w:val="NormalTok"/>
        </w:rPr>
        <w:t xml:space="preserve"> ppc_pers</w:t>
      </w:r>
    </w:p>
    <w:p>
      <w:pPr>
        <w:pStyle w:val="FirstParagraph"/>
      </w:pPr>
      <w:r>
        <w:t xml:space="preserve">En este gráfico</w:t>
      </w:r>
      <w:r>
        <w:t xml:space="preserve"> </w:t>
      </w:r>
      <w:r>
        <w:t xml:space="preserve">(</w:t>
      </w:r>
      <w:hyperlink w:anchor="ref-bayesplot2022">
        <w:r>
          <w:rPr>
            <w:rStyle w:val="Hyperlink"/>
          </w:rPr>
          <w:t xml:space="preserve">Gabry y Mahr 2022</w:t>
        </w:r>
      </w:hyperlink>
      <w:r>
        <w:t xml:space="preserve">)</w:t>
      </w:r>
      <w:r>
        <w:t xml:space="preserve">, la línea sólida corresponde a la distribución empírica de los datos observados y las líneas semitransparentes representan las distribuciones predictivas generadas por las muestras posteriores. Un modelo bien especificado produce líneas predictivas que envuelven razonablemente bien la distribución observada sin exceso ni defecto sistemático. Desviaciones importantes señalan limitaciones del modelo que pueden orientar la reformulación del predictor lineal o el cambio de la distribución de la densidad latente</w:t>
      </w:r>
      <w:r>
        <w:t xml:space="preserve"> </w:t>
      </w:r>
      <w:r>
        <w:t xml:space="preserve">(</w:t>
      </w:r>
      <w:hyperlink w:anchor="ref-Gabry2019">
        <w:r>
          <w:rPr>
            <w:rStyle w:val="Hyperlink"/>
          </w:rPr>
          <w:t xml:space="preserve">Gabry et al. 2019</w:t>
        </w:r>
      </w:hyperlink>
      <w:r>
        <w:t xml:space="preserve">)</w:t>
      </w:r>
      <w:r>
        <w:t xml:space="preserve">.</w:t>
      </w:r>
    </w:p>
    <w:bookmarkEnd w:id="91"/>
    <w:bookmarkStart w:id="92" w:name="criterios-de-información-loo-y-waic"/>
    <w:p>
      <w:pPr>
        <w:pStyle w:val="Heading3"/>
      </w:pPr>
      <w:r>
        <w:rPr>
          <w:rStyle w:val="SectionNumber"/>
        </w:rPr>
        <w:t xml:space="preserve">5.2.6</w:t>
      </w:r>
      <w:r>
        <w:tab/>
      </w:r>
      <w:r>
        <w:t xml:space="preserve">Criterios de información LOO y WAIC</w:t>
      </w:r>
    </w:p>
    <w:p>
      <w:pPr>
        <w:pStyle w:val="FirstParagraph"/>
      </w:pPr>
      <w:r>
        <w:t xml:space="preserve">Los criterios de comparación de modelos permiten seleccionar entre especificaciones alternativas sin recurrir a validación cruzada explícita</w:t>
      </w:r>
      <w:r>
        <w:t xml:space="preserve"> </w:t>
      </w:r>
      <w:r>
        <w:t xml:space="preserve">(</w:t>
      </w:r>
      <w:hyperlink w:anchor="ref-Vehtari2017">
        <w:r>
          <w:rPr>
            <w:rStyle w:val="Hyperlink"/>
          </w:rPr>
          <w:t xml:space="preserve">Vehtari et al. 2017</w:t>
        </w:r>
      </w:hyperlink>
      <w:r>
        <w:t xml:space="preserve">)</w:t>
      </w:r>
      <w:r>
        <w:t xml:space="preserve">. El criterio LOO-CV y el WAIC</w:t>
      </w:r>
      <w:r>
        <w:t xml:space="preserve"> </w:t>
      </w:r>
      <w:r>
        <w:t xml:space="preserve">(</w:t>
      </w:r>
      <w:hyperlink w:anchor="ref-Watanabe2010">
        <w:r>
          <w:rPr>
            <w:rStyle w:val="Hyperlink"/>
          </w:rPr>
          <w:t xml:space="preserve">Watanabe 2010</w:t>
        </w:r>
      </w:hyperlink>
      <w:r>
        <w:t xml:space="preserve">)</w:t>
      </w:r>
      <w:r>
        <w:t xml:space="preserve"> </w:t>
      </w:r>
      <w:r>
        <w:t xml:space="preserve">se calculan a partir de la log-verosimilitud evaluada en cada muestra posterior:</w:t>
      </w:r>
    </w:p>
    <w:p>
      <w:pPr>
        <w:pStyle w:val="SourceCode"/>
      </w:pPr>
      <w:r>
        <w:rPr>
          <w:rStyle w:val="CommentTok"/>
        </w:rPr>
        <w:t xml:space="preserve"># Extraer log-verosimilitud puntual (una columna por segmento observado)</w:t>
      </w:r>
      <w:r>
        <w:br/>
      </w:r>
      <w:r>
        <w:rPr>
          <w:rStyle w:val="NormalTok"/>
        </w:rPr>
        <w:t xml:space="preserve">log_lik_mat </w:t>
      </w:r>
      <w:r>
        <w:rPr>
          <w:rStyle w:val="OtherTok"/>
        </w:rPr>
        <w:t xml:space="preserve">&lt;-</w:t>
      </w:r>
      <w:r>
        <w:rPr>
          <w:rStyle w:val="NormalTok"/>
        </w:rPr>
        <w:t xml:space="preserve"> loo</w:t>
      </w:r>
      <w:r>
        <w:rPr>
          <w:rStyle w:val="SpecialCharTok"/>
        </w:rPr>
        <w:t xml:space="preserve">::</w:t>
      </w:r>
      <w:r>
        <w:rPr>
          <w:rStyle w:val="FunctionTok"/>
        </w:rPr>
        <w:t xml:space="preserve">extract_log_lik</w:t>
      </w:r>
      <w:r>
        <w:rPr>
          <w:rStyle w:val="NormalTok"/>
        </w:rPr>
        <w:t xml:space="preserve">(stan_model,</w:t>
      </w:r>
      <w:r>
        <w:br/>
      </w:r>
      <w:r>
        <w:rPr>
          <w:rStyle w:val="NormalTok"/>
        </w:rPr>
        <w:t xml:space="preserve">                                     </w:t>
      </w:r>
      <w:r>
        <w:rPr>
          <w:rStyle w:val="AttributeTok"/>
        </w:rPr>
        <w:t xml:space="preserve">parameter_name =</w:t>
      </w:r>
      <w:r>
        <w:rPr>
          <w:rStyle w:val="NormalTok"/>
        </w:rPr>
        <w:t xml:space="preserve"> </w:t>
      </w:r>
      <w:r>
        <w:rPr>
          <w:rStyle w:val="StringTok"/>
        </w:rPr>
        <w:t xml:space="preserve">"log_lik"</w:t>
      </w:r>
      <w:r>
        <w:rPr>
          <w:rStyle w:val="NormalTok"/>
        </w:rPr>
        <w:t xml:space="preserve">)</w:t>
      </w:r>
      <w:r>
        <w:br/>
      </w:r>
      <w:r>
        <w:br/>
      </w:r>
      <w:r>
        <w:rPr>
          <w:rStyle w:val="CommentTok"/>
        </w:rPr>
        <w:t xml:space="preserve"># WAIC y LOO-CV</w:t>
      </w:r>
      <w:r>
        <w:br/>
      </w:r>
      <w:r>
        <w:rPr>
          <w:rStyle w:val="NormalTok"/>
        </w:rPr>
        <w:t xml:space="preserve">waic_result </w:t>
      </w:r>
      <w:r>
        <w:rPr>
          <w:rStyle w:val="OtherTok"/>
        </w:rPr>
        <w:t xml:space="preserve">&lt;-</w:t>
      </w:r>
      <w:r>
        <w:rPr>
          <w:rStyle w:val="NormalTok"/>
        </w:rPr>
        <w:t xml:space="preserve"> loo</w:t>
      </w:r>
      <w:r>
        <w:rPr>
          <w:rStyle w:val="SpecialCharTok"/>
        </w:rPr>
        <w:t xml:space="preserve">::</w:t>
      </w:r>
      <w:r>
        <w:rPr>
          <w:rStyle w:val="FunctionTok"/>
        </w:rPr>
        <w:t xml:space="preserve">waic</w:t>
      </w:r>
      <w:r>
        <w:rPr>
          <w:rStyle w:val="NormalTok"/>
        </w:rPr>
        <w:t xml:space="preserve">(log_lik_mat)</w:t>
      </w:r>
      <w:r>
        <w:br/>
      </w:r>
      <w:r>
        <w:rPr>
          <w:rStyle w:val="NormalTok"/>
        </w:rPr>
        <w:t xml:space="preserve">loo_result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w:t>
      </w:r>
      <w:r>
        <w:br/>
      </w:r>
      <w:r>
        <w:br/>
      </w:r>
      <w:r>
        <w:rPr>
          <w:rStyle w:val="FunctionTok"/>
        </w:rPr>
        <w:t xml:space="preserve">print</w:t>
      </w:r>
      <w:r>
        <w:rPr>
          <w:rStyle w:val="NormalTok"/>
        </w:rPr>
        <w:t xml:space="preserve">(waic_result)</w:t>
      </w:r>
      <w:r>
        <w:br/>
      </w:r>
      <w:r>
        <w:rPr>
          <w:rStyle w:val="FunctionTok"/>
        </w:rPr>
        <w:t xml:space="preserve">print</w:t>
      </w:r>
      <w:r>
        <w:rPr>
          <w:rStyle w:val="NormalTok"/>
        </w:rPr>
        <w:t xml:space="preserve">(loo_result)</w:t>
      </w:r>
      <w:r>
        <w:br/>
      </w:r>
      <w:r>
        <w:br/>
      </w:r>
      <w:r>
        <w:rPr>
          <w:rStyle w:val="CommentTok"/>
        </w:rPr>
        <w:t xml:space="preserve"># Comparar dos especificaciones alternativas</w:t>
      </w:r>
      <w:r>
        <w:br/>
      </w:r>
      <w:r>
        <w:rPr>
          <w:rStyle w:val="NormalTok"/>
        </w:rPr>
        <w:t xml:space="preserve">loo</w:t>
      </w:r>
      <w:r>
        <w:rPr>
          <w:rStyle w:val="SpecialCharTok"/>
        </w:rPr>
        <w:t xml:space="preserve">::</w:t>
      </w:r>
      <w:r>
        <w:rPr>
          <w:rStyle w:val="FunctionTok"/>
        </w:rPr>
        <w:t xml:space="preserve">loo_compare</w:t>
      </w:r>
      <w:r>
        <w:rPr>
          <w:rStyle w:val="NormalTok"/>
        </w:rPr>
        <w:t xml:space="preserve">(loo_modelo_1, loo_modelo_2)</w:t>
      </w:r>
    </w:p>
    <w:p>
      <w:pPr>
        <w:pStyle w:val="FirstParagraph"/>
      </w:pPr>
      <w:r>
        <w:t xml:space="preserve">Valores más altos de elpd-LOO (</w:t>
      </w:r>
      <w:r>
        <w:rPr>
          <w:i/>
          <w:iCs/>
        </w:rPr>
        <w:t xml:space="preserve">expected log predictive density</w:t>
      </w:r>
      <w:r>
        <w:t xml:space="preserve">) indican mejor capacidad predictiva fuera de muestra</w:t>
      </w:r>
      <w:r>
        <w:t xml:space="preserve"> </w:t>
      </w:r>
      <w:r>
        <w:t xml:space="preserve">(</w:t>
      </w:r>
      <w:hyperlink w:anchor="ref-Vehtari2017">
        <w:r>
          <w:rPr>
            <w:rStyle w:val="Hyperlink"/>
          </w:rPr>
          <w:t xml:space="preserve">Vehtari et al. 2017</w:t>
        </w:r>
      </w:hyperlink>
      <w:r>
        <w:t xml:space="preserve">)</w:t>
      </w:r>
      <w:r>
        <w:t xml:space="preserve">. En la comparación entre modelos, una diferencia en elpd superior al doble de su error estándar se interpreta como evidencia de diferencia predictiva sustancial. La comparación entre LOO y WAIC en presencia de observaciones influyentes —frecuentes en segmentos con conteos extremos— se discute en</w:t>
      </w:r>
      <w:r>
        <w:t xml:space="preserve"> </w:t>
      </w:r>
      <w:r>
        <w:t xml:space="preserve">Piironen y Vehtari (</w:t>
      </w:r>
      <w:hyperlink w:anchor="ref-Piironen2017">
        <w:r>
          <w:rPr>
            <w:rStyle w:val="Hyperlink"/>
          </w:rPr>
          <w:t xml:space="preserve">2017</w:t>
        </w:r>
      </w:hyperlink>
      <w:r>
        <w:t xml:space="preserve">)</w:t>
      </w:r>
      <w:r>
        <w:t xml:space="preserve">, que concluye que LOO es más robusto en esos contextos y debe ser el criterio principal para selección del modelo final.</w:t>
      </w:r>
    </w:p>
    <w:bookmarkEnd w:id="92"/>
    <w:bookmarkEnd w:id="93"/>
    <w:bookmarkStart w:id="136" w:name="resumen"/>
    <w:p>
      <w:pPr>
        <w:pStyle w:val="Heading2"/>
      </w:pPr>
      <w:r>
        <w:rPr>
          <w:rStyle w:val="SectionNumber"/>
        </w:rPr>
        <w:t xml:space="preserve">5.3</w:t>
      </w:r>
      <w:r>
        <w:tab/>
      </w:r>
      <w:r>
        <w:t xml:space="preserve">Resumen</w:t>
      </w:r>
    </w:p>
    <w:p>
      <w:pPr>
        <w:pStyle w:val="FirstParagraph"/>
      </w:pPr>
      <w:r>
        <w:t xml:space="preserve">Este capítulo describió el ciclo completo de inferencia computacional para el modelo Poisson-lognormal: desde los fundamentos del algoritmo HMC-NUTS</w:t>
      </w:r>
      <w:r>
        <w:t xml:space="preserve"> </w:t>
      </w:r>
      <w:r>
        <w:t xml:space="preserve">(</w:t>
      </w:r>
      <w:hyperlink w:anchor="ref-Hoffman2014">
        <w:r>
          <w:rPr>
            <w:rStyle w:val="Hyperlink"/>
          </w:rPr>
          <w:t xml:space="preserve">Hoffman y Gelman 2014</w:t>
        </w:r>
      </w:hyperlink>
      <w:r>
        <w:t xml:space="preserve">;</w:t>
      </w:r>
      <w:r>
        <w:t xml:space="preserve"> </w:t>
      </w:r>
      <w:hyperlink w:anchor="ref-Betancourt2017">
        <w:r>
          <w:rPr>
            <w:rStyle w:val="Hyperlink"/>
          </w:rPr>
          <w:t xml:space="preserve">Betancourt 2017</w:t>
        </w:r>
      </w:hyperlink>
      <w:r>
        <w:t xml:space="preserve">)</w:t>
      </w:r>
      <w:r>
        <w:t xml:space="preserve">, pasando por la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con los cinco bloques del programa, hasta el procedimiento de extracción de estimaciones puntuales, intervalos de credibilidad y agregaciones territoriales en R mediante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w:t>
      </w:r>
      <w:r>
        <w:t xml:space="preserve"> </w:t>
      </w:r>
      <w:r>
        <w:rPr>
          <w:rStyle w:val="VerbatimChar"/>
        </w:rPr>
        <w:t xml:space="preserve">bayesplot</w:t>
      </w:r>
      <w:r>
        <w:t xml:space="preserve"> </w:t>
      </w:r>
      <w:r>
        <w:t xml:space="preserve">(</w:t>
      </w:r>
      <w:hyperlink w:anchor="ref-bayesplot2022">
        <w:r>
          <w:rPr>
            <w:rStyle w:val="Hyperlink"/>
          </w:rPr>
          <w:t xml:space="preserve">Gabry y Mahr 2022</w:t>
        </w:r>
      </w:hyperlink>
      <w:r>
        <w:t xml:space="preserve">)</w:t>
      </w:r>
      <w:r>
        <w:t xml:space="preserve"> </w:t>
      </w:r>
      <w:r>
        <w:t xml:space="preserve">y</w:t>
      </w:r>
      <w:r>
        <w:t xml:space="preserve"> </w:t>
      </w:r>
      <w:r>
        <w:rPr>
          <w:rStyle w:val="VerbatimChar"/>
        </w:rPr>
        <w:t xml:space="preserve">loo</w:t>
      </w:r>
      <w:r>
        <w:t xml:space="preserve"> </w:t>
      </w:r>
      <w:r>
        <w:t xml:space="preserve">(</w:t>
      </w:r>
      <w:hyperlink w:anchor="ref-loo2022">
        <w:r>
          <w:rPr>
            <w:rStyle w:val="Hyperlink"/>
          </w:rPr>
          <w:t xml:space="preserve">Vehtari et al. 2022</w:t>
        </w:r>
      </w:hyperlink>
      <w:r>
        <w:t xml:space="preserve">,</w:t>
      </w:r>
      <w:r>
        <w:t xml:space="preserve"> </w:t>
      </w:r>
      <w:hyperlink w:anchor="ref-Vehtari2017">
        <w:r>
          <w:rPr>
            <w:rStyle w:val="Hyperlink"/>
          </w:rPr>
          <w:t xml:space="preserve">2017</w:t>
        </w:r>
      </w:hyperlink>
      <w:r>
        <w:t xml:space="preserve">)</w:t>
      </w:r>
      <w:r>
        <w:t xml:space="preserve">. Las aplicaciones en Costa Rica, Barbados, Jamaica, Dominica y República Dominicana ilustraron cómo los parámetros de implementación —selección de covariables, fuente del offset, umbral de densidad y configuración MCMC— se adaptan al contexto de cada operativo censal sin alterar la especificación estadística del modelo. El capítulo incluyó además el diagnóstico de convergencia mediante los estadísticos</w:t>
      </w:r>
      <w:r>
        <w:t xml:space="preserve"> </w:t>
      </w:r>
      <m:oMath>
        <m:acc>
          <m:accPr>
            <m:chr m:val="̂"/>
          </m:accPr>
          <m:e>
            <m:r>
              <m:t>R</m:t>
            </m:r>
          </m:e>
        </m:acc>
      </m:oMath>
      <w:r>
        <w:t xml:space="preserve"> </w:t>
      </w:r>
      <w:r>
        <w:t xml:space="preserve">y ESS</w:t>
      </w:r>
      <w:r>
        <w:t xml:space="preserve"> </w:t>
      </w:r>
      <w:r>
        <w:t xml:space="preserve">(</w:t>
      </w:r>
      <w:hyperlink w:anchor="ref-Vehtari2021">
        <w:r>
          <w:rPr>
            <w:rStyle w:val="Hyperlink"/>
          </w:rPr>
          <w:t xml:space="preserve">Vehtari et al. 2021</w:t>
        </w:r>
      </w:hyperlink>
      <w:r>
        <w:t xml:space="preserve">;</w:t>
      </w:r>
      <w:r>
        <w:t xml:space="preserve"> </w:t>
      </w:r>
      <w:hyperlink w:anchor="ref-Gelman1992">
        <w:r>
          <w:rPr>
            <w:rStyle w:val="Hyperlink"/>
          </w:rPr>
          <w:t xml:space="preserve">Gelman y Rubin 1992</w:t>
        </w:r>
      </w:hyperlink>
      <w:r>
        <w:t xml:space="preserve">)</w:t>
      </w:r>
      <w:r>
        <w:t xml:space="preserve">, la validación predictiva posterior</w:t>
      </w:r>
      <w:r>
        <w:t xml:space="preserve"> </w:t>
      </w:r>
      <w:r>
        <w:t xml:space="preserve">(</w:t>
      </w:r>
      <w:hyperlink w:anchor="ref-Gabry2019">
        <w:r>
          <w:rPr>
            <w:rStyle w:val="Hyperlink"/>
          </w:rPr>
          <w:t xml:space="preserve">Gabry et al. 2019</w:t>
        </w:r>
      </w:hyperlink>
      <w:r>
        <w:t xml:space="preserve">)</w:t>
      </w:r>
      <w:r>
        <w:t xml:space="preserve"> </w:t>
      </w:r>
      <w:r>
        <w:t xml:space="preserve">y la selección entre modelos alternativos mediante los criterios LOO y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El capítulo siguiente profundiza en estos diagnósticos —trazas, autocorrelación y diagnósticos específicos de HMC, residuos bayesianos y calibración, criterios formales de aceptación de modelos— y añade la validación externa frente a proyecciones demográficas, registros administrativos independientes y coherencia geoespacial, como verificación final antes de la publicación de estimaciones oficiales.</w:t>
      </w:r>
    </w:p>
    <w:bookmarkStart w:id="135" w:name="refs"/>
    <w:bookmarkStart w:id="94" w:name="ref-Banerjee2015"/>
    <w:p>
      <w:pPr>
        <w:pStyle w:val="Bibliography"/>
      </w:pPr>
      <w:r>
        <w:t xml:space="preserve">Banerjee, Sudipto, Bradley P. Carlin, y Alan E. Gelfand. 2015.</w:t>
      </w:r>
      <w:r>
        <w:t xml:space="preserve"> </w:t>
      </w:r>
      <w:r>
        <w:rPr>
          <w:i/>
          <w:iCs/>
        </w:rPr>
        <w:t xml:space="preserve">Hierarchical Modeling and Analysis for Spatial Data</w:t>
      </w:r>
      <w:r>
        <w:t xml:space="preserve">. 2nd ed. Chapman; Hall/CRC.</w:t>
      </w:r>
    </w:p>
    <w:bookmarkEnd w:id="94"/>
    <w:bookmarkStart w:id="95"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95"/>
    <w:bookmarkStart w:id="97"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96">
        <w:r>
          <w:rPr>
            <w:rStyle w:val="Hyperlink"/>
          </w:rPr>
          <w:t xml:space="preserve">https://doi.org/10.1214/13-BA820</w:t>
        </w:r>
      </w:hyperlink>
      <w:r>
        <w:t xml:space="preserve">.</w:t>
      </w:r>
    </w:p>
    <w:bookmarkEnd w:id="97"/>
    <w:bookmarkStart w:id="98"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98"/>
    <w:bookmarkStart w:id="100"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99">
        <w:r>
          <w:rPr>
            <w:rStyle w:val="Hyperlink"/>
          </w:rPr>
          <w:t xml:space="preserve">https://doi.org/10.18637/jss.v076.i01</w:t>
        </w:r>
      </w:hyperlink>
      <w:r>
        <w:t xml:space="preserve">.</w:t>
      </w:r>
    </w:p>
    <w:bookmarkEnd w:id="100"/>
    <w:bookmarkStart w:id="101"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101"/>
    <w:bookmarkStart w:id="102"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102"/>
    <w:bookmarkStart w:id="104" w:name="ref-bayesplot2022"/>
    <w:p>
      <w:pPr>
        <w:pStyle w:val="Bibliography"/>
      </w:pPr>
      <w:r>
        <w:t xml:space="preserve">Gabry, Jonah, y Tristan Mahr. 2022.</w:t>
      </w:r>
      <w:r>
        <w:t xml:space="preserve"> </w:t>
      </w:r>
      <w:r>
        <w:rPr>
          <w:i/>
          <w:iCs/>
        </w:rPr>
        <w:t xml:space="preserve">bayesplot: Plotting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03">
        <w:r>
          <w:rPr>
            <w:rStyle w:val="Hyperlink"/>
          </w:rPr>
          <w:t xml:space="preserve">https://mc-stan.org/bayesplot/</w:t>
        </w:r>
      </w:hyperlink>
      <w:r>
        <w:t xml:space="preserve">.</w:t>
      </w:r>
    </w:p>
    <w:bookmarkEnd w:id="104"/>
    <w:bookmarkStart w:id="106" w:name="ref-Gabry2019"/>
    <w:p>
      <w:pPr>
        <w:pStyle w:val="Bibliography"/>
      </w:pPr>
      <w:r>
        <w:t xml:space="preserve">Gabry, Jonah, Daniel Simpson, Aki Vehtari, Michael Betancourt, y Andrew Gelman. 2019.</w:t>
      </w:r>
      <w:r>
        <w:t xml:space="preserve"> </w:t>
      </w:r>
      <w:r>
        <w:t xml:space="preserve">«Visualization in</w:t>
      </w:r>
      <w:r>
        <w:t xml:space="preserve"> </w:t>
      </w:r>
      <w:r>
        <w:t xml:space="preserve">Bayesian</w:t>
      </w:r>
      <w:r>
        <w:t xml:space="preserve"> </w:t>
      </w:r>
      <w:r>
        <w:t xml:space="preserve">Workflow»</w:t>
      </w:r>
      <w:r>
        <w:t xml:space="preserve">.</w:t>
      </w:r>
      <w:r>
        <w:t xml:space="preserve"> </w:t>
      </w:r>
      <w:r>
        <w:rPr>
          <w:i/>
          <w:iCs/>
        </w:rPr>
        <w:t xml:space="preserve">Journal of the Royal Statistical Society: Series A</w:t>
      </w:r>
      <w:r>
        <w:t xml:space="preserve"> </w:t>
      </w:r>
      <w:r>
        <w:t xml:space="preserve">182 (2): 389-402.</w:t>
      </w:r>
      <w:r>
        <w:t xml:space="preserve"> </w:t>
      </w:r>
      <w:hyperlink r:id="rId105">
        <w:r>
          <w:rPr>
            <w:rStyle w:val="Hyperlink"/>
          </w:rPr>
          <w:t xml:space="preserve">https://doi.org/10.1111/rssa.12378</w:t>
        </w:r>
      </w:hyperlink>
      <w:r>
        <w:t xml:space="preserve">.</w:t>
      </w:r>
    </w:p>
    <w:bookmarkEnd w:id="106"/>
    <w:bookmarkStart w:id="107" w:name="ref-Gelman2013"/>
    <w:p>
      <w:pPr>
        <w:pStyle w:val="Bibliography"/>
      </w:pPr>
      <w:r>
        <w:t xml:space="preserve">Gelman, Andrew, John B. Carlin, Hal S. Stern, David B. Dunson, Aki Vehtari, y Donald B. Rubin. 2013.</w:t>
      </w:r>
      <w:r>
        <w:t xml:space="preserve"> </w:t>
      </w:r>
      <w:r>
        <w:rPr>
          <w:i/>
          <w:iCs/>
        </w:rPr>
        <w:t xml:space="preserve">Bayesian Data Analysis</w:t>
      </w:r>
      <w:r>
        <w:t xml:space="preserve">. 3rd ed. Chapman; Hall/CRC.</w:t>
      </w:r>
    </w:p>
    <w:bookmarkEnd w:id="107"/>
    <w:bookmarkStart w:id="108" w:name="ref-Gelman1992"/>
    <w:p>
      <w:pPr>
        <w:pStyle w:val="Bibliography"/>
      </w:pPr>
      <w:r>
        <w:t xml:space="preserve">Gelman, Andrew, y Donald B. Rubin. 1992.</w:t>
      </w:r>
      <w:r>
        <w:t xml:space="preserve"> </w:t>
      </w:r>
      <w:r>
        <w:t xml:space="preserve">«Inference from Iterative Simulation Using Multiple Sequences»</w:t>
      </w:r>
      <w:r>
        <w:t xml:space="preserve">.</w:t>
      </w:r>
      <w:r>
        <w:t xml:space="preserve"> </w:t>
      </w:r>
      <w:r>
        <w:rPr>
          <w:i/>
          <w:iCs/>
        </w:rPr>
        <w:t xml:space="preserve">Statistical Science</w:t>
      </w:r>
      <w:r>
        <w:t xml:space="preserve"> </w:t>
      </w:r>
      <w:r>
        <w:t xml:space="preserve">7 (4): 457-72.</w:t>
      </w:r>
    </w:p>
    <w:bookmarkEnd w:id="108"/>
    <w:bookmarkStart w:id="110"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109">
        <w:r>
          <w:rPr>
            <w:rStyle w:val="Hyperlink"/>
          </w:rPr>
          <w:t xml:space="preserve">https://doi.org/10.1016/j.rse.2017.06.031</w:t>
        </w:r>
      </w:hyperlink>
      <w:r>
        <w:t xml:space="preserve">.</w:t>
      </w:r>
    </w:p>
    <w:bookmarkEnd w:id="110"/>
    <w:bookmarkStart w:id="111"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111"/>
    <w:bookmarkStart w:id="112"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112"/>
    <w:bookmarkStart w:id="113" w:name="ref-McElreath2020"/>
    <w:p>
      <w:pPr>
        <w:pStyle w:val="Bibliography"/>
      </w:pPr>
      <w:r>
        <w:t xml:space="preserve">McElreath, Richard. 2020.</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Chapman; Hall/CRC.</w:t>
      </w:r>
    </w:p>
    <w:bookmarkEnd w:id="113"/>
    <w:bookmarkStart w:id="114"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114"/>
    <w:bookmarkStart w:id="115"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115"/>
    <w:bookmarkStart w:id="116"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116"/>
    <w:bookmarkStart w:id="117" w:name="ref-Piironen2017"/>
    <w:p>
      <w:pPr>
        <w:pStyle w:val="Bibliography"/>
      </w:pPr>
      <w:r>
        <w:t xml:space="preserve">Piironen, Juho, y Aki Vehtari. 2017.</w:t>
      </w:r>
      <w:r>
        <w:t xml:space="preserve"> </w:t>
      </w:r>
      <w:r>
        <w:t xml:space="preserve">«Comparison of</w:t>
      </w:r>
      <w:r>
        <w:t xml:space="preserve"> </w:t>
      </w:r>
      <w:r>
        <w:t xml:space="preserve">Bayesian</w:t>
      </w:r>
      <w:r>
        <w:t xml:space="preserve"> </w:t>
      </w:r>
      <w:r>
        <w:t xml:space="preserve">Predictive Methods for Model Selection»</w:t>
      </w:r>
      <w:r>
        <w:t xml:space="preserve">.</w:t>
      </w:r>
      <w:r>
        <w:t xml:space="preserve"> </w:t>
      </w:r>
      <w:r>
        <w:rPr>
          <w:i/>
          <w:iCs/>
        </w:rPr>
        <w:t xml:space="preserve">Statistics and Computing</w:t>
      </w:r>
      <w:r>
        <w:t xml:space="preserve"> </w:t>
      </w:r>
      <w:r>
        <w:t xml:space="preserve">27 (3): 711-35.</w:t>
      </w:r>
    </w:p>
    <w:bookmarkEnd w:id="117"/>
    <w:bookmarkStart w:id="118"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118"/>
    <w:bookmarkStart w:id="120"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119">
        <w:r>
          <w:rPr>
            <w:rStyle w:val="Hyperlink"/>
          </w:rPr>
          <w:t xml:space="preserve">https://doi.org/10.1073/pnas.1211452109</w:t>
        </w:r>
      </w:hyperlink>
      <w:r>
        <w:t xml:space="preserve">.</w:t>
      </w:r>
    </w:p>
    <w:bookmarkEnd w:id="120"/>
    <w:bookmarkStart w:id="121"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121"/>
    <w:bookmarkStart w:id="122"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122"/>
    <w:bookmarkStart w:id="124" w:name="ref-rstan2023"/>
    <w:p>
      <w:pPr>
        <w:pStyle w:val="Bibliography"/>
      </w:pPr>
      <w:r>
        <w:t xml:space="preserve">Stan Development Team. 2023.</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23">
        <w:r>
          <w:rPr>
            <w:rStyle w:val="Hyperlink"/>
          </w:rPr>
          <w:t xml:space="preserve">https://mc-stan.org/</w:t>
        </w:r>
      </w:hyperlink>
      <w:r>
        <w:t xml:space="preserve">.</w:t>
      </w:r>
    </w:p>
    <w:bookmarkEnd w:id="124"/>
    <w:bookmarkStart w:id="125"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125"/>
    <w:bookmarkStart w:id="127" w:name="ref-loo2022"/>
    <w:p>
      <w:pPr>
        <w:pStyle w:val="Bibliography"/>
      </w:pPr>
      <w:r>
        <w:t xml:space="preserve">Vehtari, Aki, Jonah Gabry, Mans Magnusson, et al. 2022.</w:t>
      </w:r>
      <w:r>
        <w:t xml:space="preserve"> </w:t>
      </w:r>
      <w:r>
        <w:rPr>
          <w:i/>
          <w:iCs/>
        </w:rPr>
        <w:t xml:space="preserve">loo: Efficient Leave-One-Out Cross-Validation and</w:t>
      </w:r>
      <w:r>
        <w:rPr>
          <w:i/>
          <w:iCs/>
        </w:rPr>
        <w:t xml:space="preserve"> </w:t>
      </w:r>
      <w:r>
        <w:rPr>
          <w:i/>
          <w:iCs/>
        </w:rPr>
        <w:t xml:space="preserve">WAIC</w:t>
      </w:r>
      <w:r>
        <w:rPr>
          <w:i/>
          <w:iCs/>
        </w:rPr>
        <w:t xml:space="preserve"> </w:t>
      </w:r>
      <w:r>
        <w:rPr>
          <w:i/>
          <w:iCs/>
        </w:rPr>
        <w:t xml:space="preserve">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26">
        <w:r>
          <w:rPr>
            <w:rStyle w:val="Hyperlink"/>
          </w:rPr>
          <w:t xml:space="preserve">https://mc-stan.org/loo/</w:t>
        </w:r>
      </w:hyperlink>
      <w:r>
        <w:t xml:space="preserve">.</w:t>
      </w:r>
    </w:p>
    <w:bookmarkEnd w:id="127"/>
    <w:bookmarkStart w:id="129" w:name="ref-Vehtari2017"/>
    <w:p>
      <w:pPr>
        <w:pStyle w:val="Bibliography"/>
      </w:pPr>
      <w:r>
        <w:t xml:space="preserve">Vehtari, Aki, Andrew Gelman, y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w:t>
      </w:r>
      <w:r>
        <w:t xml:space="preserve"> </w:t>
      </w:r>
      <w:r>
        <w:rPr>
          <w:i/>
          <w:iCs/>
        </w:rPr>
        <w:t xml:space="preserve">Statistics and Computing</w:t>
      </w:r>
      <w:r>
        <w:t xml:space="preserve"> </w:t>
      </w:r>
      <w:r>
        <w:t xml:space="preserve">27 (5): 1413-32.</w:t>
      </w:r>
      <w:r>
        <w:t xml:space="preserve"> </w:t>
      </w:r>
      <w:hyperlink r:id="rId128">
        <w:r>
          <w:rPr>
            <w:rStyle w:val="Hyperlink"/>
          </w:rPr>
          <w:t xml:space="preserve">https://doi.org/10.1007/s11222-016-9696-4</w:t>
        </w:r>
      </w:hyperlink>
      <w:r>
        <w:t xml:space="preserve">.</w:t>
      </w:r>
    </w:p>
    <w:bookmarkEnd w:id="129"/>
    <w:bookmarkStart w:id="131" w:name="ref-Vehtari2021"/>
    <w:p>
      <w:pPr>
        <w:pStyle w:val="Bibliography"/>
      </w:pPr>
      <w:r>
        <w:t xml:space="preserve">Vehtari, Aki, Andrew Gelman, Daniel Simpson, Bob Carpenter, y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w:t>
      </w:r>
      <w:r>
        <w:t xml:space="preserve">.</w:t>
      </w:r>
      <w:r>
        <w:t xml:space="preserve"> </w:t>
      </w:r>
      <w:r>
        <w:rPr>
          <w:i/>
          <w:iCs/>
        </w:rPr>
        <w:t xml:space="preserve">Bayesian Analysis</w:t>
      </w:r>
      <w:r>
        <w:t xml:space="preserve"> </w:t>
      </w:r>
      <w:r>
        <w:t xml:space="preserve">16 (2): 667-718.</w:t>
      </w:r>
      <w:r>
        <w:t xml:space="preserve"> </w:t>
      </w:r>
      <w:hyperlink r:id="rId130">
        <w:r>
          <w:rPr>
            <w:rStyle w:val="Hyperlink"/>
          </w:rPr>
          <w:t xml:space="preserve">https://doi.org/10.1214/20-BA1221</w:t>
        </w:r>
      </w:hyperlink>
      <w:r>
        <w:t xml:space="preserve">.</w:t>
      </w:r>
    </w:p>
    <w:bookmarkEnd w:id="131"/>
    <w:bookmarkStart w:id="132" w:name="ref-Watanabe2010"/>
    <w:p>
      <w:pPr>
        <w:pStyle w:val="Bibliography"/>
      </w:pPr>
      <w:r>
        <w:t xml:space="preserve">Watanabe, Sumio. 2010.</w:t>
      </w:r>
      <w:r>
        <w:t xml:space="preserve"> </w:t>
      </w:r>
      <w:r>
        <w:t xml:space="preserve">«Asymptotic Equivalence of</w:t>
      </w:r>
      <w:r>
        <w:t xml:space="preserve"> </w:t>
      </w:r>
      <w:r>
        <w:t xml:space="preserve">Bayes</w:t>
      </w:r>
      <w:r>
        <w:t xml:space="preserve"> </w:t>
      </w:r>
      <w:r>
        <w:t xml:space="preserve">Cross Validation and Widely Applicable Information Criterion in Singular Learning Theory»</w:t>
      </w:r>
      <w:r>
        <w:t xml:space="preserve">.</w:t>
      </w:r>
      <w:r>
        <w:t xml:space="preserve"> </w:t>
      </w:r>
      <w:r>
        <w:rPr>
          <w:i/>
          <w:iCs/>
        </w:rPr>
        <w:t xml:space="preserve">Journal of Machine Learning Research</w:t>
      </w:r>
      <w:r>
        <w:t xml:space="preserve"> </w:t>
      </w:r>
      <w:r>
        <w:t xml:space="preserve">11: 3571-94.</w:t>
      </w:r>
    </w:p>
    <w:bookmarkEnd w:id="132"/>
    <w:bookmarkStart w:id="134"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133">
        <w:r>
          <w:rPr>
            <w:rStyle w:val="Hyperlink"/>
          </w:rPr>
          <w:t xml:space="preserve">https://doi.org/10.1080/01621459.2012.737729</w:t>
        </w:r>
      </w:hyperlink>
      <w:r>
        <w:t xml:space="preserve">.</w:t>
      </w:r>
    </w:p>
    <w:bookmarkEnd w:id="134"/>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2026-08-03T13:54:50Z</dcterms:created>
  <dcterms:modified xsi:type="dcterms:W3CDTF">2026-08-03T13:54:50Z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agosto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