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Modelos Bayesianos de Población para América Latina y el Caribe</w:t>
      </w:r>
    </w:p>
    <w:p>
      <w:pPr>
        <w:pStyle w:val="Subtitle"/>
      </w:pPr>
      <w:r>
        <w:t xml:space="preserve">Implementación, Validación y Aplicación Subnacional</w:t>
      </w:r>
    </w:p>
    <w:p>
      <w:pPr>
        <w:pStyle w:val="Date"/>
      </w:pPr>
      <w:r>
        <w:t xml:space="preserve">julio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9" w:name="prefacio"/>
    <w:p>
      <w:pPr>
        <w:pStyle w:val="Heading1"/>
      </w:pPr>
      <w:r>
        <w:t xml:space="preserve">Prefacio</w:t>
      </w:r>
    </w:p>
    <w:p>
      <w:pPr>
        <w:pStyle w:val="FirstParagraph"/>
      </w:pPr>
      <w:r>
        <w:t xml:space="preserve">La producción de estadísticas oficiales sobre población constituye uno de los pilares fundamentales para la formulación, implementación y evaluación de políticas públicas. En América Latina y el Caribe, los censos de población continúan siendo la principal fuente de información demográfica; sin embargo, la creciente complejidad de los operativos censales, las limitaciones presupuestarias y los problemas de cobertura observados en distintos países han puesto de manifiesto la necesidad de desarrollar metodologías que permitan mejorar la calidad de los conteos censales, particularmente en unidades geográficas pequeñas donde las omisiones y otros errores de cobertura pueden tener un impacto considerable.</w:t>
      </w:r>
    </w:p>
    <w:p>
      <w:pPr>
        <w:pStyle w:val="BodyText"/>
      </w:pPr>
      <w:r>
        <w:t xml:space="preserve">Este libro surge de la experiencia acumulada durante diversos proyectos de asistencia técnica desarrollados con oficinas nacionales de estadística de América Latina y el Caribe, en el marco de las actividades de cooperación estadística de la Comisión Económica para América Latina y el Caribe (CEPAL). En estos proyectos fue evidente que la mejora de los conteos censales requiere integrar información proveniente de diferentes fuentes, como preconteos operativos, registros administrativos, imágenes satelitales y variables geoespaciales. Estas fuentes presentan distintos niveles de cobertura, calidad y resolución espacial, por lo que su utilización exige modelos estadísticos capaces de representar explícitamente la incertidumbre asociada a cada una de ellas y de producir estimaciones consistentes de la población.</w:t>
      </w:r>
    </w:p>
    <w:p>
      <w:pPr>
        <w:pStyle w:val="BodyText"/>
      </w:pPr>
      <w:r>
        <w:t xml:space="preserve">El objetivo de este libro trasciende la presentación de modelos bayesianos para la estimación de población. Su propósito es desarrollar una metodología integral para la producción de estimaciones subnacionales que articule de manera coherente las diferentes etapas del proceso estadístico. El lector encontrará un recorrido completo que abarca la preparación y evaluación de las fuentes de información, la construcción de variables auxiliares derivadas de información geoespacial y registros administrativos, la formulación de modelos bayesianos jerárquicos, la estimación mediante técnicas modernas de inferencia y la evaluación de la calidad de las estimaciones obtenidas mediante procedimientos de validación y diagnóstico.</w:t>
      </w:r>
    </w:p>
    <w:p>
      <w:pPr>
        <w:pStyle w:val="BodyText"/>
      </w:pPr>
      <w:r>
        <w:t xml:space="preserve">Un principio transversal de la obra es la reproducibilidad. Todos los métodos se implementan utilizando herramientas de código abierto, principalmente R y Stan, y cada capítulo incluye desarrollos computacionales que permiten reproducir íntegramente los análisis presentados. Más que ilustrar algoritmos aislados, el libro propone flujos de trabajo completos que pueden adaptarse a las necesidades de las oficinas nacionales de estadística y de otras instituciones responsables de la producción de información demográfica. Aunque los ejemplos se basan en aplicaciones inspiradas en experiencias de América Latina y el Caribe, las metodologías desarrolladas son de carácter general y pueden extenderse a otros contextos geográficos.</w:t>
      </w:r>
    </w:p>
    <w:p>
      <w:pPr>
        <w:pStyle w:val="BodyText"/>
      </w:pPr>
      <w:r>
        <w:t xml:space="preserve">El libro está dirigido a estadísticos, demógrafos, científicos de datos e investigadores involucrados en la producción y análisis de estadísticas oficiales, así como a profesionales de organismos nacionales e internacionales interesados en métodos bayesianos aplicados a la estimación de población. Asimismo, puede servir como texto de referencia para estudiantes de posgrado en estadística, demografía o disciplinas afines que deseen profundizar en la construcción e implementación de modelos jerárquicos para datos de conteo. Se asume que el lector posee formación en probabilidad, inferencia estadística, modelos lineales y fundamentos de inferencia bayesiana.</w:t>
      </w:r>
    </w:p>
    <w:p>
      <w:pPr>
        <w:pStyle w:val="BodyText"/>
      </w:pPr>
      <w:r>
        <w:t xml:space="preserve">Finalmente, este libro parte de una premisa fundamental: ningún modelo estadístico reemplaza el conocimiento sustantivo sobre los procesos demográficos ni la experiencia acumulada por los especialistas encargados de la producción estadística. Los modelos constituyen, más bien, un instrumento para integrar información proveniente de múltiples fuentes, representar explícitamente las diferentes fuentes de incertidumbre y producir estimaciones consistentes bajo supuestos claramente establecidos. En este sentido, la inferencia bayesiana proporciona un marco flexible para combinar evidencia, incorporar conocimiento previo cuando resulte pertinente y cuantificar rigurosamente la incertidumbre asociada a las estimaciones. El objetivo último es contribuir al fortalecimiento de la producción de estadísticas oficiales mediante metodologías transparentes, reproducibles y científicamente fundamentadas.</w:t>
      </w:r>
    </w:p>
    <w:bookmarkEnd w:id="9"/>
    <w:bookmarkStart w:id="10" w:name="introducción"/>
    <w:p>
      <w:pPr>
        <w:pStyle w:val="Heading1"/>
      </w:pPr>
      <w:r>
        <w:t xml:space="preserve">Introducción</w:t>
      </w:r>
    </w:p>
    <w:p>
      <w:pPr>
        <w:pStyle w:val="FirstParagraph"/>
      </w:pPr>
      <w:r>
        <w:t xml:space="preserve">Los censos nacionales de población y vivienda constituyen la principal fuente de información para cuantificar la población de un país y describir su distribución espacial. Sus resultados sirven de base para la producción de estadísticas oficiales, el cálculo de indicadores demográficos y socioeconómicos, la asignación de recursos públicos y la elaboración de las estimaciones y proyecciones de población realizadas por las oficinas nacionales de estadística.</w:t>
      </w:r>
    </w:p>
    <w:p>
      <w:pPr>
        <w:pStyle w:val="BodyText"/>
      </w:pPr>
      <w:r>
        <w:t xml:space="preserve">A pesar de su importancia, los conteos censales están sujetos a errores de cobertura, siendo la omisión censal la principal fuente de discrepancia entre la población observada y la población efectivamente residente. Este problema ha adquirido una relevancia particular durante la ronda censal de 2020 en América Latina y el Caribe, donde diversos países reportaron niveles de subcobertura superiores a los previstos</w:t>
      </w:r>
      <w:r>
        <w:t xml:space="preserve"> </w:t>
      </w:r>
      <w:r>
        <w:t xml:space="preserve">(</w:t>
      </w:r>
      <w:hyperlink w:anchor="ref-CEPAL2023">
        <w:r>
          <w:rPr>
            <w:rStyle w:val="Hyperlink"/>
          </w:rPr>
          <w:t xml:space="preserve">CEPAL 2023</w:t>
        </w:r>
      </w:hyperlink>
      <w:r>
        <w:t xml:space="preserve">)</w:t>
      </w:r>
      <w:r>
        <w:t xml:space="preserve">. Dado que la omisión censal no se distribuye de manera uniforme sobre el territorio, sus efectos son especialmente significativos en unidades geográficas pequeñas, donde incluso un número reducido de personas no censadas puede generar sesgos importantes en los conteos observados y, en consecuencia, en las estadísticas e indicadores derivados de ellos.</w:t>
      </w:r>
    </w:p>
    <w:p>
      <w:pPr>
        <w:pStyle w:val="BodyText"/>
      </w:pPr>
      <w:r>
        <w:t xml:space="preserve">La evaluación de la cobertura censal se ha apoyado tradicionalmente en estudios de cobertura, encuestas poscensales y procedimientos de conciliación demográfica. Estas herramientas permiten cuantificar la magnitud de la omisión y evaluar la calidad global del operativo censal; sin embargo, sus resultados suelen obtenerse para dominios geográficos relativamente amplios y ofrecen información limitada sobre la variabilidad espacial de la cobertura. Como resultado, persiste la necesidad de desarrollar metodologías que permitan estimar la población residente en escalas geográficas más desagregadas, incorporando la información disponible durante y después del operativo censal.</w:t>
      </w:r>
    </w:p>
    <w:p>
      <w:pPr>
        <w:pStyle w:val="BodyText"/>
      </w:pPr>
      <w:r>
        <w:t xml:space="preserve">En los últimos años, las oficinas nacionales de estadística han comenzado a disponer de un volumen creciente de información auxiliar generada antes, durante y después del censo. Los preconteos operativos, los registros administrativos, la cartografía digital, las imágenes satelitales, los modelos digitales de elevación, las bases de datos de infraestructura y otras variables geoespaciales contienen información relacionada tanto con la distribución espacial de la población como con los patrones de cobertura censal. La integración de estas fuentes representa una oportunidad para mejorar las estimaciones derivadas del censo, siempre que se disponga de modelos estadísticos capaces de incorporar información heterogénea y representar explícitamente la incertidumbre asociada a cada fuente.</w:t>
      </w:r>
    </w:p>
    <w:p>
      <w:pPr>
        <w:pStyle w:val="BodyText"/>
      </w:pPr>
      <w:r>
        <w:t xml:space="preserve">En este contexto, los modelos bayesianos de población constituyen una herramienta particularmente adecuada para abordar este problema. Su formulación permite representar simultáneamente el proceso que genera la población de interés y el proceso mediante el cual esta es observada durante el censo, incorporando además información auxiliar, efectos espaciales y diferentes fuentes de incertidumbre. Bajo este enfoque, el interés no radica en reemplazar el conteo censal, sino en utilizar toda la evidencia disponible para obtener una estimación más consistente de la población residente compatible con la información observada.</w:t>
      </w:r>
    </w:p>
    <w:p>
      <w:pPr>
        <w:pStyle w:val="BodyText"/>
      </w:pPr>
      <w:r>
        <w:t xml:space="preserve">Las estimaciones obtenidas mediante estos modelos no pretenden sustituir los métodos demográficos empleados para producir estimaciones y proyecciones de población. Por el contrario, constituyen un complemento estadístico a dichos procedimientos, al proporcionar estimaciones ajustadas de los conteos censales que pueden emplearse como insumo para la construcción de una población base de mayor calidad.</w:t>
      </w:r>
    </w:p>
    <w:p>
      <w:pPr>
        <w:pStyle w:val="BodyText"/>
      </w:pPr>
      <w:r>
        <w:t xml:space="preserve">Este libro desarrolla un marco metodológico para la estimación de población a partir de conteos censales mediante modelos bayesianos de población. Se presentan los fundamentos probabilísticos de los modelos para datos de conteo, las estrategias para integrar información censal, administrativa y geoespacial, los métodos de inferencia implementados en Stan y los procedimientos necesarios para evaluar la calidad y consistencia de las estimaciones obtenidas. Cada uno de los desarrollos metodológicos se acompaña de implementaciones reproducibles en R, con énfasis en aplicaciones inspiradas en experiencias desarrolladas por oficinas nacionales de estadística de América Latina y el Caribe.</w:t>
      </w:r>
    </w:p>
    <w:p>
      <w:pPr>
        <w:pStyle w:val="BodyText"/>
      </w:pPr>
      <w:r>
        <w:t xml:space="preserve">La propuesta presentada en esta obra no constituye un nuevo método demográfico de estimación o proyección de población. Se trata de una metodología estadística diseñada para abordar uno de los principales problemas que enfrentan los censos modernos: la estimación de la población residente en presencia de omisión censal y otras fuentes de error de cobertura. Mediante la integración de múltiples fuentes de información y el uso de modelos bayesianos de población, se busca obtener estimaciones espacialmente consistentes, acompañadas de una cuantificación explícita de la incertidumbre, que fortalezcan la producción de estadísticas oficiales y sirvan como insumo para los procesos demográficos desarrollados posteriormente.</w:t>
      </w:r>
    </w:p>
    <w:bookmarkEnd w:id="10"/>
    <w:bookmarkStart w:id="21" w:name="X54850ca468dd38fe9c9540db7d4c53fea706d9f"/>
    <w:p>
      <w:pPr>
        <w:pStyle w:val="Heading1"/>
      </w:pPr>
      <w:r>
        <w:rPr>
          <w:rStyle w:val="SectionNumber"/>
        </w:rPr>
        <w:t xml:space="preserve">1</w:t>
      </w:r>
      <w:r>
        <w:tab/>
      </w:r>
      <w:r>
        <w:t xml:space="preserve">Enfoque General de los Modelos de Población</w:t>
      </w:r>
    </w:p>
    <w:bookmarkStart w:id="15" w:name="producción-de-conteos-censales"/>
    <w:p>
      <w:pPr>
        <w:pStyle w:val="Heading2"/>
      </w:pPr>
      <w:r>
        <w:rPr>
          <w:rStyle w:val="SectionNumber"/>
        </w:rPr>
        <w:t xml:space="preserve">1.1</w:t>
      </w:r>
      <w:r>
        <w:tab/>
      </w:r>
      <w:r>
        <w:t xml:space="preserve">Producción de conteos censales</w:t>
      </w:r>
    </w:p>
    <w:p>
      <w:pPr>
        <w:pStyle w:val="FirstParagraph"/>
      </w:pPr>
      <w:r>
        <w:t xml:space="preserve">La producción de conteos poblacionales constituye uno de los procesos más relevantes dentro de los sistemas estadísticos nacionales. A través de los censos de población y vivienda, los países construyen la base demográfica utilizada para la planificación pública, la elaboración de indicadores sociales, la construcción de marcos muestrales y la formulación de políticas territoriales. En términos operativos y metodológicos, el censo representa la única operación estadística diseñada para enumerar exhaustivamente la población residente dentro de un territorio nacional bajo un mismo marco conceptual, temporal y geográfico.</w:t>
      </w:r>
    </w:p>
    <w:p>
      <w:pPr>
        <w:pStyle w:val="BodyText"/>
      </w:pPr>
      <w:r>
        <w:t xml:space="preserve">Los conteos censales no solo permiten conocer cuántas personas habitan un país, sino también cómo se distribuyen territorialmente y cómo se estructuran según características demográficas básicas como sexo y edad. Esta información es utilizada posteriormente en una gran variedad de procesos institucionales: proyecciones demográficas, encuestas de hogares, sistemas de focalización social, distribución presupuestaria, delimitación administrativa y producción de estadísticas subnacionales.</w:t>
      </w:r>
    </w:p>
    <w:p>
      <w:pPr>
        <w:pStyle w:val="BodyText"/>
      </w:pPr>
      <w:r>
        <w:t xml:space="preserve">En la práctica, la producción censal implica mucho más que el levantamiento de información en campo. Detrás de los conteos publicados existe una estructura compleja de actualización cartográfica, segmentación territorial, logística operativa, capacitación, validación y conciliación estadística. Cada una de estas etapas introduce potenciales fuentes de error que afectan la calidad final de las estimaciones poblacionales.</w:t>
      </w:r>
    </w:p>
    <w:p>
      <w:pPr>
        <w:pStyle w:val="BodyText"/>
      </w:pPr>
      <w:r>
        <w:t xml:space="preserve">Como se señaló en la introducción, uno de los principales desafíos de los censos modernos corresponde a los problemas de cobertura: la enumeración nunca es perfecta, y la omisión censal —así como la duplicación de registros o su asignación territorial incorrecta— tiende a concentrarse en determinados contextos territoriales y sociales, como áreas rurales dispersas, asentamientos informales, territorios indígenas, zonas fronterizas o áreas urbanas con alta movilidad poblacional. En América Latina y el Caribe, esta heterogeneidad territorial se combina con diferencias sustanciales en capacidad operativa, actualización cartográfica e infraestructura estadística entre países, dificultades que la ronda censal de 2020 volvió a evidenciar mediante retrasos operativos asociados a restricciones presupuestarias, conflictos sociales y efectos derivados de la pandemia de COVID-19</w:t>
      </w:r>
      <w:r>
        <w:t xml:space="preserve"> </w:t>
      </w:r>
      <w:r>
        <w:t xml:space="preserve">(</w:t>
      </w:r>
      <w:hyperlink w:anchor="ref-CEPAL2023">
        <w:r>
          <w:rPr>
            <w:rStyle w:val="Hyperlink"/>
          </w:rPr>
          <w:t xml:space="preserve">CEPAL 2023</w:t>
        </w:r>
      </w:hyperlink>
      <w:r>
        <w:t xml:space="preserve">)</w:t>
      </w:r>
      <w:r>
        <w:t xml:space="preserve">.</w:t>
      </w:r>
    </w:p>
    <w:p>
      <w:pPr>
        <w:pStyle w:val="BodyText"/>
      </w:pPr>
      <w:r>
        <w:t xml:space="preserve">A medida que aumenta el nivel de desagregación geográfica, estos problemas se vuelven más visibles: mientras a nivel nacional algunos errores pueden compensarse entre regiones, en niveles territoriales pequeños las omisiones o duplicaciones generan distorsiones importantes sobre indicadores demográficos y sociales, afectando directamente la capacidad de los gobiernos para asignar recursos, diseñar programas y producir estadísticas territoriales consistentes.</w:t>
      </w:r>
    </w:p>
    <w:p>
      <w:pPr>
        <w:pStyle w:val="BodyText"/>
      </w:pPr>
      <w:r>
        <w:t xml:space="preserve">En este contexto, la producción moderna de conteos poblacionales requiere complementar el operativo censal tradicional con mecanismos de validación, integración de fuentes auxiliares y modelamiento estadístico. Los modelos bayesianos de población surgen precisamente como una respuesta metodológica a este problema, permitiendo integrar información proveniente de distintas fuentes y representar explícitamente la incertidumbre asociada a los conteos observados.</w:t>
      </w:r>
    </w:p>
    <w:bookmarkStart w:id="11" w:name="producción-subnacional"/>
    <w:p>
      <w:pPr>
        <w:pStyle w:val="Heading3"/>
      </w:pPr>
      <w:r>
        <w:rPr>
          <w:rStyle w:val="SectionNumber"/>
        </w:rPr>
        <w:t xml:space="preserve">1.1.1</w:t>
      </w:r>
      <w:r>
        <w:tab/>
      </w:r>
      <w:r>
        <w:t xml:space="preserve">Producción subnacional</w:t>
      </w:r>
    </w:p>
    <w:p>
      <w:pPr>
        <w:pStyle w:val="FirstParagraph"/>
      </w:pPr>
      <w:r>
        <w:t xml:space="preserve">Aunque los censos generan un conteo nacional de población, gran parte de su utilidad práctica se concentra en la producción de información subnacional. Los gobiernos requieren estadísticas desagregadas para departamentos, provincias, municipios, áreas urbanas y rurales, sectores censales y segmentos operativos. Es en estas escalas territoriales donde se ejecutan la mayoría de las políticas públicas, se distribuyen recursos y se planifican los servicios públicos.</w:t>
      </w:r>
    </w:p>
    <w:p>
      <w:pPr>
        <w:pStyle w:val="BodyText"/>
      </w:pPr>
      <w:r>
        <w:t xml:space="preserve">La producción subnacional implica construir conteos consistentes entre distintos niveles geográficos. Los totales municipales deben coincidir con los agregados departamentales y estos, a su vez, con los conteos nacionales. Esta coherencia jerárquica constituye uno de los principios fundamentales de la estadística oficial y garantiza que las cifras publicadas sean comparables entre diferentes niveles administrativos.</w:t>
      </w:r>
    </w:p>
    <w:p>
      <w:pPr>
        <w:pStyle w:val="BodyText"/>
      </w:pPr>
      <w:r>
        <w:t xml:space="preserve">Sin embargo, garantizar dicha consistencia no es un proceso trivial. A medida que disminuye el tamaño poblacional de las unidades geográficas, los efectos de los errores de cobertura adquieren una mayor magnitud relativa. En áreas pequeñas, la omisión de un reducido número de viviendas o personas puede modificar significativamente indicadores derivados como tasas de dependencia, razones de masculinidad, estructuras por edad o indicadores socioeconómicos.</w:t>
      </w:r>
    </w:p>
    <w:p>
      <w:pPr>
        <w:pStyle w:val="BodyText"/>
      </w:pPr>
      <w:r>
        <w:t xml:space="preserve">La calidad de los conteos subnacionales depende críticamente de la cartografía censal y de los procesos de segmentación territorial. Antes del levantamiento censal, los institutos nacionales de estadística actualizan la cartografía, identifican las edificaciones y viviendas, delimitan áreas de enumeración y organizan el territorio en unidades operativas relativamente homogéneas. Estas unidades, denominadas generalmente segmentos censales o áreas de enumeración, constituyen la base para la asignación de cargas de trabajo, el control operativo y la supervisión del operativo de campo.</w:t>
      </w:r>
    </w:p>
    <w:p>
      <w:pPr>
        <w:pStyle w:val="BodyText"/>
      </w:pPr>
      <w:r>
        <w:t xml:space="preserve">En América Latina y el Caribe, la definición de estas unidades presenta diferencias metodológicas importantes. Algunos países las delimitan buscando un número relativamente constante de viviendas por segmento, mientras que otros priorizan criterios de continuidad espacial, accesibilidad geográfica, densidad poblacional o tiempos estimados de recorrido del censista. Como consecuencia, las unidades básicas de enumeración no son completamente comparables entre países, aun cuando persigan objetivos operativos similares.</w:t>
      </w:r>
    </w:p>
    <w:p>
      <w:pPr>
        <w:pStyle w:val="BodyText"/>
      </w:pPr>
      <w:r>
        <w:t xml:space="preserve">Otra diferencia metodológica relevante corresponde al criterio utilizado para asignar la población al territorio. Las recomendaciones internacionales distinguen dos modalidades principales: los censos de hecho (de facto) y los censos de derecho (de jure). En los censos de hecho, cada persona es contabilizada en el lugar donde se encuentra físicamente durante el momento de referencia del censo. En los censos de derecho, en cambio, cada persona se registra en su residencia habitual, independientemente de dónde se encuentre el día de la enumeración.</w:t>
      </w:r>
    </w:p>
    <w:p>
      <w:pPr>
        <w:pStyle w:val="BodyText"/>
      </w:pPr>
      <w:r>
        <w:t xml:space="preserve">Ambos enfoques han sido utilizados históricamente en América Latina y el Caribe. Países como Bolivia, Guatemala, Paraguay y Perú han desarrollado sus censos recientes bajo un enfoque predominantemente de hecho, mientras que Argentina, Brasil, Chile, Colombia, Costa Rica, Cuba, Ecuador, El Salvador, Honduras, México, Nicaragua, Panamá, República Dominicana, Uruguay y Venezuela utilizan un enfoque de derecho, basado en la residencia habitual de la población. En algunos casos, además, los operativos incorporan procedimientos complementarios para registrar personas temporalmente ausentes o visitantes, dando lugar a esquemas operativos con características mixtas.</w:t>
      </w:r>
    </w:p>
    <w:p>
      <w:pPr>
        <w:pStyle w:val="BodyText"/>
      </w:pPr>
      <w:r>
        <w:t xml:space="preserve">La elección entre uno u otro enfoque tiene implicaciones directas sobre la producción de estadísticas subnacionales. Los censos de hecho reflejan la distribución espacial de la población presente durante el momento censal, mientras que los censos de derecho buscan representar la distribución de la población residente, que constituye el marco de referencia para la planificación territorial, la asignación de recursos públicos y la elaboración de estimaciones y proyecciones demográficas. En territorios con elevada movilidad diaria, migración temporal o actividades estacionales, ambos enfoques pueden producir diferencias apreciables en los conteos locales.</w:t>
      </w:r>
    </w:p>
    <w:p>
      <w:pPr>
        <w:pStyle w:val="BodyText"/>
      </w:pPr>
      <w:r>
        <w:t xml:space="preserve">La producción subnacional también enfrenta desafíos asociados al crecimiento urbano acelerado y a la expansión de asentamientos informales. En muchas ciudades de la región, la urbanización ocurre con mayor rapidez que la actualización cartográfica, generando nuevas viviendas, barrios o asentamientos que pueden no estar plenamente incorporados en los marcos censales. Estas situaciones incrementan el riesgo de omisiones y afectan la calidad de los conteos obtenidos, especialmente en las áreas periféricas de las grandes ciudades.</w:t>
      </w:r>
    </w:p>
    <w:p>
      <w:pPr>
        <w:pStyle w:val="BodyText"/>
      </w:pPr>
      <w:r>
        <w:t xml:space="preserve">Desde una perspectiva estadística, los conteos subnacionales deben entenderse como observaciones imperfectas de una población subyacente cuya magnitud real no es completamente observable. Las diferencias en los criterios de enumeración, los errores de cobertura, la movilidad poblacional y las limitaciones inherentes al operativo censal introducen incertidumbre que posteriormente debe ser considerada durante los procesos de conciliación demográfica y en los modelos de estimación de población. Esta necesidad constituye uno de los principales argumentos para el desarrollo de los modelos probabilísticos y bayesianos presentados en los capítulos siguientes.</w:t>
      </w:r>
    </w:p>
    <w:bookmarkEnd w:id="11"/>
    <w:bookmarkStart w:id="12" w:name="desagregación-por-sexo-y-edad"/>
    <w:p>
      <w:pPr>
        <w:pStyle w:val="Heading3"/>
      </w:pPr>
      <w:r>
        <w:rPr>
          <w:rStyle w:val="SectionNumber"/>
        </w:rPr>
        <w:t xml:space="preserve">1.1.2</w:t>
      </w:r>
      <w:r>
        <w:tab/>
      </w:r>
      <w:r>
        <w:t xml:space="preserve">Desagregación por sexo y edad</w:t>
      </w:r>
    </w:p>
    <w:p>
      <w:pPr>
        <w:pStyle w:val="FirstParagraph"/>
      </w:pPr>
      <w:r>
        <w:t xml:space="preserve">Uno de los principales aportes de los censos de población es la posibilidad de caracterizar la estructura demográfica de la población. Los conteos no se producen únicamente para áreas geográficas, sino también para grupos de edad y sexo, desagregación que constituye un insumo fundamental para el análisis demográfico, la formulación de políticas públicas y la elaboración de proyecciones poblacionales</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w:t>
      </w:r>
      <w:hyperlink w:anchor="ref-NacionesUnidas2017">
        <w:r>
          <w:rPr>
            <w:rStyle w:val="Hyperlink"/>
          </w:rPr>
          <w:t xml:space="preserve">Naciones Unidas 2017</w:t>
        </w:r>
      </w:hyperlink>
      <w:r>
        <w:t xml:space="preserve">)</w:t>
      </w:r>
      <w:r>
        <w:t xml:space="preserve">.</w:t>
      </w:r>
    </w:p>
    <w:p>
      <w:pPr>
        <w:pStyle w:val="BodyText"/>
      </w:pPr>
      <w:r>
        <w:t xml:space="preserve">La distribución por edad y sexo condiciona directamente múltiples dimensiones del desarrollo social y económico. La demanda de servicios educativos, sistemas de salud, programas de protección social y mercados laborales depende estrechamente de la estructura etaria, y numerosos indicadores —índice de envejecimiento, razón de dependencia, relación de masculinidad o niveles de fecundidad— requieren información detallada sobre la composición por edad y sexo</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Ahora bien, producir estimaciones de población por sexo y edad con niveles aceptables de sesgo incrementa la complejidad del proceso censal, porque exige corregir errores que no se distribuyen de manera uniforme en la población. La evidencia de las encuestas de posenumeración muestra que los errores de cobertura tienen un carácter marcadamente diferencial: su magnitud depende de las características demográficas, socioeconómicas y territoriales de las personas. La omisión tiende a concentrarse de forma sistemática en subgrupos específicos —hombres jóvenes, niñez de 0 a 4 años, población migrante y hogares en zonas de difícil acceso o asentamientos informales—, lo que introduce sesgos en la estructura observada por sexo y edad</w:t>
      </w:r>
      <w:r>
        <w:t xml:space="preserve"> </w:t>
      </w:r>
      <w:r>
        <w:t xml:space="preserve">(</w:t>
      </w:r>
      <w:hyperlink w:anchor="ref-Hogan1993">
        <w:r>
          <w:rPr>
            <w:rStyle w:val="Hyperlink"/>
          </w:rPr>
          <w:t xml:space="preserve">Hogan 1993</w:t>
        </w:r>
      </w:hyperlink>
      <w:r>
        <w:t xml:space="preserve">;</w:t>
      </w:r>
      <w:r>
        <w:t xml:space="preserve"> </w:t>
      </w:r>
      <w:hyperlink w:anchor="ref-NacionesUnidas2017">
        <w:r>
          <w:rPr>
            <w:rStyle w:val="Hyperlink"/>
          </w:rPr>
          <w:t xml:space="preserve">Naciones Unidas 2017</w:t>
        </w:r>
      </w:hyperlink>
      <w:r>
        <w:t xml:space="preserve">)</w:t>
      </w:r>
      <w:r>
        <w:t xml:space="preserve">. A estos errores de cobertura se suman los errores de contenido, en particular la mala declaración de la edad y la atracción de dígitos (age heaping), que deforman el perfil por edad por una vía distinta y se evalúan con indicadores específicos como los índices de Whipple, Myers o el índice combinado de las Naciones Unidas</w:t>
      </w:r>
      <w:r>
        <w:t xml:space="preserve"> </w:t>
      </w:r>
      <w:r>
        <w:t xml:space="preserve">(</w:t>
      </w:r>
      <w:hyperlink w:anchor="ref-SiegelSwanson2004">
        <w:r>
          <w:rPr>
            <w:rStyle w:val="Hyperlink"/>
          </w:rPr>
          <w:t xml:space="preserve">Siegel y Swanson 2004</w:t>
        </w:r>
      </w:hyperlink>
      <w:r>
        <w:t xml:space="preserve">)</w:t>
      </w:r>
      <w:r>
        <w:t xml:space="preserve">.</w:t>
      </w:r>
    </w:p>
    <w:p>
      <w:pPr>
        <w:pStyle w:val="BodyText"/>
      </w:pPr>
      <w:r>
        <w:t xml:space="preserve">Estas diferencias generan distorsiones importantes en la estructura observada de la población. En niveles territoriales pequeños, incluso omisiones de baja magnitud pueden alterar de manera apreciable los indicadores demográficos derivados, dado que operan sobre denominadores reducidos</w:t>
      </w:r>
      <w:r>
        <w:t xml:space="preserve"> </w:t>
      </w:r>
      <w:r>
        <w:t xml:space="preserve">(</w:t>
      </w:r>
      <w:hyperlink w:anchor="ref-BryantGraham2013">
        <w:r>
          <w:rPr>
            <w:rStyle w:val="Hyperlink"/>
          </w:rPr>
          <w:t xml:space="preserve">Bryant y Graham 2013</w:t>
        </w:r>
      </w:hyperlink>
      <w:r>
        <w:t xml:space="preserve">)</w:t>
      </w:r>
      <w:r>
        <w:t xml:space="preserve">. Por esta razón, los sistemas estadísticos implementan procedimientos de validación, conciliación y ajuste orientados a identificar y corregir inconsistencias en la distribución por sexo y edad</w:t>
      </w:r>
      <w:r>
        <w:t xml:space="preserve"> </w:t>
      </w:r>
      <w:r>
        <w:t xml:space="preserve">(</w:t>
      </w:r>
      <w:hyperlink w:anchor="ref-NacionesUnidas2017">
        <w:r>
          <w:rPr>
            <w:rStyle w:val="Hyperlink"/>
          </w:rPr>
          <w:t xml:space="preserve">Naciones Unidas 2017</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La desagregación etaria constituye, además, un componente central de los procesos de proyección demográfica. Los métodos de cohortes-componentes, utilizados por la mayoría de los países, requieren información detallada sobre la estructura poblacional para modelar nacimientos, defunciones y migración</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En consecuencia, los errores en la distribución censal inicial pueden propagarse a lo largo de toda la serie de proyecciones; los enfoques probabilísticos permiten, al menos, cuantificar y comunicar la incertidumbre asociada a esa estructura de base</w:t>
      </w:r>
      <w:r>
        <w:t xml:space="preserve"> </w:t>
      </w:r>
      <w:r>
        <w:t xml:space="preserve">(</w:t>
      </w:r>
      <w:hyperlink w:anchor="ref-Raftery2012">
        <w:r>
          <w:rPr>
            <w:rStyle w:val="Hyperlink"/>
          </w:rPr>
          <w:t xml:space="preserve">Raftery et al. 2012</w:t>
        </w:r>
      </w:hyperlink>
      <w:r>
        <w:t xml:space="preserve">)</w:t>
      </w:r>
      <w:r>
        <w:t xml:space="preserve">.</w:t>
      </w:r>
    </w:p>
    <w:p>
      <w:pPr>
        <w:pStyle w:val="BodyText"/>
      </w:pPr>
      <w:r>
        <w:t xml:space="preserve">Finalmente, la desagregación simultánea por área geográfica, sexo y edad incrementa considerablemente la dimensionalidad del problema de estimación poblacional. En dominios con pocos habitantes, los conteos observados presentan una mayor variabilidad y los errores de cobertura adquieren una mayor relevancia relativa. Estas características motivan el desarrollo de métodos estadísticos capaces de representar explícitamente la incertidumbre y producir estimaciones consistentes entre grupos demográficos y niveles territoriales.</w:t>
      </w:r>
    </w:p>
    <w:bookmarkEnd w:id="12"/>
    <w:bookmarkStart w:id="13" w:name="uso-en-marcos-muestrales"/>
    <w:p>
      <w:pPr>
        <w:pStyle w:val="Heading3"/>
      </w:pPr>
      <w:r>
        <w:rPr>
          <w:rStyle w:val="SectionNumber"/>
        </w:rPr>
        <w:t xml:space="preserve">1.1.3</w:t>
      </w:r>
      <w:r>
        <w:tab/>
      </w:r>
      <w:r>
        <w:t xml:space="preserve">Uso en marcos muestrales</w:t>
      </w:r>
    </w:p>
    <w:p>
      <w:pPr>
        <w:pStyle w:val="FirstParagraph"/>
      </w:pPr>
      <w:r>
        <w:t xml:space="preserve">Los conteos censales constituyen la principal base para la construcción de marcos muestrales utilizados en encuestas de hogares y otras operaciones estadísticas. Los sectores y segmentos definidos durante el operativo censal son utilizados posteriormente como unidades primarias de muestreo en gran parte de las encuestas nacionales desarrolladas por los institutos de estadística.</w:t>
      </w:r>
    </w:p>
    <w:p>
      <w:pPr>
        <w:pStyle w:val="BodyText"/>
      </w:pPr>
      <w:r>
        <w:t xml:space="preserve">La calidad de un marco muestral depende directamente de la calidad de los conteos censales y de la actualización cartográfica asociada. Cuando existen omisiones territoriales, viviendas no registradas o límites desactualizados, los diseños muestrales pueden introducir sesgos de cobertura y pérdida de eficiencia estadística.</w:t>
      </w:r>
    </w:p>
    <w:p>
      <w:pPr>
        <w:pStyle w:val="BodyText"/>
      </w:pPr>
      <w:r>
        <w:t xml:space="preserve">En América Latina y el Caribe, muchos marcos muestrales permanecen vigentes durante periodos intercensales prolongados. Durante estos intervalos, los cambios demográficos y territoriales pueden modificar sustancialmente la distribución espacial de la población. La expansión urbana, la migración interna y la transformación de áreas rurales generan desactualizaciones progresivas en las unidades de muestreo originalmente construidas a partir del censo.</w:t>
      </w:r>
    </w:p>
    <w:p>
      <w:pPr>
        <w:pStyle w:val="BodyText"/>
      </w:pPr>
      <w:r>
        <w:t xml:space="preserve">La segmentación censal también cumple un papel operativo fundamental en la implementación de encuestas probabilísticas. Las unidades territoriales utilizadas durante el censo suelen redefinirse y reorganizarse para optimizar costos operativos, carga de trabajo y precisión estadística. Como resultado, la calidad de la información censal afecta directamente el desempeño posterior de múltiples sistemas de encuestas.</w:t>
      </w:r>
    </w:p>
    <w:p>
      <w:pPr>
        <w:pStyle w:val="BodyText"/>
      </w:pPr>
      <w:r>
        <w:t xml:space="preserve">En este contexto, mejorar la calidad de los conteos subnacionales no solo fortalece las estadísticas demográficas, sino también toda la infraestructura estadística utilizada posteriormente por los países para producir información social y económica.</w:t>
      </w:r>
    </w:p>
    <w:bookmarkEnd w:id="13"/>
    <w:bookmarkStart w:id="14" w:name="definición-de-dominios"/>
    <w:p>
      <w:pPr>
        <w:pStyle w:val="Heading3"/>
      </w:pPr>
      <w:r>
        <w:rPr>
          <w:rStyle w:val="SectionNumber"/>
        </w:rPr>
        <w:t xml:space="preserve">1.1.4</w:t>
      </w:r>
      <w:r>
        <w:tab/>
      </w:r>
      <w:r>
        <w:t xml:space="preserve">Definición de dominios</w:t>
      </w:r>
    </w:p>
    <w:p>
      <w:pPr>
        <w:pStyle w:val="FirstParagraph"/>
      </w:pPr>
      <w:r>
        <w:t xml:space="preserve">La producción de estadísticas poblacionales requiere definir dominios geográficos y demográficos sobre los cuales se generan estimaciones e indicadores. Estos dominios corresponden a distintos niveles territoriales utilizados para organización administrativa, planificación pública y análisis estadístico.</w:t>
      </w:r>
    </w:p>
    <w:p>
      <w:pPr>
        <w:pStyle w:val="BodyText"/>
      </w:pPr>
      <w:r>
        <w:t xml:space="preserve">El nivel nacional constituye el agregado principal del sistema estadístico y funciona como referencia para la producción de indicadores macrodemográficos y proyecciones oficiales. Sin embargo, gran parte de las decisiones operativas se realizan en escalas territoriales inferiores.</w:t>
      </w:r>
    </w:p>
    <w:p>
      <w:pPr>
        <w:pStyle w:val="BodyText"/>
      </w:pPr>
      <w:r>
        <w:t xml:space="preserve">El nivel intermedio, conformado generalmente por departamentos, provincias o estados, representa uno de los principales niveles de descentralización administrativa en América Latina y el Caribe. En estos territorios se ejecutan programas regionales, se distribuyen recursos fiscales y se implementan estrategias sectoriales de salud, educación e infraestructura.</w:t>
      </w:r>
    </w:p>
    <w:p>
      <w:pPr>
        <w:pStyle w:val="BodyText"/>
      </w:pPr>
      <w:r>
        <w:t xml:space="preserve">La diferenciación urbano-rural constituye además una dimensión central en la producción estadística regional. Las brechas territoriales entre áreas urbanas y rurales continúan siendo una de las principales características demográficas y socioeconómicas de la región. Como consecuencia, muchos indicadores poblacionales requieren desagregación específica según tipo de área.</w:t>
      </w:r>
    </w:p>
    <w:p>
      <w:pPr>
        <w:pStyle w:val="BodyText"/>
      </w:pPr>
      <w:r>
        <w:t xml:space="preserve">A nivel local, los municipios representan una de las principales unidades de gestión territorial. En este nivel se concentran procesos de planeación urbana, focalización social, administración tributaria y provisión de servicios públicos. La precisión de los conteos municipales afecta directamente la asignación presupuestaria y la medición de múltiples indicadores sociales.</w:t>
      </w:r>
    </w:p>
    <w:p>
      <w:pPr>
        <w:pStyle w:val="BodyText"/>
      </w:pPr>
      <w:r>
        <w:t xml:space="preserve">Finalmente, el segmento censal constituye la unidad operativa básica del levantamiento. Estas unidades poseen alta resolución espacial y permiten representar con mayor detalle la heterogeneidad territorial. Sin embargo, también presentan mayor sensibilidad a errores de cobertura y problemas de consistencia espacial.</w:t>
      </w:r>
    </w:p>
    <w:p>
      <w:pPr>
        <w:pStyle w:val="BodyText"/>
      </w:pPr>
      <w:r>
        <w:t xml:space="preserve">En países como Bolivia, Paraguay y Colombia, los segmentos censales adquieren especial importancia debido a la implementación de censos de hecho y a la necesidad de coordinar operativos intensivos de corta duración. En este contexto, la calidad de la segmentación territorial condiciona directamente la cobertura del operativo y la precisión de los conteos finales.</w:t>
      </w:r>
    </w:p>
    <w:p>
      <w:pPr>
        <w:pStyle w:val="BodyText"/>
      </w:pPr>
      <w:r>
        <w:t xml:space="preserve">Desde la perspectiva del modelamiento estadístico, los dominios territoriales conforman una estructura jerárquica que permite compartir información entre unidades relacionadas y estabilizar las estimaciones en segmentos con datos escasos o ausentes. Esta estructura, combinada con información auxiliar de fuentes externas —registros administrativos, censos previos o datos geoespaciales—, constituye la base de los modelos bayesianos de población a escala subnacional, orientados a la integración de fuentes y al ajuste de cobertura. La validez de estas predicciones depende de manera crítica de que la información auxiliar capture las diferencias sistemáticas entre las áreas cubiertas y no cubiertas, dado que la omisión no se distribuye de forma aleatoria; cuando se dispone de un total agregado confiable, la coherencia entre niveles geográficos (</w:t>
      </w:r>
      <w:r>
        <w:rPr>
          <w:i/>
          <w:iCs/>
        </w:rPr>
        <w:t xml:space="preserve">benchmarking</w:t>
      </w:r>
      <w:r>
        <w:t xml:space="preserve">) opera como una restricción adicional que refuerza la consistencia del sistema.</w:t>
      </w:r>
    </w:p>
    <w:bookmarkEnd w:id="14"/>
    <w:bookmarkEnd w:id="15"/>
    <w:bookmarkStart w:id="19" w:name="indicadores-de-interés"/>
    <w:p>
      <w:pPr>
        <w:pStyle w:val="Heading2"/>
      </w:pPr>
      <w:r>
        <w:rPr>
          <w:rStyle w:val="SectionNumber"/>
        </w:rPr>
        <w:t xml:space="preserve">1.2</w:t>
      </w:r>
      <w:r>
        <w:tab/>
      </w:r>
      <w:r>
        <w:t xml:space="preserve">Indicadores de interés</w:t>
      </w:r>
    </w:p>
    <w:p>
      <w:pPr>
        <w:pStyle w:val="FirstParagraph"/>
      </w:pPr>
      <w:r>
        <w:t xml:space="preserve">La producción de estadísticas de población tiene como propósito cuantificar el número de habitantes y describir su distribución territorial y demográfica. A partir de los conteos obtenidos en los censos de población y vivienda se construye un amplio conjunto de indicadores utilizados para la elaboración de estadísticas oficiales, el diseño y evaluación de políticas públicas, la asignación de recursos, la planificación territorial y la formulación de estimaciones y proyecciones de población.</w:t>
      </w:r>
    </w:p>
    <w:p>
      <w:pPr>
        <w:pStyle w:val="BodyText"/>
      </w:pPr>
      <w:r>
        <w:t xml:space="preserve">Desde una perspectiva estadística, estos indicadores pueden clasificarse en tres grandes categorías: conteos poblacionales, tasas derivadas y estructuras etarias. Aunque cada uno describe una dimensión distinta de la población, todos dependen de una misma cantidad fundamental: el número de personas residentes en un determinado dominio geográfico y demográfico. En consecuencia, la calidad de los indicadores derivados está condicionada por la precisión de los conteos poblacionales que les sirven de base.</w:t>
      </w:r>
    </w:p>
    <w:p>
      <w:pPr>
        <w:pStyle w:val="BodyText"/>
      </w:pPr>
      <w:r>
        <w:t xml:space="preserve">En la práctica, los conteos observados durante un censo pueden verse afectados por errores de cobertura, omisiones, duplicaciones, problemas de acceso al territorio, rechazo de los informantes y otras dificultades operativas propias del proceso de enumeración. Estas limitaciones adquieren mayor relevancia a medida que aumenta el nivel de desagregación geográfica, donde incluso pequeñas diferencias en los conteos pueden producir variaciones importantes en los indicadores derivados y comprometer la comparabilidad entre territorios.</w:t>
      </w:r>
    </w:p>
    <w:p>
      <w:pPr>
        <w:pStyle w:val="BodyText"/>
      </w:pPr>
      <w:r>
        <w:t xml:space="preserve">Por esta razón, el objetivo central de este libro no consiste en modelar cada indicador demográfico de manera independiente, sino en estimar de forma consistente los conteos poblacionales por área geográfica, sexo y grupo de edad. Una vez estimados estos conteos, es posible obtener de manera coherente la mayoría de los indicadores utilizados en el análisis demográfico y en la producción de estadísticas oficiales. Bajo este enfoque, los indicadores derivados se entienden como funciones de una población subyacente cuya estimación constituye el problema fundamental del modelamiento estadístico desarrollado en los capítulos siguientes.</w:t>
      </w:r>
    </w:p>
    <w:p>
      <w:pPr>
        <w:pStyle w:val="BodyText"/>
      </w:pPr>
      <w:r>
        <w:t xml:space="preserve">En este contexto, la presente sección describe las principales cantidades de interés consideradas a lo largo del libro y su relación con los modelos de población. En particular, se distinguen tres componentes fundamentales:</w:t>
      </w:r>
    </w:p>
    <w:p>
      <w:pPr>
        <w:numPr>
          <w:ilvl w:val="0"/>
          <w:numId w:val="1001"/>
        </w:numPr>
      </w:pPr>
      <w:r>
        <w:rPr>
          <w:i/>
          <w:iCs/>
        </w:rPr>
        <w:t xml:space="preserve">Conteos poblacionales</w:t>
      </w:r>
      <w:r>
        <w:t xml:space="preserve">, que constituyen la variable de interés principal del modelamiento.</w:t>
      </w:r>
    </w:p>
    <w:p>
      <w:pPr>
        <w:numPr>
          <w:ilvl w:val="0"/>
          <w:numId w:val="1001"/>
        </w:numPr>
      </w:pPr>
      <w:r>
        <w:rPr>
          <w:i/>
          <w:iCs/>
        </w:rPr>
        <w:t xml:space="preserve">Tasas derivadas</w:t>
      </w:r>
      <w:r>
        <w:t xml:space="preserve">, obtenidas como funciones de los conteos y utilizadas para comparar territorios con diferentes tamaños poblacionales.</w:t>
      </w:r>
    </w:p>
    <w:p>
      <w:pPr>
        <w:numPr>
          <w:ilvl w:val="0"/>
          <w:numId w:val="1001"/>
        </w:numPr>
      </w:pPr>
      <w:r>
        <w:rPr>
          <w:i/>
          <w:iCs/>
        </w:rPr>
        <w:t xml:space="preserve">Estructuras etarias</w:t>
      </w:r>
      <w:r>
        <w:t xml:space="preserve">, que describen la distribución de la población según características como la edad y el sexo y sirven de base para numerosos indicadores y proyecciones demográficas.</w:t>
      </w:r>
    </w:p>
    <w:bookmarkStart w:id="16" w:name="conteos-poblacionales"/>
    <w:p>
      <w:pPr>
        <w:pStyle w:val="Heading3"/>
      </w:pPr>
      <w:r>
        <w:rPr>
          <w:rStyle w:val="SectionNumber"/>
        </w:rPr>
        <w:t xml:space="preserve">1.2.1</w:t>
      </w:r>
      <w:r>
        <w:tab/>
      </w:r>
      <w:r>
        <w:t xml:space="preserve">Conteos poblacionales</w:t>
      </w:r>
    </w:p>
    <w:p>
      <w:pPr>
        <w:pStyle w:val="FirstParagraph"/>
      </w:pPr>
      <w:r>
        <w:t xml:space="preserve">Los conteos poblacionales constituyen la unidad básica de información de los sistemas estadísticos de población y la principal variable de interés de este libro. Representan el número de personas residentes o presentes en un dominio geográfico determinado y sirven de base para la construcción de indicadores demográficos, sociales y económicos.</w:t>
      </w:r>
    </w:p>
    <w:p>
      <w:pPr>
        <w:pStyle w:val="BodyText"/>
      </w:pPr>
      <w:r>
        <w:t xml:space="preserve">Sea</w:t>
      </w:r>
      <w:r>
        <w:t xml:space="preserve"> </w:t>
      </w:r>
      <m:oMath>
        <m:sSub>
          <m:e>
            <m:r>
              <m:t>N</m:t>
            </m:r>
          </m:e>
          <m:sub>
            <m:r>
              <m:t>i</m:t>
            </m:r>
            <m:r>
              <m:rPr>
                <m:sty m:val="p"/>
              </m:rPr>
              <m:t>,</m:t>
            </m:r>
            <m:r>
              <m:t>s</m:t>
            </m:r>
            <m:r>
              <m:rPr>
                <m:sty m:val="p"/>
              </m:rPr>
              <m:t>,</m:t>
            </m:r>
            <m:r>
              <m:t>e</m:t>
            </m:r>
          </m:sub>
        </m:sSub>
      </m:oMath>
      <w:r>
        <w:t xml:space="preserve"> </w:t>
      </w:r>
      <w:r>
        <w:t xml:space="preserve">el número de personas residentes en el dominio geográfico</w:t>
      </w:r>
      <w:r>
        <w:t xml:space="preserve"> </w:t>
      </w:r>
      <m:oMath>
        <m:r>
          <m:t>i</m:t>
        </m:r>
      </m:oMath>
      <w:r>
        <w:t xml:space="preserve">, de sexo</w:t>
      </w:r>
      <w:r>
        <w:t xml:space="preserve"> </w:t>
      </w:r>
      <m:oMath>
        <m:r>
          <m:t>s</m:t>
        </m:r>
        <m:r>
          <m:rPr>
            <m:sty m:val="p"/>
          </m:rPr>
          <m:t>∈</m:t>
        </m:r>
        <m:r>
          <m:rPr>
            <m:sty m:val="p"/>
          </m:rPr>
          <m:t>{</m:t>
        </m:r>
        <m:r>
          <m:t>M</m:t>
        </m:r>
        <m:r>
          <m:rPr>
            <m:sty m:val="p"/>
          </m:rPr>
          <m:t>,</m:t>
        </m:r>
        <m:r>
          <m:t>F</m:t>
        </m:r>
        <m:r>
          <m:rPr>
            <m:sty m:val="p"/>
          </m:rPr>
          <m:t>}</m:t>
        </m:r>
      </m:oMath>
      <w:r>
        <w:t xml:space="preserve"> </w:t>
      </w:r>
      <w:r>
        <w:t xml:space="preserve">y grupo de edad</w:t>
      </w:r>
      <w:r>
        <w:t xml:space="preserve"> </w:t>
      </w:r>
      <m:oMath>
        <m:r>
          <m:t>e</m:t>
        </m:r>
        <m:r>
          <m:rPr>
            <m:sty m:val="p"/>
          </m:rPr>
          <m:t>∈</m:t>
        </m:r>
        <m:r>
          <m:rPr>
            <m:sty m:val="p"/>
          </m:rPr>
          <m:t>{</m:t>
        </m:r>
        <m:r>
          <m:t>1</m:t>
        </m:r>
        <m:r>
          <m:rPr>
            <m:sty m:val="p"/>
          </m:rPr>
          <m:t>,</m:t>
        </m:r>
        <m:r>
          <m:rPr>
            <m:sty m:val="p"/>
          </m:rPr>
          <m:t>…</m:t>
        </m:r>
        <m:r>
          <m:rPr>
            <m:sty m:val="p"/>
          </m:rPr>
          <m:t>,</m:t>
        </m:r>
        <m:r>
          <m:t>E</m:t>
        </m:r>
        <m:r>
          <m:rPr>
            <m:sty m:val="p"/>
          </m:rPr>
          <m:t>}</m:t>
        </m:r>
      </m:oMath>
      <w:r>
        <w:t xml:space="preserve">. Esta cantidad constituye la unidad fundamental de análisis, al representar simultáneamente la dimensión territorial y la estructura demográfica de la población.</w:t>
      </w:r>
    </w:p>
    <w:p>
      <w:pPr>
        <w:pStyle w:val="BodyText"/>
      </w:pPr>
      <w:r>
        <w:t xml:space="preserve">El conteo total de población del dominio</w:t>
      </w:r>
      <w:r>
        <w:t xml:space="preserve"> </w:t>
      </w:r>
      <m:oMath>
        <m:r>
          <m:t>i</m:t>
        </m:r>
      </m:oMath>
      <w:r>
        <w:t xml:space="preserve"> </w:t>
      </w:r>
      <w:r>
        <w:t xml:space="preserve">se obtiene mediante</w:t>
      </w:r>
    </w:p>
    <w:p>
      <w:pPr>
        <w:pStyle w:val="BodyText"/>
      </w:pPr>
      <m:oMathPara>
        <m:oMathParaPr>
          <m:jc m:val="center"/>
        </m:oMathParaPr>
        <m:oMath>
          <m:sSub>
            <m:e>
              <m:r>
                <m:t>N</m:t>
              </m:r>
            </m:e>
            <m:sub>
              <m:r>
                <m:t>i</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nary>
                <m:naryPr>
                  <m:chr m:val="∑"/>
                  <m:limLoc m:val="undOvr"/>
                  <m:subHide m:val="off"/>
                  <m:supHide m:val="off"/>
                </m:naryPr>
                <m:sub>
                  <m:r>
                    <m:t>e</m:t>
                  </m:r>
                  <m:r>
                    <m:rPr>
                      <m:sty m:val="p"/>
                    </m:rPr>
                    <m:t>=</m:t>
                  </m:r>
                  <m:r>
                    <m:t>1</m:t>
                  </m:r>
                </m:sub>
                <m:sup>
                  <m:r>
                    <m:t>E</m:t>
                  </m:r>
                </m:sup>
                <m:e>
                  <m:sSub>
                    <m:e>
                      <m:r>
                        <m:t>N</m:t>
                      </m:r>
                    </m:e>
                    <m:sub>
                      <m:r>
                        <m:t>i</m:t>
                      </m:r>
                      <m:r>
                        <m:rPr>
                          <m:sty m:val="p"/>
                        </m:rPr>
                        <m:t>,</m:t>
                      </m:r>
                      <m:r>
                        <m:t>s</m:t>
                      </m:r>
                      <m:r>
                        <m:rPr>
                          <m:sty m:val="p"/>
                        </m:rPr>
                        <m:t>,</m:t>
                      </m:r>
                      <m:r>
                        <m:t>e</m:t>
                      </m:r>
                    </m:sub>
                  </m:sSub>
                </m:e>
              </m:nary>
            </m:e>
          </m:nary>
          <m:r>
            <m:rPr>
              <m:sty m:val="p"/>
            </m:rPr>
            <m:t>,</m:t>
          </m:r>
        </m:oMath>
      </m:oMathPara>
    </w:p>
    <w:p>
      <w:pPr>
        <w:pStyle w:val="FirstParagraph"/>
      </w:pPr>
      <w:r>
        <w:t xml:space="preserve">mientras que la población total del país corresponde a</w:t>
      </w:r>
    </w:p>
    <w:p>
      <w:pPr>
        <w:pStyle w:val="BodyText"/>
      </w:pPr>
      <m:oMathPara>
        <m:oMathParaPr>
          <m:jc m:val="center"/>
        </m:oMathParaPr>
        <m:oMath>
          <m:r>
            <m:t>N</m:t>
          </m:r>
          <m:r>
            <m:rPr>
              <m:sty m:val="p"/>
            </m:rPr>
            <m:t>=</m:t>
          </m:r>
          <m:nary>
            <m:naryPr>
              <m:chr m:val="∑"/>
              <m:limLoc m:val="undOvr"/>
              <m:subHide m:val="off"/>
              <m:supHide m:val="off"/>
            </m:naryPr>
            <m:sub>
              <m:r>
                <m:t>i</m:t>
              </m:r>
              <m:r>
                <m:rPr>
                  <m:sty m:val="p"/>
                </m:rPr>
                <m:t>=</m:t>
              </m:r>
              <m:r>
                <m:t>1</m:t>
              </m:r>
            </m:sub>
            <m:sup>
              <m:r>
                <m:t>I</m:t>
              </m:r>
            </m:sup>
            <m:e>
              <m:sSub>
                <m:e>
                  <m:r>
                    <m:t>N</m:t>
                  </m:r>
                </m:e>
                <m:sub>
                  <m:r>
                    <m:t>i</m:t>
                  </m:r>
                </m:sub>
              </m:sSub>
            </m:e>
          </m:nary>
          <m:r>
            <m:rPr>
              <m:sty m:val="p"/>
            </m:rPr>
            <m:t>.</m:t>
          </m:r>
        </m:oMath>
      </m:oMathPara>
    </w:p>
    <w:p>
      <w:pPr>
        <w:pStyle w:val="FirstParagraph"/>
      </w:pPr>
      <w:r>
        <w:t xml:space="preserve">La organización jerárquica de los sistemas estadísticos requiere que los conteos de niveles geográficos inferiores sean consistentes con los totales de niveles superiores. Si</w:t>
      </w:r>
      <w:r>
        <w:t xml:space="preserve"> </w:t>
      </w:r>
      <m:oMath>
        <m:sSubSup>
          <m:e>
            <m:r>
              <m:t>N</m:t>
            </m:r>
          </m:e>
          <m:sub>
            <m:r>
              <m:t>j</m:t>
            </m:r>
          </m:sub>
          <m:sup>
            <m:r>
              <m:rPr>
                <m:sty m:val="p"/>
              </m:rPr>
              <m:t>(</m:t>
            </m:r>
            <m:r>
              <m:t>2</m:t>
            </m:r>
            <m:r>
              <m:rPr>
                <m:sty m:val="p"/>
              </m:rPr>
              <m:t>)</m:t>
            </m:r>
          </m:sup>
        </m:sSubSup>
      </m:oMath>
      <w:r>
        <w:t xml:space="preserve">,</w:t>
      </w:r>
      <w:r>
        <w:t xml:space="preserve"> </w:t>
      </w:r>
      <m:oMath>
        <m:sSubSup>
          <m:e>
            <m:r>
              <m:t>N</m:t>
            </m:r>
          </m:e>
          <m:sub>
            <m:r>
              <m:t>k</m:t>
            </m:r>
          </m:sub>
          <m:sup>
            <m:r>
              <m:rPr>
                <m:sty m:val="p"/>
              </m:rPr>
              <m:t>(</m:t>
            </m:r>
            <m:r>
              <m:t>3</m:t>
            </m:r>
            <m:r>
              <m:rPr>
                <m:sty m:val="p"/>
              </m:rPr>
              <m:t>)</m:t>
            </m:r>
          </m:sup>
        </m:sSubSup>
      </m:oMath>
      <w:r>
        <w:t xml:space="preserve"> </w:t>
      </w:r>
      <w:r>
        <w:t xml:space="preserve">y</w:t>
      </w:r>
      <w:r>
        <w:t xml:space="preserve"> </w:t>
      </w:r>
      <m:oMath>
        <m:sSubSup>
          <m:e>
            <m:r>
              <m:t>N</m:t>
            </m:r>
          </m:e>
          <m:sub>
            <m:r>
              <m:t>ℓ</m:t>
            </m:r>
          </m:sub>
          <m:sup>
            <m:r>
              <m:rPr>
                <m:sty m:val="p"/>
              </m:rPr>
              <m:t>(</m:t>
            </m:r>
            <m:r>
              <m:t>4</m:t>
            </m:r>
            <m:r>
              <m:rPr>
                <m:sty m:val="p"/>
              </m:rPr>
              <m:t>)</m:t>
            </m:r>
          </m:sup>
        </m:sSubSup>
      </m:oMath>
      <w:r>
        <w:t xml:space="preserve"> </w:t>
      </w:r>
      <w:r>
        <w:t xml:space="preserve">representan, respectivamente, los conteos de un departamento, municipio y segmento censal, entonces deben cumplirse las relaciones</w:t>
      </w:r>
    </w:p>
    <w:p>
      <w:pPr>
        <w:pStyle w:val="BodyText"/>
      </w:pPr>
      <m:oMathPara>
        <m:oMathParaPr>
          <m:jc m:val="center"/>
        </m:oMathParaPr>
        <m:oMath>
          <m:sSubSup>
            <m:e>
              <m:r>
                <m:t>N</m:t>
              </m:r>
            </m:e>
            <m:sub>
              <m:r>
                <m:t>j</m:t>
              </m:r>
            </m:sub>
            <m:sup>
              <m:r>
                <m:rPr>
                  <m:sty m:val="p"/>
                </m:rPr>
                <m:t>(</m:t>
              </m:r>
              <m:r>
                <m:t>2</m:t>
              </m:r>
              <m:r>
                <m:rPr>
                  <m:sty m:val="p"/>
                </m:rPr>
                <m:t>)</m:t>
              </m:r>
            </m:sup>
          </m:sSubSup>
          <m:r>
            <m:rPr>
              <m:sty m:val="p"/>
            </m:rPr>
            <m:t>=</m:t>
          </m:r>
          <m:nary>
            <m:naryPr>
              <m:chr m:val="∑"/>
              <m:limLoc m:val="undOvr"/>
              <m:subHide m:val="off"/>
              <m:supHide m:val="on"/>
            </m:naryPr>
            <m:sub>
              <m:r>
                <m:t>k</m:t>
              </m:r>
              <m:r>
                <m:rPr>
                  <m:sty m:val="p"/>
                </m:rPr>
                <m:t>:</m:t>
              </m:r>
              <m:r>
                <m:t>k</m:t>
              </m:r>
              <m:r>
                <m:rPr>
                  <m:sty m:val="p"/>
                </m:rPr>
                <m:t>⊂</m:t>
              </m:r>
              <m:r>
                <m:t>j</m:t>
              </m:r>
            </m:sub>
            <m:sup>
              <m:r>
                <m:t>​</m:t>
              </m:r>
            </m:sup>
            <m:e>
              <m:sSubSup>
                <m:e>
                  <m:r>
                    <m:t>N</m:t>
                  </m:r>
                </m:e>
                <m:sub>
                  <m:r>
                    <m:t>k</m:t>
                  </m:r>
                </m:sub>
                <m:sup>
                  <m:r>
                    <m:rPr>
                      <m:sty m:val="p"/>
                    </m:rPr>
                    <m:t>(</m:t>
                  </m:r>
                  <m:r>
                    <m:t>3</m:t>
                  </m:r>
                  <m:r>
                    <m:rPr>
                      <m:sty m:val="p"/>
                    </m:rPr>
                    <m:t>)</m:t>
                  </m:r>
                </m:sup>
              </m:sSubSup>
            </m:e>
          </m:nary>
          <m:r>
            <m:rPr>
              <m:sty m:val="p"/>
            </m:rPr>
            <m:t>,</m:t>
          </m:r>
          <m:r>
            <m:t>  </m:t>
          </m:r>
          <m:sSubSup>
            <m:e>
              <m:r>
                <m:t>N</m:t>
              </m:r>
            </m:e>
            <m:sub>
              <m:r>
                <m:t>k</m:t>
              </m:r>
            </m:sub>
            <m:sup>
              <m:r>
                <m:rPr>
                  <m:sty m:val="p"/>
                </m:rPr>
                <m:t>(</m:t>
              </m:r>
              <m:r>
                <m:t>3</m:t>
              </m:r>
              <m:r>
                <m:rPr>
                  <m:sty m:val="p"/>
                </m:rPr>
                <m:t>)</m:t>
              </m:r>
            </m:sup>
          </m:sSubSup>
          <m:r>
            <m:rPr>
              <m:sty m:val="p"/>
            </m:rPr>
            <m:t>=</m:t>
          </m:r>
          <m:nary>
            <m:naryPr>
              <m:chr m:val="∑"/>
              <m:limLoc m:val="undOvr"/>
              <m:subHide m:val="off"/>
              <m:supHide m:val="on"/>
            </m:naryPr>
            <m:sub>
              <m:r>
                <m:t>ℓ</m:t>
              </m:r>
              <m:r>
                <m:rPr>
                  <m:sty m:val="p"/>
                </m:rPr>
                <m:t>:</m:t>
              </m:r>
              <m:r>
                <m:t>ℓ</m:t>
              </m:r>
              <m:r>
                <m:rPr>
                  <m:sty m:val="p"/>
                </m:rPr>
                <m:t>⊂</m:t>
              </m:r>
              <m:r>
                <m:t>k</m:t>
              </m:r>
            </m:sub>
            <m:sup>
              <m:r>
                <m:t>​</m:t>
              </m:r>
            </m:sup>
            <m:e>
              <m:sSubSup>
                <m:e>
                  <m:r>
                    <m:t>N</m:t>
                  </m:r>
                </m:e>
                <m:sub>
                  <m:r>
                    <m:t>ℓ</m:t>
                  </m:r>
                </m:sub>
                <m:sup>
                  <m:r>
                    <m:rPr>
                      <m:sty m:val="p"/>
                    </m:rPr>
                    <m:t>(</m:t>
                  </m:r>
                  <m:r>
                    <m:t>4</m:t>
                  </m:r>
                  <m:r>
                    <m:rPr>
                      <m:sty m:val="p"/>
                    </m:rPr>
                    <m:t>)</m:t>
                  </m:r>
                </m:sup>
              </m:sSubSup>
            </m:e>
          </m:nary>
          <m:r>
            <m:rPr>
              <m:sty m:val="p"/>
            </m:rPr>
            <m:t>.</m:t>
          </m:r>
        </m:oMath>
      </m:oMathPara>
    </w:p>
    <w:p>
      <w:pPr>
        <w:pStyle w:val="FirstParagraph"/>
      </w:pPr>
      <w:r>
        <w:t xml:space="preserve">En la práctica, los conteos observados pueden diferir de la población verdadera debido a errores de cobertura, omisiones, problemas de acceso al territorio o dificultades durante el operativo censal. Estas diferencias adquieren mayor importancia en dominios pequeños, donde incluso pequeñas omisiones pueden afectar significativamente los indicadores derivados.</w:t>
      </w:r>
    </w:p>
    <w:p>
      <w:pPr>
        <w:pStyle w:val="BodyText"/>
      </w:pPr>
      <w:r>
        <w:t xml:space="preserve">Por esta razón, en este libro los conteos poblacionales se consideran variables observadas sujetas a incertidumbre. Los modelos bayesianos desarrollados en los capítulos siguientes tienen como objetivo estimar los conteos poblacionales en dominios con cobertura parcial o incompleta, preservando la coherencia entre los distintos niveles territoriales y las desagregaciones por sexo y edad.</w:t>
      </w:r>
    </w:p>
    <w:bookmarkEnd w:id="16"/>
    <w:bookmarkStart w:id="17" w:name="tasas-derivadas"/>
    <w:p>
      <w:pPr>
        <w:pStyle w:val="Heading3"/>
      </w:pPr>
      <w:r>
        <w:rPr>
          <w:rStyle w:val="SectionNumber"/>
        </w:rPr>
        <w:t xml:space="preserve">1.2.2</w:t>
      </w:r>
      <w:r>
        <w:tab/>
      </w:r>
      <w:r>
        <w:t xml:space="preserve">Tasas derivadas</w:t>
      </w:r>
    </w:p>
    <w:p>
      <w:pPr>
        <w:pStyle w:val="FirstParagraph"/>
      </w:pPr>
      <w:r>
        <w:t xml:space="preserve">Los conteos poblacionales constituyen la base para la construcción de numerosos indicadores utilizados en el análisis demográfico y territorial. A diferencia de los conteos absolutos, las tasas e índices permiten comparar poblaciones de diferente tamaño y describir características relativas de su distribución y estructura. Sin embargo, todos estos indicadores dependen directamente de los conteos poblacionales y, por tanto, su calidad está condicionada por la precisión de las estimaciones que les sirven de base.</w:t>
      </w:r>
    </w:p>
    <w:p>
      <w:pPr>
        <w:pStyle w:val="BodyText"/>
      </w:pPr>
      <w:r>
        <w:t xml:space="preserve">Uno de los indicadores más utilizados es la</w:t>
      </w:r>
      <w:r>
        <w:t xml:space="preserve"> </w:t>
      </w:r>
      <w:r>
        <w:rPr>
          <w:b/>
          <w:bCs/>
        </w:rPr>
        <w:t xml:space="preserve">densidad poblacional</w:t>
      </w:r>
      <w:r>
        <w:t xml:space="preserve">, que expresa la relación entre el número de habitantes y la superficie del territorio. Para un dominio geográfico</w:t>
      </w:r>
      <w:r>
        <w:t xml:space="preserve"> </w:t>
      </w:r>
      <m:oMath>
        <m:r>
          <m:t>i</m:t>
        </m:r>
      </m:oMath>
      <w:r>
        <w:t xml:space="preserve">, se define como</w:t>
      </w:r>
    </w:p>
    <w:p>
      <w:pPr>
        <w:pStyle w:val="BodyText"/>
      </w:pPr>
      <m:oMathPara>
        <m:oMathParaPr>
          <m:jc m:val="center"/>
        </m:oMathParaPr>
        <m:oMath>
          <m:sSub>
            <m:e>
              <m:r>
                <m:t>D</m:t>
              </m:r>
            </m:e>
            <m:sub>
              <m:r>
                <m:t>i</m:t>
              </m:r>
            </m:sub>
          </m:sSub>
          <m:r>
            <m:rPr>
              <m:sty m:val="p"/>
            </m:rPr>
            <m:t>=</m:t>
          </m:r>
          <m:f>
            <m:fPr>
              <m:type m:val="bar"/>
            </m:fPr>
            <m:num>
              <m:sSub>
                <m:e>
                  <m:r>
                    <m:t>N</m:t>
                  </m:r>
                </m:e>
                <m:sub>
                  <m:r>
                    <m:t>i</m:t>
                  </m:r>
                </m:sub>
              </m:sSub>
            </m:num>
            <m:den>
              <m:sSub>
                <m:e>
                  <m:r>
                    <m:t>A</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del territorio y</w:t>
      </w:r>
      <w:r>
        <w:t xml:space="preserve"> </w:t>
      </w:r>
      <m:oMath>
        <m:sSub>
          <m:e>
            <m:r>
              <m:t>A</m:t>
            </m:r>
          </m:e>
          <m:sub>
            <m:r>
              <m:t>i</m:t>
            </m:r>
          </m:sub>
        </m:sSub>
      </m:oMath>
      <w:r>
        <w:t xml:space="preserve"> </w:t>
      </w:r>
      <w:r>
        <w:t xml:space="preserve">su superficie.</w:t>
      </w:r>
    </w:p>
    <w:p>
      <w:pPr>
        <w:pStyle w:val="BodyText"/>
      </w:pPr>
      <w:r>
        <w:t xml:space="preserve">Otro indicador de uso frecuente es la</w:t>
      </w:r>
      <w:r>
        <w:t xml:space="preserve"> </w:t>
      </w:r>
      <w:r>
        <w:rPr>
          <w:b/>
          <w:bCs/>
        </w:rPr>
        <w:t xml:space="preserve">razón de masculinidad</w:t>
      </w:r>
      <w:r>
        <w:t xml:space="preserve">, que mide la relación entre la población masculina y femenina,</w:t>
      </w:r>
    </w:p>
    <w:p>
      <w:pPr>
        <w:pStyle w:val="BodyText"/>
      </w:pPr>
      <m:oMathPara>
        <m:oMathParaPr>
          <m:jc m:val="center"/>
        </m:oMathParaPr>
        <m:oMath>
          <m:sSub>
            <m:e>
              <m:r>
                <m:rPr>
                  <m:nor/>
                  <m:sty m:val="p"/>
                </m:rPr>
                <m:t>RM</m:t>
              </m:r>
            </m:e>
            <m:sub>
              <m:r>
                <m:t>i</m:t>
              </m:r>
            </m:sub>
          </m:sSub>
          <m:r>
            <m:rPr>
              <m:sty m:val="p"/>
            </m:rPr>
            <m:t>=</m:t>
          </m:r>
          <m:f>
            <m:fPr>
              <m:type m:val="bar"/>
            </m:fPr>
            <m:num>
              <m:sSub>
                <m:e>
                  <m:r>
                    <m:t>N</m:t>
                  </m:r>
                </m:e>
                <m:sub>
                  <m:r>
                    <m:t>i</m:t>
                  </m:r>
                  <m:r>
                    <m:rPr>
                      <m:sty m:val="p"/>
                    </m:rPr>
                    <m:t>,</m:t>
                  </m:r>
                  <m:r>
                    <m:t>M</m:t>
                  </m:r>
                </m:sub>
              </m:sSub>
            </m:num>
            <m:den>
              <m:sSub>
                <m:e>
                  <m:r>
                    <m:t>N</m:t>
                  </m:r>
                </m:e>
                <m:sub>
                  <m:r>
                    <m:t>i</m:t>
                  </m:r>
                  <m:r>
                    <m:rPr>
                      <m:sty m:val="p"/>
                    </m:rPr>
                    <m:t>,</m:t>
                  </m:r>
                  <m:r>
                    <m:t>F</m:t>
                  </m:r>
                </m:sub>
              </m:sSub>
            </m:den>
          </m:f>
          <m:r>
            <m:rPr>
              <m:sty m:val="p"/>
            </m:rPr>
            <m:t>×</m:t>
          </m:r>
          <m:r>
            <m:t>100</m:t>
          </m:r>
          <m:r>
            <m:rPr>
              <m:sty m:val="p"/>
            </m:rPr>
            <m:t>,</m:t>
          </m:r>
        </m:oMath>
      </m:oMathPara>
    </w:p>
    <w:p>
      <w:pPr>
        <w:pStyle w:val="FirstParagraph"/>
      </w:pPr>
      <w:r>
        <w:t xml:space="preserve">donde</w:t>
      </w:r>
      <w:r>
        <w:t xml:space="preserve"> </w:t>
      </w:r>
      <m:oMath>
        <m:sSub>
          <m:e>
            <m:r>
              <m:t>N</m:t>
            </m:r>
          </m:e>
          <m:sub>
            <m:r>
              <m:t>i</m:t>
            </m:r>
            <m:r>
              <m:rPr>
                <m:sty m:val="p"/>
              </m:rPr>
              <m:t>,</m:t>
            </m:r>
            <m:r>
              <m:t>M</m:t>
            </m:r>
          </m:sub>
        </m:sSub>
        <m:r>
          <m:rPr>
            <m:sty m:val="p"/>
          </m:rPr>
          <m:t>=</m:t>
        </m:r>
        <m:nary>
          <m:naryPr>
            <m:chr m:val="∑"/>
            <m:limLoc m:val="undOvr"/>
            <m:subHide m:val="off"/>
            <m:supHide m:val="on"/>
          </m:naryPr>
          <m:sub>
            <m:r>
              <m:t>e</m:t>
            </m:r>
          </m:sub>
          <m:sup>
            <m:r>
              <m:t>​</m:t>
            </m:r>
          </m:sup>
          <m:e>
            <m:sSub>
              <m:e>
                <m:r>
                  <m:t>N</m:t>
                </m:r>
              </m:e>
              <m:sub>
                <m:r>
                  <m:t>i</m:t>
                </m:r>
                <m:r>
                  <m:rPr>
                    <m:sty m:val="p"/>
                  </m:rPr>
                  <m:t>,</m:t>
                </m:r>
                <m:r>
                  <m:t>M</m:t>
                </m:r>
                <m:r>
                  <m:rPr>
                    <m:sty m:val="p"/>
                  </m:rPr>
                  <m:t>,</m:t>
                </m:r>
                <m:r>
                  <m:t>e</m:t>
                </m:r>
              </m:sub>
            </m:sSub>
          </m:e>
        </m:nary>
      </m:oMath>
      <w:r>
        <w:t xml:space="preserve"> </w:t>
      </w:r>
      <w:r>
        <w:t xml:space="preserve">y</w:t>
      </w:r>
      <w:r>
        <w:t xml:space="preserve"> </w:t>
      </w:r>
      <m:oMath>
        <m:sSub>
          <m:e>
            <m:r>
              <m:t>N</m:t>
            </m:r>
          </m:e>
          <m:sub>
            <m:r>
              <m:t>i</m:t>
            </m:r>
            <m:r>
              <m:rPr>
                <m:sty m:val="p"/>
              </m:rPr>
              <m:t>,</m:t>
            </m:r>
            <m:r>
              <m:t>F</m:t>
            </m:r>
          </m:sub>
        </m:sSub>
        <m:r>
          <m:rPr>
            <m:sty m:val="p"/>
          </m:rPr>
          <m:t>=</m:t>
        </m:r>
        <m:nary>
          <m:naryPr>
            <m:chr m:val="∑"/>
            <m:limLoc m:val="undOvr"/>
            <m:subHide m:val="off"/>
            <m:supHide m:val="on"/>
          </m:naryPr>
          <m:sub>
            <m:r>
              <m:t>e</m:t>
            </m:r>
          </m:sub>
          <m:sup>
            <m:r>
              <m:t>​</m:t>
            </m:r>
          </m:sup>
          <m:e>
            <m:sSub>
              <m:e>
                <m:r>
                  <m:t>N</m:t>
                </m:r>
              </m:e>
              <m:sub>
                <m:r>
                  <m:t>i</m:t>
                </m:r>
                <m:r>
                  <m:rPr>
                    <m:sty m:val="p"/>
                  </m:rPr>
                  <m:t>,</m:t>
                </m:r>
                <m:r>
                  <m:t>F</m:t>
                </m:r>
                <m:r>
                  <m:rPr>
                    <m:sty m:val="p"/>
                  </m:rPr>
                  <m:t>,</m:t>
                </m:r>
                <m:r>
                  <m:t>e</m:t>
                </m:r>
              </m:sub>
            </m:sSub>
          </m:e>
        </m:nary>
      </m:oMath>
      <w:r>
        <w:t xml:space="preserve"> </w:t>
      </w:r>
      <w:r>
        <w:t xml:space="preserve">corresponden a la población masculina y femenina del territorio</w:t>
      </w:r>
      <w:r>
        <w:t xml:space="preserve"> </w:t>
      </w:r>
      <m:oMath>
        <m:r>
          <m:t>i</m:t>
        </m:r>
      </m:oMath>
      <w:r>
        <w:t xml:space="preserve">, respectivamente.</w:t>
      </w:r>
    </w:p>
    <w:p>
      <w:pPr>
        <w:pStyle w:val="BodyText"/>
      </w:pPr>
      <w:r>
        <w:t xml:space="preserve">La</w:t>
      </w:r>
      <w:r>
        <w:t xml:space="preserve"> </w:t>
      </w:r>
      <w:r>
        <w:rPr>
          <w:b/>
          <w:bCs/>
        </w:rPr>
        <w:t xml:space="preserve">tasa de dependencia demográfica</w:t>
      </w:r>
      <w:r>
        <w:t xml:space="preserve"> </w:t>
      </w:r>
      <w:r>
        <w:t xml:space="preserve">resume la relación entre la población potencialmente dependiente y la población en edades económicamente activas,</w:t>
      </w:r>
    </w:p>
    <w:p>
      <w:pPr>
        <w:pStyle w:val="BodyText"/>
      </w:pPr>
      <m:oMathPara>
        <m:oMathParaPr>
          <m:jc m:val="center"/>
        </m:oMathParaPr>
        <m:oMath>
          <m:sSub>
            <m:e>
              <m:r>
                <m:rPr>
                  <m:nor/>
                  <m:sty m:val="p"/>
                </m:rPr>
                <m:t>TD</m:t>
              </m:r>
            </m:e>
            <m:sub>
              <m:r>
                <m:t>i</m:t>
              </m:r>
            </m:sub>
          </m:sSub>
          <m:r>
            <m:rPr>
              <m:sty m:val="p"/>
            </m:rPr>
            <m:t>=</m:t>
          </m:r>
          <m:f>
            <m:fPr>
              <m:type m:val="bar"/>
            </m:fPr>
            <m:num>
              <m:sSub>
                <m:e>
                  <m:r>
                    <m:t>N</m:t>
                  </m:r>
                </m:e>
                <m:sub>
                  <m:r>
                    <m:t>i</m:t>
                  </m:r>
                  <m:r>
                    <m:rPr>
                      <m:sty m:val="p"/>
                    </m:rPr>
                    <m:t>,</m:t>
                  </m:r>
                  <m:r>
                    <m:rPr>
                      <m:sty m:val="p"/>
                    </m:rPr>
                    <m:t>[</m:t>
                  </m:r>
                  <m:r>
                    <m:t>0</m:t>
                  </m:r>
                  <m:r>
                    <m:rPr>
                      <m:sty m:val="p"/>
                    </m:rPr>
                    <m:t>,</m:t>
                  </m:r>
                  <m:r>
                    <m:t>14</m:t>
                  </m:r>
                  <m:r>
                    <m:rPr>
                      <m:sty m:val="p"/>
                    </m:rPr>
                    <m:t>]</m:t>
                  </m:r>
                </m:sub>
              </m:sSub>
              <m:r>
                <m:rPr>
                  <m:sty m:val="p"/>
                </m:rPr>
                <m:t>+</m:t>
              </m:r>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15</m:t>
                  </m:r>
                  <m:r>
                    <m:rPr>
                      <m:sty m:val="p"/>
                    </m:rPr>
                    <m:t>,</m:t>
                  </m:r>
                  <m:r>
                    <m:t>64</m:t>
                  </m:r>
                  <m:r>
                    <m:rPr>
                      <m:sty m:val="p"/>
                    </m:rPr>
                    <m:t>]</m:t>
                  </m:r>
                </m:sub>
              </m:sSub>
            </m:den>
          </m:f>
          <m:r>
            <m:rPr>
              <m:sty m:val="p"/>
            </m:rPr>
            <m:t>×</m:t>
          </m:r>
          <m:r>
            <m:t>100</m:t>
          </m:r>
          <m:r>
            <m:rPr>
              <m:sty m:val="p"/>
            </m:rPr>
            <m:t>,</m:t>
          </m:r>
        </m:oMath>
      </m:oMathPara>
    </w:p>
    <w:p>
      <w:pPr>
        <w:pStyle w:val="FirstParagraph"/>
      </w:pPr>
      <w:r>
        <w:t xml:space="preserve">donde</w:t>
      </w:r>
    </w:p>
    <w:p>
      <w:pPr>
        <w:pStyle w:val="BodyText"/>
      </w:pPr>
      <m:oMathPara>
        <m:oMathParaPr>
          <m:jc m:val="center"/>
        </m:oMathParaPr>
        <m:oMath>
          <m:sSub>
            <m:e>
              <m:r>
                <m:t>N</m:t>
              </m:r>
            </m:e>
            <m:sub>
              <m:r>
                <m:t>i</m:t>
              </m:r>
              <m:r>
                <m:rPr>
                  <m:sty m:val="p"/>
                </m:rPr>
                <m:t>,</m:t>
              </m:r>
              <m:r>
                <m:rPr>
                  <m:sty m:val="p"/>
                </m:rPr>
                <m:t>[</m:t>
              </m:r>
              <m:r>
                <m:t>a</m:t>
              </m:r>
              <m:r>
                <m:rPr>
                  <m:sty m:val="p"/>
                </m:rPr>
                <m:t>,</m:t>
              </m:r>
              <m:r>
                <m:t>b</m:t>
              </m:r>
              <m:r>
                <m:rPr>
                  <m:sty m:val="p"/>
                </m:rPr>
                <m:t>]</m:t>
              </m:r>
            </m:sub>
          </m:sSub>
          <m:r>
            <m:rPr>
              <m:sty m:val="p"/>
            </m:rPr>
            <m:t>=</m:t>
          </m:r>
          <m:nary>
            <m:naryPr>
              <m:chr m:val="∑"/>
              <m:limLoc m:val="undOvr"/>
              <m:subHide m:val="off"/>
              <m:supHide m:val="on"/>
            </m:naryPr>
            <m:sub>
              <m:r>
                <m:t>s</m:t>
              </m:r>
            </m:sub>
            <m:sup>
              <m:r>
                <m:t>​</m:t>
              </m:r>
            </m:sup>
            <m:e>
              <m:nary>
                <m:naryPr>
                  <m:chr m:val="∑"/>
                  <m:limLoc m:val="undOvr"/>
                  <m:subHide m:val="off"/>
                  <m:supHide m:val="on"/>
                </m:naryPr>
                <m:sub>
                  <m:r>
                    <m:t>e</m:t>
                  </m:r>
                  <m:r>
                    <m:t> </m:t>
                  </m:r>
                  <m:r>
                    <m:rPr>
                      <m:sty m:val="p"/>
                    </m:rPr>
                    <m:t>:</m:t>
                  </m:r>
                  <m:r>
                    <m:t> </m:t>
                  </m:r>
                  <m:r>
                    <m:t>e</m:t>
                  </m:r>
                  <m:r>
                    <m:rPr>
                      <m:sty m:val="p"/>
                    </m:rPr>
                    <m:t>∈</m:t>
                  </m:r>
                  <m:r>
                    <m:rPr>
                      <m:sty m:val="p"/>
                    </m:rPr>
                    <m:t>[</m:t>
                  </m:r>
                  <m:r>
                    <m:t>a</m:t>
                  </m:r>
                  <m:r>
                    <m:rPr>
                      <m:sty m:val="p"/>
                    </m:rPr>
                    <m:t>,</m:t>
                  </m:r>
                  <m:r>
                    <m:t>b</m:t>
                  </m:r>
                  <m:r>
                    <m:rPr>
                      <m:sty m:val="p"/>
                    </m:rPr>
                    <m:t>]</m:t>
                  </m:r>
                </m:sub>
                <m:sup>
                  <m:r>
                    <m:t>​</m:t>
                  </m:r>
                </m:sup>
                <m:e>
                  <m:sSub>
                    <m:e>
                      <m:r>
                        <m:t>N</m:t>
                      </m:r>
                    </m:e>
                    <m:sub>
                      <m:r>
                        <m:t>i</m:t>
                      </m:r>
                      <m:r>
                        <m:rPr>
                          <m:sty m:val="p"/>
                        </m:rPr>
                        <m:t>,</m:t>
                      </m:r>
                      <m:r>
                        <m:t>s</m:t>
                      </m:r>
                      <m:r>
                        <m:rPr>
                          <m:sty m:val="p"/>
                        </m:rPr>
                        <m:t>,</m:t>
                      </m:r>
                      <m:r>
                        <m:t>e</m:t>
                      </m:r>
                    </m:sub>
                  </m:sSub>
                </m:e>
              </m:nary>
            </m:e>
          </m:nary>
          <m:r>
            <m:rPr>
              <m:sty m:val="p"/>
            </m:rPr>
            <m:t>(</m:t>
          </m:r>
          <m:r>
            <m:rPr>
              <m:sty m:val="p"/>
            </m:rPr>
            <m:t>#</m:t>
          </m:r>
          <m:r>
            <m:t>e</m:t>
          </m:r>
          <m:r>
            <m:t>q</m:t>
          </m:r>
          <m:r>
            <m:rPr>
              <m:sty m:val="p"/>
            </m:rPr>
            <m:t>:</m:t>
          </m:r>
          <m:r>
            <m:t>p</m:t>
          </m:r>
          <m:r>
            <m:t>o</m:t>
          </m:r>
          <m:r>
            <m:t>b</m:t>
          </m:r>
          <m:r>
            <m:t>l</m:t>
          </m:r>
          <m:r>
            <m:t>a</m:t>
          </m:r>
          <m:r>
            <m:t>c</m:t>
          </m:r>
          <m:r>
            <m:t>i</m:t>
          </m:r>
          <m:r>
            <m:t>o</m:t>
          </m:r>
          <m:r>
            <m:t>n</m:t>
          </m:r>
          <m:r>
            <m:rPr>
              <m:sty m:val="p"/>
            </m:rPr>
            <m:t>−</m:t>
          </m:r>
          <m:r>
            <m:t>t</m:t>
          </m:r>
          <m:r>
            <m:t>r</m:t>
          </m:r>
          <m:r>
            <m:t>a</m:t>
          </m:r>
          <m:r>
            <m:t>m</m:t>
          </m:r>
          <m:r>
            <m:t>o</m:t>
          </m:r>
          <m:r>
            <m:rPr>
              <m:sty m:val="p"/>
            </m:rPr>
            <m:t>)</m:t>
          </m:r>
        </m:oMath>
      </m:oMathPara>
    </w:p>
    <w:p>
      <w:pPr>
        <w:pStyle w:val="FirstParagraph"/>
      </w:pPr>
      <w:r>
        <w:t xml:space="preserve">denota la población del dominio</w:t>
      </w:r>
      <w:r>
        <w:t xml:space="preserve"> </w:t>
      </w:r>
      <m:oMath>
        <m:r>
          <m:t>i</m:t>
        </m:r>
      </m:oMath>
      <w:r>
        <w:t xml:space="preserve"> </w:t>
      </w:r>
      <w:r>
        <w:t xml:space="preserve">comprendida entre las edades</w:t>
      </w:r>
      <w:r>
        <w:t xml:space="preserve"> </w:t>
      </w:r>
      <m:oMath>
        <m:r>
          <m:t>a</m:t>
        </m:r>
      </m:oMath>
      <w:r>
        <w:t xml:space="preserve"> </w:t>
      </w:r>
      <w:r>
        <w:t xml:space="preserve">y</w:t>
      </w:r>
      <w:r>
        <w:t xml:space="preserve"> </w:t>
      </w:r>
      <m:oMath>
        <m:r>
          <m:t>b</m:t>
        </m:r>
      </m:oMath>
      <w:r>
        <w:t xml:space="preserve">, agregada sobre ambos sexos. De manera complementaria, el</w:t>
      </w:r>
      <w:r>
        <w:t xml:space="preserve"> </w:t>
      </w:r>
      <w:r>
        <w:rPr>
          <w:b/>
          <w:bCs/>
        </w:rPr>
        <w:t xml:space="preserve">índice de envejecimiento</w:t>
      </w:r>
      <w:r>
        <w:t xml:space="preserve"> </w:t>
      </w:r>
      <w:r>
        <w:t xml:space="preserve">se expresa como</w:t>
      </w:r>
    </w:p>
    <w:p>
      <w:pPr>
        <w:pStyle w:val="BodyText"/>
      </w:pPr>
      <m:oMathPara>
        <m:oMathParaPr>
          <m:jc m:val="center"/>
        </m:oMathParaPr>
        <m:oMath>
          <m:sSub>
            <m:e>
              <m:r>
                <m:rPr>
                  <m:nor/>
                  <m:sty m:val="p"/>
                </m:rPr>
                <m:t>IE</m:t>
              </m:r>
            </m:e>
            <m:sub>
              <m:r>
                <m:t>i</m:t>
              </m:r>
            </m:sub>
          </m:sSub>
          <m:r>
            <m:rPr>
              <m:sty m:val="p"/>
            </m:rPr>
            <m:t>=</m:t>
          </m:r>
          <m:f>
            <m:fPr>
              <m:type m:val="bar"/>
            </m:fPr>
            <m:num>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0</m:t>
                  </m:r>
                  <m:r>
                    <m:rPr>
                      <m:sty m:val="p"/>
                    </m:rPr>
                    <m:t>,</m:t>
                  </m:r>
                  <m:r>
                    <m:t>14</m:t>
                  </m:r>
                  <m:r>
                    <m:rPr>
                      <m:sty m:val="p"/>
                    </m:rPr>
                    <m:t>]</m:t>
                  </m:r>
                </m:sub>
              </m:sSub>
            </m:den>
          </m:f>
          <m:r>
            <m:rPr>
              <m:sty m:val="p"/>
            </m:rPr>
            <m:t>×</m:t>
          </m:r>
          <m:r>
            <m:t>100</m:t>
          </m:r>
          <m:r>
            <m:rPr>
              <m:sty m:val="p"/>
            </m:rPr>
            <m:t>.</m:t>
          </m:r>
        </m:oMath>
      </m:oMathPara>
    </w:p>
    <w:p>
      <w:pPr>
        <w:pStyle w:val="FirstParagraph"/>
      </w:pPr>
      <w:r>
        <w:t xml:space="preserve">Estos indicadores constituyen funciones de los conteos poblacionales y permiten caracterizar la distribución territorial y la estructura demográfica de la población. Debido a que se construyen a partir de los conteos observados, cualquier error de cobertura, omisión o subenumeración se transmite a las tasas derivadas. Este efecto es especialmente importante en dominios geográficos pequeños, donde diferencias reducidas en los conteos pueden producir variaciones relativamente grandes en los indicadores.</w:t>
      </w:r>
    </w:p>
    <w:p>
      <w:pPr>
        <w:pStyle w:val="BodyText"/>
      </w:pPr>
      <w:r>
        <w:t xml:space="preserve">Por esta razón, el interés metodológico de este libro no se centra en modelar directamente las tasas derivadas, sino en estimar de manera consistente los conteos poblacionales que les sirven de base. Una vez obtenidos estos conteos, los indicadores derivados pueden calcularse preservando la coherencia entre áreas geográficas y grupos demográficos.</w:t>
      </w:r>
    </w:p>
    <w:bookmarkEnd w:id="17"/>
    <w:bookmarkStart w:id="18" w:name="estructuras-etarias"/>
    <w:p>
      <w:pPr>
        <w:pStyle w:val="Heading3"/>
      </w:pPr>
      <w:r>
        <w:rPr>
          <w:rStyle w:val="SectionNumber"/>
        </w:rPr>
        <w:t xml:space="preserve">1.2.3</w:t>
      </w:r>
      <w:r>
        <w:tab/>
      </w:r>
      <w:r>
        <w:t xml:space="preserve">Estructuras etarias</w:t>
      </w:r>
    </w:p>
    <w:p>
      <w:pPr>
        <w:pStyle w:val="FirstParagraph"/>
      </w:pPr>
      <w:r>
        <w:t xml:space="preserve">La distribución de la población por sexo y edad constituye una de las principales dimensiones de análisis demográfico, ya que permite caracterizar la composición de la población y estudiar los cambios asociados a la fecundidad, la mortalidad y la migración. La mayoría de los indicadores demográficos y las proyecciones de población requieren información desagregada por estas características, razón por la cual los censos nacionales producen conteos para diferentes grupos de edad y sexo.</w:t>
      </w:r>
    </w:p>
    <w:p>
      <w:pPr>
        <w:pStyle w:val="BodyText"/>
      </w:pPr>
      <w:r>
        <w:t xml:space="preserve">Retomando el conteo</w:t>
      </w:r>
      <w:r>
        <w:t xml:space="preserve"> </w:t>
      </w:r>
      <m:oMath>
        <m:sSub>
          <m:e>
            <m:r>
              <m:t>N</m:t>
            </m:r>
          </m:e>
          <m:sub>
            <m:r>
              <m:t>i</m:t>
            </m:r>
            <m:r>
              <m:rPr>
                <m:sty m:val="p"/>
              </m:rPr>
              <m:t>,</m:t>
            </m:r>
            <m:r>
              <m:t>s</m:t>
            </m:r>
            <m:r>
              <m:rPr>
                <m:sty m:val="p"/>
              </m:rPr>
              <m:t>,</m:t>
            </m:r>
            <m:r>
              <m:t>e</m:t>
            </m:r>
          </m:sub>
        </m:sSub>
      </m:oMath>
      <w:r>
        <w:t xml:space="preserve"> </w:t>
      </w:r>
      <w:r>
        <w:t xml:space="preserve">definido en la sección</w:t>
      </w:r>
      <w:r>
        <w:t xml:space="preserve"> </w:t>
      </w:r>
      <w:r>
        <w:t xml:space="preserve">1.2.1</w:t>
      </w:r>
      <w:r>
        <w:t xml:space="preserve">, la distribución por edad para cada sexo puede expresarse mediante la proporción</w:t>
      </w:r>
    </w:p>
    <w:p>
      <w:pPr>
        <w:pStyle w:val="BodyText"/>
      </w:pPr>
      <m:oMathPara>
        <m:oMathParaPr>
          <m:jc m:val="center"/>
        </m:oMathParaPr>
        <m:oMath>
          <m:sSub>
            <m:e>
              <m:r>
                <m:t>P</m:t>
              </m:r>
            </m:e>
            <m:sub>
              <m:r>
                <m:t>i</m:t>
              </m:r>
              <m:r>
                <m:rPr>
                  <m:sty m:val="p"/>
                </m:rPr>
                <m:t>,</m:t>
              </m:r>
              <m:r>
                <m:t>s</m:t>
              </m:r>
              <m:r>
                <m:rPr>
                  <m:sty m:val="p"/>
                </m:rPr>
                <m:t>,</m:t>
              </m:r>
              <m:r>
                <m:t>e</m:t>
              </m:r>
            </m:sub>
          </m:sSub>
          <m:r>
            <m:rPr>
              <m:sty m:val="p"/>
            </m:rPr>
            <m:t>=</m:t>
          </m:r>
          <m:f>
            <m:fPr>
              <m:type m:val="bar"/>
            </m:fPr>
            <m:num>
              <m:sSub>
                <m:e>
                  <m:r>
                    <m:t>N</m:t>
                  </m:r>
                </m:e>
                <m:sub>
                  <m:r>
                    <m:t>i</m:t>
                  </m:r>
                  <m:r>
                    <m:rPr>
                      <m:sty m:val="p"/>
                    </m:rPr>
                    <m:t>,</m:t>
                  </m:r>
                  <m:r>
                    <m:t>s</m:t>
                  </m:r>
                  <m:r>
                    <m:rPr>
                      <m:sty m:val="p"/>
                    </m:rPr>
                    <m:t>,</m:t>
                  </m:r>
                  <m:r>
                    <m:t>e</m:t>
                  </m:r>
                </m:sub>
              </m:sSub>
            </m:num>
            <m:den>
              <m:sSub>
                <m:e>
                  <m:r>
                    <m:t>N</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total del dominio. Estas proporciones describen la estructura demográfica y permiten construir pirámides poblacionales, indicadores de dependencia y otros resúmenes de la composición por edad y sexo.</w:t>
      </w:r>
    </w:p>
    <w:p>
      <w:pPr>
        <w:pStyle w:val="BodyText"/>
      </w:pPr>
      <w:r>
        <w:t xml:space="preserve">La desagregación demográfica también resulta fundamental para el análisis territorial. Las diferencias en la estructura por edad entre regiones reflejan procesos de urbanización, envejecimiento, migración y dinámica demográfica, proporcionando información esencial para la formulación de políticas públicas y la planificación de servicios dirigidos a grupos específicos de población.</w:t>
      </w:r>
    </w:p>
    <w:p>
      <w:pPr>
        <w:pStyle w:val="BodyText"/>
      </w:pPr>
      <w:r>
        <w:t xml:space="preserve">Desde la perspectiva del modelamiento estadístico, la estimación simultánea de la población por área geográfica, sexo y grupo de edad representa un problema de alta dimensionalidad. En dominios con cobertura censal incompleta o con baja población, la información disponible puede ser insuficiente para estimar de manera precisa cada uno de estos subconjuntos de población. En estos casos, los modelos jerárquicos bayesianos permiten aprovechar la dependencia existente entre áreas geográficas y grupos demográficos para obtener estimaciones más estables y coherentes, preservando las relaciones de agregación entre los distintos niveles territoriales y las desagregaciones por sexo y edad.</w:t>
      </w:r>
    </w:p>
    <w:bookmarkEnd w:id="18"/>
    <w:bookmarkEnd w:id="19"/>
    <w:bookmarkStart w:id="20" w:name="Xde997191fc0ca4e9eec4100fac1f1395416b2c3"/>
    <w:p>
      <w:pPr>
        <w:pStyle w:val="Heading2"/>
      </w:pPr>
      <w:r>
        <w:rPr>
          <w:rStyle w:val="SectionNumber"/>
        </w:rPr>
        <w:t xml:space="preserve">1.3</w:t>
      </w:r>
      <w:r>
        <w:tab/>
      </w:r>
      <w:r>
        <w:t xml:space="preserve">Formulación del problema de subcobertura, no respuesta y omisión censal</w:t>
      </w:r>
    </w:p>
    <w:p>
      <w:pPr>
        <w:pStyle w:val="FirstParagraph"/>
      </w:pPr>
      <w:r>
        <w:t xml:space="preserve">Uno de los principales desafíos de los censos modernos corresponde a los problemas de cobertura asociados al operativo de enumeración. Aunque el objetivo conceptual del censo consiste en registrar exhaustivamente toda la población presente o residente dentro del territorio nacional, en la práctica siempre existen diferencias entre la población efectivamente observada y la población real presente en el territorio.</w:t>
      </w:r>
    </w:p>
    <w:p>
      <w:pPr>
        <w:pStyle w:val="BodyText"/>
      </w:pPr>
      <w:r>
        <w:t xml:space="preserve">Estas diferencias surgen por múltiples razones. Algunas personas no son censadas, ciertas viviendas quedan fuera del operativo, algunos registros son duplicados y, en otros casos, existen errores en la asignación territorial de la información recolectada. Como resultado, los conteos censales deben entenderse como realizaciones observadas de un proceso de enumeración sujeto a limitaciones operativas, errores cartográficos y dificultades de cobertura.</w:t>
      </w:r>
    </w:p>
    <w:p>
      <w:pPr>
        <w:pStyle w:val="BodyText"/>
      </w:pPr>
      <w:r>
        <w:t xml:space="preserve">Formalmente, sea</w:t>
      </w:r>
      <w:r>
        <w:t xml:space="preserve"> </w:t>
      </w:r>
      <m:oMath>
        <m:sSub>
          <m:e>
            <m:r>
              <m:t>Y</m:t>
            </m:r>
          </m:e>
          <m:sub>
            <m:r>
              <m:t>i</m:t>
            </m:r>
            <m:r>
              <m:rPr>
                <m:sty m:val="p"/>
              </m:rPr>
              <m:t>,</m:t>
            </m:r>
            <m:r>
              <m:t>s</m:t>
            </m:r>
            <m:r>
              <m:rPr>
                <m:sty m:val="p"/>
              </m:rPr>
              <m:t>,</m:t>
            </m:r>
            <m:r>
              <m:t>e</m:t>
            </m:r>
          </m:sub>
        </m:sSub>
      </m:oMath>
      <w:r>
        <w:t xml:space="preserve"> </w:t>
      </w:r>
      <w:r>
        <w:t xml:space="preserve">el conteo observado en el operativo censal para el territorio</w:t>
      </w:r>
      <w:r>
        <w:t xml:space="preserve"> </w:t>
      </w:r>
      <m:oMath>
        <m:r>
          <m:t>i</m:t>
        </m:r>
      </m:oMath>
      <w:r>
        <w:t xml:space="preserve">, sexo</w:t>
      </w:r>
      <w:r>
        <w:t xml:space="preserve"> </w:t>
      </w:r>
      <m:oMath>
        <m:r>
          <m:t>s</m:t>
        </m:r>
      </m:oMath>
      <w:r>
        <w:t xml:space="preserve"> </w:t>
      </w:r>
      <w:r>
        <w:t xml:space="preserve">y grupo de edad</w:t>
      </w:r>
      <w:r>
        <w:t xml:space="preserve"> </w:t>
      </w:r>
      <m:oMath>
        <m:r>
          <m:t>e</m:t>
        </m:r>
      </m:oMath>
      <w:r>
        <w:t xml:space="preserve">, y sea</w:t>
      </w:r>
      <w:r>
        <w:t xml:space="preserve"> </w:t>
      </w:r>
      <m:oMath>
        <m:sSub>
          <m:e>
            <m:r>
              <m:t>N</m:t>
            </m:r>
          </m:e>
          <m:sub>
            <m:r>
              <m:t>i</m:t>
            </m:r>
            <m:r>
              <m:rPr>
                <m:sty m:val="p"/>
              </m:rPr>
              <m:t>,</m:t>
            </m:r>
            <m:r>
              <m:t>s</m:t>
            </m:r>
            <m:r>
              <m:rPr>
                <m:sty m:val="p"/>
              </m:rPr>
              <m:t>,</m:t>
            </m:r>
            <m:r>
              <m:t>e</m:t>
            </m:r>
          </m:sub>
        </m:sSub>
      </m:oMath>
      <w:r>
        <w:t xml:space="preserve"> </w:t>
      </w:r>
      <w:r>
        <w:t xml:space="preserve">la población verdadera correspondiente, definida en la sección</w:t>
      </w:r>
      <w:r>
        <w:t xml:space="preserve"> </w:t>
      </w:r>
      <w:r>
        <w:t xml:space="preserve">1.2.1</w:t>
      </w:r>
      <w:r>
        <w:t xml:space="preserve">. La relación entre ambos puede representarse como:</w:t>
      </w:r>
    </w:p>
    <w:p>
      <w:pPr>
        <w:pStyle w:val="BodyText"/>
      </w:pPr>
      <m:oMathPara>
        <m:oMathParaPr>
          <m:jc m:val="center"/>
        </m:oMathParaPr>
        <m:oMath>
          <m:sSub>
            <m:e>
              <m:r>
                <m:t>Y</m:t>
              </m:r>
            </m:e>
            <m:sub>
              <m:r>
                <m:t>i</m:t>
              </m:r>
              <m:r>
                <m:rPr>
                  <m:sty m:val="p"/>
                </m:rPr>
                <m:t>,</m:t>
              </m:r>
              <m:r>
                <m:t>s</m:t>
              </m:r>
              <m:r>
                <m:rPr>
                  <m:sty m:val="p"/>
                </m:rPr>
                <m:t>,</m:t>
              </m:r>
              <m:r>
                <m:t>e</m:t>
              </m:r>
            </m:sub>
          </m:sSub>
          <m:r>
            <m:rPr>
              <m:sty m:val="p"/>
            </m:rPr>
            <m:t>=</m:t>
          </m:r>
          <m:sSub>
            <m:e>
              <m:r>
                <m:t>N</m:t>
              </m:r>
            </m:e>
            <m:sub>
              <m:r>
                <m:t>i</m:t>
              </m:r>
              <m:r>
                <m:rPr>
                  <m:sty m:val="p"/>
                </m:rPr>
                <m:t>,</m:t>
              </m:r>
              <m:r>
                <m:t>s</m:t>
              </m:r>
              <m:r>
                <m:rPr>
                  <m:sty m:val="p"/>
                </m:rPr>
                <m:t>,</m:t>
              </m:r>
              <m:r>
                <m:t>e</m:t>
              </m:r>
            </m:sub>
          </m:sSub>
          <m:r>
            <m:rPr>
              <m:sty m:val="p"/>
            </m:rPr>
            <m:t>−</m:t>
          </m:r>
          <m:sSub>
            <m:e>
              <m:r>
                <m:t>O</m:t>
              </m:r>
            </m:e>
            <m:sub>
              <m:r>
                <m:t>i</m:t>
              </m:r>
              <m:r>
                <m:rPr>
                  <m:sty m:val="p"/>
                </m:rPr>
                <m:t>,</m:t>
              </m:r>
              <m:r>
                <m:t>s</m:t>
              </m:r>
              <m:r>
                <m:rPr>
                  <m:sty m:val="p"/>
                </m:rPr>
                <m:t>,</m:t>
              </m:r>
              <m:r>
                <m:t>e</m:t>
              </m:r>
            </m:sub>
          </m:sSub>
          <m:r>
            <m:rPr>
              <m:sty m:val="p"/>
            </m:rPr>
            <m:t>+</m:t>
          </m:r>
          <m:sSub>
            <m:e>
              <m:r>
                <m:t>D</m:t>
              </m:r>
            </m:e>
            <m:sub>
              <m:r>
                <m:t>i</m:t>
              </m:r>
              <m:r>
                <m:rPr>
                  <m:sty m:val="p"/>
                </m:rPr>
                <m:t>,</m:t>
              </m:r>
              <m:r>
                <m:t>s</m:t>
              </m:r>
              <m:r>
                <m:rPr>
                  <m:sty m:val="p"/>
                </m:rPr>
                <m:t>,</m:t>
              </m:r>
              <m:r>
                <m:t>e</m:t>
              </m:r>
            </m:sub>
          </m:sSub>
          <m:r>
            <m:rPr>
              <m:sty m:val="p"/>
            </m:rPr>
            <m:t>+</m:t>
          </m:r>
          <m:sSub>
            <m:e>
              <m:r>
                <m:t>C</m:t>
              </m:r>
            </m:e>
            <m:sub>
              <m:r>
                <m:t>i</m:t>
              </m:r>
              <m:r>
                <m:rPr>
                  <m:sty m:val="p"/>
                </m:rPr>
                <m:t>,</m:t>
              </m:r>
              <m:r>
                <m:t>s</m:t>
              </m:r>
              <m:r>
                <m:rPr>
                  <m:sty m:val="p"/>
                </m:rPr>
                <m:t>,</m:t>
              </m:r>
              <m:r>
                <m:t>e</m:t>
              </m:r>
            </m:sub>
          </m:sSub>
        </m:oMath>
      </m:oMathPara>
    </w:p>
    <w:p>
      <w:pPr>
        <w:pStyle w:val="FirstParagraph"/>
      </w:pPr>
      <w:r>
        <w:t xml:space="preserve">donde</w:t>
      </w:r>
      <w:r>
        <w:t xml:space="preserve"> </w:t>
      </w:r>
      <m:oMath>
        <m:sSub>
          <m:e>
            <m:r>
              <m:t>O</m:t>
            </m:r>
          </m:e>
          <m:sub>
            <m:r>
              <m:t>i</m:t>
            </m:r>
            <m:r>
              <m:rPr>
                <m:sty m:val="p"/>
              </m:rPr>
              <m:t>,</m:t>
            </m:r>
            <m:r>
              <m:t>s</m:t>
            </m:r>
            <m:r>
              <m:rPr>
                <m:sty m:val="p"/>
              </m:rPr>
              <m:t>,</m:t>
            </m:r>
            <m:r>
              <m:t>e</m:t>
            </m:r>
          </m:sub>
        </m:sSub>
      </m:oMath>
      <w:r>
        <w:t xml:space="preserve"> </w:t>
      </w:r>
      <w:r>
        <w:t xml:space="preserve">representa la omisión censal,</w:t>
      </w:r>
      <w:r>
        <w:t xml:space="preserve"> </w:t>
      </w:r>
      <m:oMath>
        <m:sSub>
          <m:e>
            <m:r>
              <m:t>D</m:t>
            </m:r>
          </m:e>
          <m:sub>
            <m:r>
              <m:t>i</m:t>
            </m:r>
            <m:r>
              <m:rPr>
                <m:sty m:val="p"/>
              </m:rPr>
              <m:t>,</m:t>
            </m:r>
            <m:r>
              <m:t>s</m:t>
            </m:r>
            <m:r>
              <m:rPr>
                <m:sty m:val="p"/>
              </m:rPr>
              <m:t>,</m:t>
            </m:r>
            <m:r>
              <m:t>e</m:t>
            </m:r>
          </m:sub>
        </m:sSub>
      </m:oMath>
      <w:r>
        <w:t xml:space="preserve"> </w:t>
      </w:r>
      <w:r>
        <w:t xml:space="preserve">la duplicación de personas y</w:t>
      </w:r>
      <w:r>
        <w:t xml:space="preserve"> </w:t>
      </w:r>
      <m:oMath>
        <m:sSub>
          <m:e>
            <m:r>
              <m:t>C</m:t>
            </m:r>
          </m:e>
          <m:sub>
            <m:r>
              <m:t>i</m:t>
            </m:r>
            <m:r>
              <m:rPr>
                <m:sty m:val="p"/>
              </m:rPr>
              <m:t>,</m:t>
            </m:r>
            <m:r>
              <m:t>s</m:t>
            </m:r>
            <m:r>
              <m:rPr>
                <m:sty m:val="p"/>
              </m:rPr>
              <m:t>,</m:t>
            </m:r>
            <m:r>
              <m:t>e</m:t>
            </m:r>
          </m:sub>
        </m:sSub>
      </m:oMath>
      <w:r>
        <w:t xml:space="preserve"> </w:t>
      </w:r>
      <w:r>
        <w:t xml:space="preserve">los errores asociados a clasificación o asignación territorial. Bajo esta formulación, los conteos observados no constituyen una medición exacta de la población, sino una aproximación afectada por distintos mecanismos de error.</w:t>
      </w:r>
    </w:p>
    <w:p>
      <w:pPr>
        <w:pStyle w:val="BodyText"/>
      </w:pPr>
      <w:r>
        <w:t xml:space="preserve">En América Latina y el Caribe, la subcobertura censal presenta además una marcada heterogeneidad territorial. La omisión no ocurre aleatoriamente sobre la población ni sobre el territorio. Por el contrario, suele concentrarse en contextos específicos como asentamientos informales, zonas rurales dispersas, territorios indígenas, áreas de frontera o sectores urbanos con elevada movilidad residencial. Estas características generan patrones espaciales de cobertura diferencial que afectan directamente la calidad de los conteos subnacionales.</w:t>
      </w:r>
    </w:p>
    <w:p>
      <w:pPr>
        <w:pStyle w:val="BodyText"/>
      </w:pPr>
      <w:r>
        <w:t xml:space="preserve">La no respuesta constituye un problema adicional dentro del proceso censal. Incluso cuando una vivienda logra ser efectivamente enumerada, algunas variables pueden quedar incompletas debido a ausencia de informantes, rechazo parcial, inconsistencias durante la entrevista o errores de captura. Este fenómeno afecta particularmente variables socioeconómicas y laborales, reduciendo la completitud analítica de la información censal.</w:t>
      </w:r>
    </w:p>
    <w:p>
      <w:pPr>
        <w:pStyle w:val="BodyText"/>
      </w:pPr>
      <w:r>
        <w:t xml:space="preserve">La combinación entre subcobertura, omisión y no respuesta produce efectos acumulativos sobre múltiples procesos estadísticos posteriores. Las proyecciones demográficas, la construcción de marcos muestrales, la estimación de indicadores sociales y los procesos de focalización territorial dependen directamente de la calidad de los conteos base. En consecuencia, errores relativamente pequeños en la enumeración pueden propagarse posteriormente hacia distintas operaciones estadísticas oficiales.</w:t>
      </w:r>
    </w:p>
    <w:p>
      <w:pPr>
        <w:pStyle w:val="BodyText"/>
      </w:pPr>
      <w:r>
        <w:t xml:space="preserve">Estos problemas adquieren una relevancia aún mayor en niveles geográficos pequeños. En municipios con baja población o segmentos censales reducidos, la omisión de un número limitado de viviendas puede alterar significativamente las estructuras poblacionales observadas. Este fenómeno se intensifica cuando los errores de cobertura afectan diferencialmente determinados grupos de edad, sexo o condiciones socioeconómicas.</w:t>
      </w:r>
    </w:p>
    <w:p>
      <w:pPr>
        <w:pStyle w:val="BodyText"/>
      </w:pPr>
      <w:r>
        <w:t xml:space="preserve">Adicionalmente, la rápida transformación territorial observada en muchos países de la región ha incrementado la complejidad operativa de los censos. La expansión urbana acelerada, el crecimiento de asentamientos informales y los procesos migratorios dificultan la actualización cartográfica permanente y reducen la capacidad de cobertura completa del operativo censal.</w:t>
      </w:r>
    </w:p>
    <w:p>
      <w:pPr>
        <w:pStyle w:val="BodyText"/>
      </w:pPr>
      <w:r>
        <w:t xml:space="preserve">Frente a este escenario, los sistemas estadísticos han comenzado a complementar los enfoques tradicionales de conciliación censal mediante estrategias de integración de múltiples fuentes de información. Los registros administrativos, las imágenes satelitales, los preconteos operativos y otras fuentes auxiliares permiten identificar inconsistencias territoriales y fortalecer la estimación de poblaciones subenumeradas.</w:t>
      </w:r>
    </w:p>
    <w:p>
      <w:pPr>
        <w:pStyle w:val="BodyText"/>
      </w:pPr>
      <w:r>
        <w:t xml:space="preserve">En este libro, el interés principal no se centra en modelar directamente tasas de cobertura, sino en estimar conteos poblacionales en segmentos censales donde existen problemas de cobertura, omisión o inconsistencias territoriales. Bajo esta perspectiva, los conteos observados se interpretan como información parcial sobre una población subyacente cuya magnitud real debe inferirse utilizando información auxiliar y estructuras jerárquicas coherentes con la organización territorial del censo.</w:t>
      </w:r>
    </w:p>
    <w:p>
      <w:pPr>
        <w:pStyle w:val="BodyText"/>
      </w:pPr>
      <w:r>
        <w:t xml:space="preserve">Desde esta perspectiva, los modelos bayesianos ofrecen un marco flexible para integrar múltiples fuentes de información, representar explícitamente la incertidumbre asociada a los conteos observados y estabilizar estimaciones en dominios geográficos pequeños. Los capítulos posteriores desarrollan estos elementos metodológicos y presentan estrategias orientadas específicamente a la estimación subnacional de conteos poblacionales en segmentos censales bajo esquemas probabilísticos modernos.</w:t>
      </w:r>
    </w:p>
    <w:bookmarkEnd w:id="20"/>
    <w:bookmarkEnd w:id="21"/>
    <w:bookmarkStart w:id="60" w:name="cap-integracion"/>
    <w:p>
      <w:pPr>
        <w:pStyle w:val="Heading1"/>
      </w:pPr>
      <w:r>
        <w:rPr>
          <w:rStyle w:val="SectionNumber"/>
        </w:rPr>
        <w:t xml:space="preserve">2</w:t>
      </w:r>
      <w:r>
        <w:tab/>
      </w:r>
      <w:r>
        <w:t xml:space="preserve">Integración de Fuentes de Información</w:t>
      </w:r>
    </w:p>
    <w:p>
      <w:pPr>
        <w:pStyle w:val="FirstParagraph"/>
      </w:pPr>
      <w:r>
        <w:t xml:space="preserve">La estimación de conteos poblacionales en unidades territoriales pequeñas requiere combinar información proveniente de diversas fuentes que describen, de manera complementaria, la distribución espacial de la población. Cuando el operativo censal presenta omisiones de cobertura, segmentos no observados o limitaciones para representar adecuadamente la heterogeneidad territorial, los datos censales por sí solos resultan insuficientes para reconstruir la distribución completa de la población.</w:t>
      </w:r>
    </w:p>
    <w:p>
      <w:pPr>
        <w:pStyle w:val="BodyText"/>
      </w:pPr>
      <w:r>
        <w:t xml:space="preserve">Los avances recientes en disponibilidad de imágenes satelitales, productos derivados de sensores remotos, registros geoespaciales, modelos digitales del terreno, infraestructura, redes viales y otras fuentes de información auxiliar han ampliado significativamente la capacidad para caracterizar el territorio y explicar los patrones de asentamiento humano. Integrar estas fuentes dentro de un marco estadístico coherente permite aprovechar la información contenida en cada una de ellas para mejorar la predicción de los conteos poblacionales.</w:t>
      </w:r>
    </w:p>
    <w:p>
      <w:pPr>
        <w:pStyle w:val="BodyText"/>
      </w:pPr>
      <w:r>
        <w:t xml:space="preserve">Este capítulo presenta los fundamentos conceptuales de la integración de fuentes de información en el contexto de los modelos bayesianos de población. Se describen las principales fuentes de información disponibles para América Latina y el Caribe, sus características, cobertura, resolución, calidad y principales limitaciones. Asimismo, se presentan los criterios para la construcción, transformación y selección de variables auxiliares derivadas de estas fuentes, así como los principios para su integración dentro de un marco estadístico coherente. Estas variables constituyen la base de los modelos utilizados para predecir los conteos poblacionales en unidades territoriales de interés y complementar la información proveniente de los censos de población.</w:t>
      </w:r>
    </w:p>
    <w:bookmarkStart w:id="27" w:name="principios-de-modelamiento"/>
    <w:p>
      <w:pPr>
        <w:pStyle w:val="Heading2"/>
      </w:pPr>
      <w:r>
        <w:rPr>
          <w:rStyle w:val="SectionNumber"/>
        </w:rPr>
        <w:t xml:space="preserve">2.1</w:t>
      </w:r>
      <w:r>
        <w:tab/>
      </w:r>
      <w:r>
        <w:t xml:space="preserve">Principios de modelamiento</w:t>
      </w:r>
    </w:p>
    <w:p>
      <w:pPr>
        <w:pStyle w:val="FirstParagraph"/>
      </w:pPr>
      <w:r>
        <w:t xml:space="preserve">Los modelos estadísticos empleados para la estimación de conteos poblacionales relacionan los conteos observados con un conjunto de covariables auxiliares, con el fin de explicar las diferencias en magnitud poblacional entre unidades de análisis y predecir los conteos en aquellas donde la información censal es incompleta o no está disponible.</w:t>
      </w:r>
    </w:p>
    <w:p>
      <w:pPr>
        <w:pStyle w:val="BodyText"/>
      </w:pPr>
      <w:r>
        <w:t xml:space="preserve">El desarrollo de estos modelos debe satisfacer cuatro principios fundamentales: respetar la naturaleza discreta y no negativa de los conteos poblacionales mediante distribuciones de probabilidad apropiadas para este tipo de variable respuesta; incorporar de forma coherente información auxiliar proveniente de fuentes heterogéneas en resolución y calidad; producir estimaciones consistentes con los totales poblacionales disponibles y coherentes entre niveles de agregación territorial; y cuantificar la incertidumbre de las predicciones de forma que respalde su uso en procesos de toma de decisiones.</w:t>
      </w:r>
    </w:p>
    <w:p>
      <w:pPr>
        <w:pStyle w:val="BodyText"/>
      </w:pPr>
      <w:r>
        <w:t xml:space="preserve">Estos principios constituyen la base para la selección de la familia distribucional, la especificación de la estructura del predictor y la adopción del marco inferencial bayesiano que se desarrolla en los capítulos siguientes.</w:t>
      </w:r>
    </w:p>
    <w:bookmarkStart w:id="22" w:name="modelos-de-conteo"/>
    <w:p>
      <w:pPr>
        <w:pStyle w:val="Heading3"/>
      </w:pPr>
      <w:r>
        <w:rPr>
          <w:rStyle w:val="SectionNumber"/>
        </w:rPr>
        <w:t xml:space="preserve">2.1.1</w:t>
      </w:r>
      <w:r>
        <w:tab/>
      </w:r>
      <w:r>
        <w:t xml:space="preserve">Modelos de conteo</w:t>
      </w:r>
    </w:p>
    <w:p>
      <w:pPr>
        <w:pStyle w:val="FirstParagraph"/>
      </w:pPr>
      <w:r>
        <w:t xml:space="preserve">Los conteos poblacionales son variables aleatorias discretas no negativas. Esta naturaleza fundamental distingue el problema de estimación subnacional de los problemas de regresión con variables continuas y exige el uso de modelos de probabilidad apropiados para datos de conteo.</w:t>
      </w:r>
    </w:p>
    <w:p>
      <w:pPr>
        <w:pStyle w:val="BodyText"/>
      </w:pPr>
      <w:r>
        <w:t xml:space="preserve">La distribución de Poisson constituye el punto de partida canónico para el modelamiento de conteos. Si</w:t>
      </w:r>
      <w:r>
        <w:t xml:space="preserve"> </w:t>
      </w:r>
      <m:oMath>
        <m:sSub>
          <m:e>
            <m:r>
              <m:t>Y</m:t>
            </m:r>
          </m:e>
          <m:sub>
            <m:r>
              <m:t>i</m:t>
            </m:r>
          </m:sub>
        </m:sSub>
      </m:oMath>
      <w:r>
        <w:t xml:space="preserve"> </w:t>
      </w:r>
      <w:r>
        <w:t xml:space="preserve">denota el conteo observado en el segmento</w:t>
      </w:r>
      <w:r>
        <w:t xml:space="preserve"> </w:t>
      </w:r>
      <m:oMath>
        <m:r>
          <m:t>i</m:t>
        </m:r>
      </m:oMath>
      <w:r>
        <w:t xml:space="preserve">, el modelo de Poisson establece:</w:t>
      </w:r>
    </w:p>
    <w:p>
      <w:pPr>
        <w:pStyle w:val="BodyText"/>
      </w:pPr>
      <m:oMathPara>
        <m:oMathParaPr>
          <m:jc m:val="center"/>
        </m:oMathParaPr>
        <m:oMath>
          <m:sSub>
            <m:e>
              <m:r>
                <m:t>Y</m:t>
              </m:r>
            </m:e>
            <m:sub>
              <m:r>
                <m:t>i</m:t>
              </m:r>
            </m:sub>
          </m:sSub>
          <m:r>
            <m:rPr>
              <m:sty m:val="p"/>
            </m:rPr>
            <m:t>∣</m:t>
          </m:r>
          <m:sSub>
            <m:e>
              <m:r>
                <m:t>λ</m:t>
              </m:r>
            </m:e>
            <m:sub>
              <m:r>
                <m:t>i</m:t>
              </m:r>
            </m:sub>
          </m:sSub>
          <m:r>
            <m:rPr>
              <m:sty m:val="p"/>
            </m:rPr>
            <m:t>∼</m:t>
          </m:r>
          <m:r>
            <m:rPr>
              <m:nor/>
              <m:sty m:val="p"/>
            </m:rPr>
            <m:t>Poisson</m:t>
          </m:r>
          <m:r>
            <m:rPr>
              <m:sty m:val="p"/>
            </m:rPr>
            <m:t>(</m:t>
          </m:r>
          <m:sSub>
            <m:e>
              <m:r>
                <m:t>λ</m:t>
              </m:r>
            </m:e>
            <m:sub>
              <m:r>
                <m:t>i</m:t>
              </m:r>
            </m:sub>
          </m:sSub>
          <m:r>
            <m:rPr>
              <m:sty m:val="p"/>
            </m:rPr>
            <m:t>)</m:t>
          </m:r>
        </m:oMath>
      </m:oMathPara>
    </w:p>
    <w:p>
      <w:pPr>
        <w:pStyle w:val="FirstParagraph"/>
      </w:pPr>
      <w:r>
        <w:t xml:space="preserve">donde</w:t>
      </w:r>
      <w:r>
        <w:t xml:space="preserve"> </w:t>
      </w:r>
      <m:oMath>
        <m:sSub>
          <m:e>
            <m:r>
              <m:t>λ</m:t>
            </m:r>
          </m:e>
          <m:sub>
            <m:r>
              <m:t>i</m:t>
            </m:r>
          </m:sub>
        </m:sSub>
        <m:r>
          <m:rPr>
            <m:sty m:val="p"/>
          </m:rPr>
          <m:t>&gt;</m:t>
        </m:r>
        <m:r>
          <m:t>0</m:t>
        </m:r>
      </m:oMath>
      <w:r>
        <w:t xml:space="preserve"> </w:t>
      </w:r>
      <w:r>
        <w:t xml:space="preserve">es el parámetro de intensidad, que representa simultáneamente la media y la varianza de la distribución. La función de probabilidad es:</w:t>
      </w:r>
    </w:p>
    <w:p>
      <w:pPr>
        <w:pStyle w:val="BodyText"/>
      </w:pPr>
      <m:oMathPara>
        <m:oMathParaPr>
          <m:jc m:val="center"/>
        </m:oMathParaPr>
        <m:oMath>
          <m:r>
            <m:t>P</m:t>
          </m:r>
          <m:r>
            <m:rPr>
              <m:sty m:val="p"/>
            </m:rPr>
            <m:t>(</m:t>
          </m:r>
          <m:sSub>
            <m:e>
              <m:r>
                <m:t>Y</m:t>
              </m:r>
            </m:e>
            <m:sub>
              <m:r>
                <m:t>i</m:t>
              </m:r>
            </m:sub>
          </m:sSub>
          <m:r>
            <m:rPr>
              <m:sty m:val="p"/>
            </m:rPr>
            <m:t>=</m:t>
          </m:r>
          <m:r>
            <m:t>y</m:t>
          </m:r>
          <m:r>
            <m:rPr>
              <m:sty m:val="p"/>
            </m:rPr>
            <m:t>∣</m:t>
          </m:r>
          <m:sSub>
            <m:e>
              <m:r>
                <m:t>λ</m:t>
              </m:r>
            </m:e>
            <m:sub>
              <m:r>
                <m:t>i</m:t>
              </m:r>
            </m:sub>
          </m:sSub>
          <m:r>
            <m:rPr>
              <m:sty m:val="p"/>
            </m:rPr>
            <m:t>)</m:t>
          </m:r>
          <m:r>
            <m:rPr>
              <m:sty m:val="p"/>
            </m:rPr>
            <m:t>=</m:t>
          </m:r>
          <m:f>
            <m:fPr>
              <m:type m:val="bar"/>
            </m:fPr>
            <m:num>
              <m:sSup>
                <m:e>
                  <m:r>
                    <m:t>e</m:t>
                  </m:r>
                </m:e>
                <m:sup>
                  <m:r>
                    <m:rPr>
                      <m:sty m:val="p"/>
                    </m:rPr>
                    <m:t>−</m:t>
                  </m:r>
                  <m:sSub>
                    <m:e>
                      <m:r>
                        <m:t>λ</m:t>
                      </m:r>
                    </m:e>
                    <m:sub>
                      <m:r>
                        <m:t>i</m:t>
                      </m:r>
                    </m:sub>
                  </m:sSub>
                </m:sup>
              </m:sSup>
              <m:r>
                <m:t> </m:t>
              </m:r>
              <m:sSubSup>
                <m:e>
                  <m:r>
                    <m:t>λ</m:t>
                  </m:r>
                </m:e>
                <m:sub>
                  <m:r>
                    <m:t>i</m:t>
                  </m:r>
                </m:sub>
                <m:sup>
                  <m:r>
                    <m:t>y</m:t>
                  </m:r>
                </m:sup>
              </m:sSubSup>
            </m:num>
            <m:den>
              <m:r>
                <m:t>y</m:t>
              </m:r>
              <m:r>
                <m:rPr>
                  <m:sty m:val="p"/>
                </m:rPr>
                <m:t>!</m:t>
              </m:r>
            </m:den>
          </m:f>
          <m:r>
            <m:rPr>
              <m:sty m:val="p"/>
            </m:rPr>
            <m:t>,</m:t>
          </m:r>
          <m:r>
            <m:t>  </m:t>
          </m:r>
          <m:r>
            <m:t>y</m:t>
          </m:r>
          <m:r>
            <m:rPr>
              <m:sty m:val="p"/>
            </m:rPr>
            <m:t>=</m:t>
          </m:r>
          <m:r>
            <m:t>0</m:t>
          </m:r>
          <m:r>
            <m:rPr>
              <m:sty m:val="p"/>
            </m:rPr>
            <m:t>,</m:t>
          </m:r>
          <m:r>
            <m:t>1</m:t>
          </m:r>
          <m:r>
            <m:rPr>
              <m:sty m:val="p"/>
            </m:rPr>
            <m:t>,</m:t>
          </m:r>
          <m:r>
            <m:t>2</m:t>
          </m:r>
          <m:r>
            <m:rPr>
              <m:sty m:val="p"/>
            </m:rPr>
            <m:t>,</m:t>
          </m:r>
          <m:r>
            <m:rPr>
              <m:sty m:val="p"/>
            </m:rPr>
            <m:t>…</m:t>
          </m:r>
        </m:oMath>
      </m:oMathPara>
    </w:p>
    <w:p>
      <w:pPr>
        <w:pStyle w:val="FirstParagraph"/>
      </w:pPr>
      <w:r>
        <w:t xml:space="preserve">La parametrización log-lineal del modelo relaciona el logaritmo de la intensidad con un predictor lineal de covariables:</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donde</w:t>
      </w:r>
      <w:r>
        <w:t xml:space="preserve"> </w:t>
      </w:r>
      <m:oMath>
        <m:sSub>
          <m:e>
            <m:r>
              <m:rPr>
                <m:sty m:val="b"/>
              </m:rPr>
              <m:t>x</m:t>
            </m:r>
          </m:e>
          <m:sub>
            <m:r>
              <m:t>i</m:t>
            </m:r>
          </m:sub>
        </m:sSub>
      </m:oMath>
      <w:r>
        <w:t xml:space="preserve"> </w:t>
      </w:r>
      <w:r>
        <w:t xml:space="preserve">es el vector de covariables auxiliares del segmento</w:t>
      </w:r>
      <w:r>
        <w:t xml:space="preserve"> </w:t>
      </w:r>
      <m:oMath>
        <m:r>
          <m:t>i</m:t>
        </m:r>
      </m:oMath>
      <w:r>
        <w:t xml:space="preserve"> </w:t>
      </w:r>
      <w:r>
        <w:t xml:space="preserve">con coeficientes de efectos fijos</w:t>
      </w:r>
      <w:r>
        <w:t xml:space="preserve"> </w:t>
      </w:r>
      <m:oMath>
        <m:r>
          <m:rPr>
            <m:sty m:val="b"/>
          </m:rPr>
          <m:t>β</m:t>
        </m:r>
      </m:oMath>
      <w:r>
        <w:t xml:space="preserve">, y</w:t>
      </w:r>
      <w:r>
        <w:t xml:space="preserve"> </w:t>
      </w:r>
      <m:oMath>
        <m:sSubSup>
          <m:e>
            <m:r>
              <m:rPr>
                <m:sty m:val="b"/>
              </m:rPr>
              <m:t>z</m:t>
            </m:r>
          </m:e>
          <m:sub>
            <m:r>
              <m:t>i</m:t>
            </m:r>
          </m:sub>
          <m:sup>
            <m:r>
              <m:rPr>
                <m:sty m:val="p"/>
              </m:rPr>
              <m:t>⊤</m:t>
            </m:r>
          </m:sup>
        </m:sSubSup>
        <m:r>
          <m:rPr>
            <m:sty m:val="b"/>
          </m:rPr>
          <m:t>γ</m:t>
        </m:r>
      </m:oMath>
      <w:r>
        <w:t xml:space="preserve"> </w:t>
      </w:r>
      <w:r>
        <w:t xml:space="preserve">es el efecto aleatorio territorial que captura la variabilidad no explicada por las covariables, con</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para cada unidad territorial</w:t>
      </w:r>
      <w:r>
        <w:t xml:space="preserve"> </w:t>
      </w:r>
      <m:oMath>
        <m:r>
          <m:t>j</m:t>
        </m:r>
      </m:oMath>
      <w:r>
        <w:t xml:space="preserve">. Esta notación —</w:t>
      </w:r>
      <m:oMath>
        <m:r>
          <m:rPr>
            <m:sty m:val="b"/>
          </m:rPr>
          <m:t>β</m:t>
        </m:r>
      </m:oMath>
      <w:r>
        <w:t xml:space="preserve">,</w:t>
      </w:r>
      <w:r>
        <w:t xml:space="preserve"> </w:t>
      </w:r>
      <m:oMath>
        <m:sSubSup>
          <m:e>
            <m:r>
              <m:rPr>
                <m:sty m:val="b"/>
              </m:rPr>
              <m:t>z</m:t>
            </m:r>
          </m:e>
          <m:sub>
            <m:r>
              <m:t>i</m:t>
            </m:r>
          </m:sub>
          <m:sup>
            <m:r>
              <m:rPr>
                <m:sty m:val="p"/>
              </m:rPr>
              <m:t>⊤</m:t>
            </m:r>
          </m:sup>
        </m:sSubSup>
        <m:r>
          <m:rPr>
            <m:sty m:val="b"/>
          </m:rPr>
          <m:t>γ</m:t>
        </m:r>
      </m:oMath>
      <w:r>
        <w:t xml:space="preserve">,</w:t>
      </w:r>
      <w:r>
        <w:t xml:space="preserve"> </w:t>
      </w:r>
      <m:oMath>
        <m:sSub>
          <m:e>
            <m:r>
              <m:t>σ</m:t>
            </m:r>
          </m:e>
          <m:sub>
            <m:r>
              <m:t>U</m:t>
            </m:r>
          </m:sub>
        </m:sSub>
      </m:oMath>
      <w:r>
        <w:t xml:space="preserve">— es la que se emplea en la especificación completa del modelo de conteos poblacionales del Capítulo</w:t>
      </w:r>
      <w:r>
        <w:t xml:space="preserve"> </w:t>
      </w:r>
      <w:r>
        <w:t xml:space="preserve">??</w:t>
      </w:r>
      <w:r>
        <w:t xml:space="preserve">.</w:t>
      </w:r>
    </w:p>
    <w:p>
      <w:pPr>
        <w:pStyle w:val="BodyText"/>
      </w:pPr>
      <w:r>
        <w:t xml:space="preserve">Un supuesto fundamental del modelo de Poisson es la equidispersión:</w:t>
      </w:r>
      <w:r>
        <w:t xml:space="preserve"> </w:t>
      </w:r>
      <m:oMath>
        <m:r>
          <m:rPr>
            <m:scr m:val="double-struck"/>
            <m:sty m:val="p"/>
          </m:rPr>
          <m:t>E</m:t>
        </m:r>
        <m:r>
          <m:rPr>
            <m:sty m:val="p"/>
          </m:rPr>
          <m:t>[</m:t>
        </m:r>
        <m:sSub>
          <m:e>
            <m:r>
              <m:t>Y</m:t>
            </m:r>
          </m:e>
          <m:sub>
            <m:r>
              <m:t>i</m:t>
            </m:r>
          </m:sub>
        </m:sSub>
        <m:r>
          <m:rPr>
            <m:sty m:val="p"/>
          </m:rPr>
          <m:t>∣</m:t>
        </m:r>
        <m:sSub>
          <m:e>
            <m:r>
              <m:t>λ</m:t>
            </m:r>
          </m:e>
          <m:sub>
            <m:r>
              <m:t>i</m:t>
            </m:r>
          </m:sub>
        </m:sSub>
        <m:r>
          <m:rPr>
            <m:sty m:val="p"/>
          </m:rPr>
          <m:t>]</m:t>
        </m:r>
        <m:r>
          <m:rPr>
            <m:sty m:val="p"/>
          </m:rPr>
          <m:t>=</m:t>
        </m:r>
        <m:r>
          <m:rPr>
            <m:nor/>
            <m:sty m:val="p"/>
          </m:rPr>
          <m:t>Var</m:t>
        </m:r>
        <m:r>
          <m:rPr>
            <m:sty m:val="p"/>
          </m:rPr>
          <m:t>(</m:t>
        </m:r>
        <m:sSub>
          <m:e>
            <m:r>
              <m:t>Y</m:t>
            </m:r>
          </m:e>
          <m:sub>
            <m:r>
              <m:t>i</m:t>
            </m:r>
          </m:sub>
        </m:sSub>
        <m:r>
          <m:rPr>
            <m:sty m:val="p"/>
          </m:rPr>
          <m:t>∣</m:t>
        </m:r>
        <m:sSub>
          <m:e>
            <m:r>
              <m:t>λ</m:t>
            </m:r>
          </m:e>
          <m:sub>
            <m:r>
              <m:t>i</m:t>
            </m:r>
          </m:sub>
        </m:sSub>
        <m:r>
          <m:rPr>
            <m:sty m:val="p"/>
          </m:rPr>
          <m:t>)</m:t>
        </m:r>
        <m:r>
          <m:rPr>
            <m:sty m:val="p"/>
          </m:rPr>
          <m:t>=</m:t>
        </m:r>
        <m:sSub>
          <m:e>
            <m:r>
              <m:t>λ</m:t>
            </m:r>
          </m:e>
          <m:sub>
            <m:r>
              <m:t>i</m:t>
            </m:r>
          </m:sub>
        </m:sSub>
      </m:oMath>
      <w:r>
        <w:t xml:space="preserve">. En la práctica, los conteos poblacionales suelen exhibir sobredispersión, es decir, una varianza observada mayor a la media. Este fenómeno puede originarse en heterogeneidad no observada entre segmentos, clustering espacial o errores de especificación del predictor.</w:t>
      </w:r>
    </w:p>
    <w:p>
      <w:pPr>
        <w:pStyle w:val="BodyText"/>
      </w:pPr>
      <w:r>
        <w:t xml:space="preserve">Para tratar la sobredispersión sin abandonar la familia Poisson, se introduce un multiplicador aleatorio en la intensidad:</w:t>
      </w:r>
      <w:r>
        <w:t xml:space="preserve"> </w:t>
      </w:r>
      <m:oMath>
        <m:sSub>
          <m:e>
            <m:r>
              <m:t>λ</m:t>
            </m:r>
          </m:e>
          <m:sub>
            <m:r>
              <m:t>i</m:t>
            </m:r>
          </m:sub>
        </m:sSub>
        <m:r>
          <m:rPr>
            <m:sty m:val="p"/>
          </m:rPr>
          <m:t>=</m:t>
        </m:r>
        <m:sSub>
          <m:e>
            <m:r>
              <m:t>μ</m:t>
            </m:r>
          </m:e>
          <m:sub>
            <m:r>
              <m:t>i</m:t>
            </m:r>
          </m:sub>
        </m:sSub>
        <m:r>
          <m:rPr>
            <m:sty m:val="p"/>
          </m:rPr>
          <m:t>⋅</m:t>
        </m:r>
        <m:r>
          <m:rPr>
            <m:sty m:val="p"/>
          </m:rPr>
          <m:t>exp</m:t>
        </m:r>
        <m:r>
          <m:rPr>
            <m:sty m:val="p"/>
          </m:rPr>
          <m:t>(</m:t>
        </m:r>
        <m:sSub>
          <m:e>
            <m:r>
              <m:t>ε</m:t>
            </m:r>
          </m:e>
          <m:sub>
            <m:r>
              <m:t>i</m:t>
            </m:r>
          </m:sub>
        </m:sSub>
        <m:r>
          <m:rPr>
            <m:sty m:val="p"/>
          </m:rPr>
          <m:t>)</m:t>
        </m:r>
      </m:oMath>
      <w:r>
        <w:t xml:space="preserve"> </w:t>
      </w:r>
      <w:r>
        <w:t xml:space="preserve">con</w:t>
      </w:r>
      <w:r>
        <w:t xml:space="preserve"> </w:t>
      </w:r>
      <m:oMath>
        <m:sSub>
          <m:e>
            <m:r>
              <m:t>ε</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La distribución marginal de</w:t>
      </w:r>
      <w:r>
        <w:t xml:space="preserve"> </w:t>
      </w:r>
      <m:oMath>
        <m:sSub>
          <m:e>
            <m:r>
              <m:t>Y</m:t>
            </m:r>
          </m:e>
          <m:sub>
            <m:r>
              <m:t>i</m:t>
            </m:r>
          </m:sub>
        </m:sSub>
      </m:oMath>
      <w:r>
        <w:t xml:space="preserve"> </w:t>
      </w:r>
      <w:r>
        <w:t xml:space="preserve">ya no tiene forma cerrada, pero</w:t>
      </w:r>
      <w:r>
        <w:t xml:space="preserve"> </w:t>
      </w:r>
      <m:oMath>
        <m:r>
          <m:rPr>
            <m:sty m:val="p"/>
          </m:rPr>
          <m:t>exp</m:t>
        </m:r>
        <m:r>
          <m:rPr>
            <m:sty m:val="p"/>
          </m:rPr>
          <m:t>(</m:t>
        </m:r>
        <m:sSub>
          <m:e>
            <m:r>
              <m:t>ε</m:t>
            </m:r>
          </m:e>
          <m:sub>
            <m:r>
              <m:t>i</m:t>
            </m:r>
          </m:sub>
        </m:sSub>
        <m:r>
          <m:rPr>
            <m:sty m:val="p"/>
          </m:rPr>
          <m:t>)</m:t>
        </m:r>
      </m:oMath>
      <w:r>
        <w:t xml:space="preserve"> </w:t>
      </w:r>
      <w:r>
        <w:t xml:space="preserve">conserva una interpretación directa como factor multiplicativo que amplifica o reduce la intensidad esperada en cada segmento, capturando la variabilidad extra-Poisson no explicada por las covariables ni por el efecto aleatorio territorial. Esta es la especificación —denominada Poisson-lognormal— adoptada en el modelo de conteos poblacionales, donde</w:t>
      </w:r>
      <w:r>
        <w:t xml:space="preserve"> </w:t>
      </w:r>
      <m:oMath>
        <m:sSub>
          <m:e>
            <m:r>
              <m:t>μ</m:t>
            </m:r>
          </m:e>
          <m:sub>
            <m:r>
              <m:t>i</m:t>
            </m:r>
          </m:sub>
        </m:sSub>
      </m:oMath>
      <w:r>
        <w:t xml:space="preserve"> </w:t>
      </w:r>
      <w:r>
        <w:t xml:space="preserve">se especifica precisamente como</w:t>
      </w:r>
      <w:r>
        <w:t xml:space="preserve"> </w:t>
      </w:r>
      <m:oMath>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y</w:t>
      </w:r>
      <w:r>
        <w:t xml:space="preserve"> </w:t>
      </w:r>
      <m:oMath>
        <m:sSub>
          <m:e>
            <m:r>
              <m:t>ε</m:t>
            </m:r>
          </m:e>
          <m:sub>
            <m:r>
              <m:t>i</m:t>
            </m:r>
          </m:sub>
        </m:sSub>
      </m:oMath>
      <w:r>
        <w:t xml:space="preserve"> </w:t>
      </w:r>
      <w:r>
        <w:t xml:space="preserve">se convierte en la densidad latente log-normal.</w:t>
      </w:r>
    </w:p>
    <w:p>
      <w:pPr>
        <w:pStyle w:val="BodyText"/>
      </w:pPr>
      <w:r>
        <w:t xml:space="preserve">En contextos de modelamiento jerárquico, la necesidad de este componente adicional debe fundamentarse en el diagnóstico de sobredispersión: una especificación más rica de covariables puede reducir la sobredispersión aparente al explicar parte de la heterogeneidad entre segmentos, y solo el remanente no explicado justifica la inclusión del término log-normal.</w:t>
      </w:r>
    </w:p>
    <w:bookmarkEnd w:id="22"/>
    <w:bookmarkStart w:id="23" w:name="requerimientos-de-estimación-subnacional"/>
    <w:p>
      <w:pPr>
        <w:pStyle w:val="Heading3"/>
      </w:pPr>
      <w:r>
        <w:rPr>
          <w:rStyle w:val="SectionNumber"/>
        </w:rPr>
        <w:t xml:space="preserve">2.1.2</w:t>
      </w:r>
      <w:r>
        <w:tab/>
      </w:r>
      <w:r>
        <w:t xml:space="preserve">Requerimientos de estimación subnacional</w:t>
      </w:r>
    </w:p>
    <w:p>
      <w:pPr>
        <w:pStyle w:val="FirstParagraph"/>
      </w:pPr>
      <w:r>
        <w:t xml:space="preserve">La estimación de conteos en niveles territoriales pequeños impone requerimientos adicionales que van más allá de la simple elección de una distribución de probabilidad. Estos requerimientos se derivan de la naturaleza jerárquica del problema y de las condiciones operativas en las que se producen los datos.</w:t>
      </w:r>
    </w:p>
    <w:p>
      <w:pPr>
        <w:pStyle w:val="BodyText"/>
      </w:pPr>
      <w:r>
        <w:rPr>
          <w:b/>
          <w:bCs/>
        </w:rPr>
        <w:t xml:space="preserve">Coherencia jerárquica.</w:t>
      </w:r>
      <w:r>
        <w:t xml:space="preserve"> </w:t>
      </w:r>
      <w:r>
        <w:t xml:space="preserve">Las estimaciones en niveles inferiores deben ser consistentes con los totales conocidos o estimados en niveles superiores. Si</w:t>
      </w:r>
      <w:r>
        <w:t xml:space="preserve"> </w:t>
      </w:r>
      <m:oMath>
        <m:sSubSup>
          <m:e>
            <m:acc>
              <m:accPr>
                <m:chr m:val="̂"/>
              </m:accPr>
              <m:e>
                <m:r>
                  <m:t>N</m:t>
                </m:r>
              </m:e>
            </m:acc>
          </m:e>
          <m:sub>
            <m:r>
              <m:t>k</m:t>
            </m:r>
          </m:sub>
          <m:sup>
            <m:r>
              <m:rPr>
                <m:sty m:val="p"/>
              </m:rPr>
              <m:t>(</m:t>
            </m:r>
            <m:r>
              <m:t>3</m:t>
            </m:r>
            <m:r>
              <m:rPr>
                <m:sty m:val="p"/>
              </m:rPr>
              <m:t>)</m:t>
            </m:r>
          </m:sup>
        </m:sSubSup>
      </m:oMath>
      <w:r>
        <w:t xml:space="preserve"> </w:t>
      </w:r>
      <w:r>
        <w:t xml:space="preserve">denota la estimación del municipio</w:t>
      </w:r>
      <w:r>
        <w:t xml:space="preserve"> </w:t>
      </w:r>
      <m:oMath>
        <m:r>
          <m:t>k</m:t>
        </m:r>
      </m:oMath>
      <w:r>
        <w:t xml:space="preserve"> </w:t>
      </w:r>
      <w:r>
        <w:t xml:space="preserve">y</w:t>
      </w:r>
      <w:r>
        <w:t xml:space="preserve"> </w:t>
      </w:r>
      <m:oMath>
        <m:sSubSup>
          <m:e>
            <m:acc>
              <m:accPr>
                <m:chr m:val="̂"/>
              </m:accPr>
              <m:e>
                <m:r>
                  <m:t>N</m:t>
                </m:r>
              </m:e>
            </m:acc>
          </m:e>
          <m:sub>
            <m:r>
              <m:t>j</m:t>
            </m:r>
          </m:sub>
          <m:sup>
            <m:r>
              <m:rPr>
                <m:sty m:val="p"/>
              </m:rPr>
              <m:t>(</m:t>
            </m:r>
            <m:r>
              <m:t>2</m:t>
            </m:r>
            <m:r>
              <m:rPr>
                <m:sty m:val="p"/>
              </m:rPr>
              <m:t>)</m:t>
            </m:r>
          </m:sup>
        </m:sSubSup>
      </m:oMath>
      <w:r>
        <w:t xml:space="preserve"> </w:t>
      </w:r>
      <w:r>
        <w:t xml:space="preserve">la del departamento</w:t>
      </w:r>
      <w:r>
        <w:t xml:space="preserve"> </w:t>
      </w:r>
      <m:oMath>
        <m:r>
          <m:t>j</m:t>
        </m:r>
      </m:oMath>
      <w:r>
        <w:t xml:space="preserve">, la coherencia exige:</w:t>
      </w:r>
    </w:p>
    <w:p>
      <w:pPr>
        <w:pStyle w:val="BodyText"/>
      </w:pPr>
      <m:oMathPara>
        <m:oMathParaPr>
          <m:jc m:val="center"/>
        </m:oMathParaPr>
        <m:oMath>
          <m:sSubSup>
            <m:e>
              <m:acc>
                <m:accPr>
                  <m:chr m:val="̂"/>
                </m:accPr>
                <m:e>
                  <m:r>
                    <m:t>N</m:t>
                  </m:r>
                </m:e>
              </m:acc>
            </m:e>
            <m:sub>
              <m:r>
                <m:t>j</m:t>
              </m:r>
            </m:sub>
            <m:sup>
              <m:r>
                <m:rPr>
                  <m:sty m:val="p"/>
                </m:rPr>
                <m:t>(</m:t>
              </m:r>
              <m:r>
                <m:t>2</m:t>
              </m:r>
              <m:r>
                <m:rPr>
                  <m:sty m:val="p"/>
                </m:rPr>
                <m:t>)</m:t>
              </m:r>
            </m:sup>
          </m:sSubSup>
          <m:r>
            <m:rPr>
              <m:sty m:val="p"/>
            </m:rPr>
            <m:t>=</m:t>
          </m:r>
          <m:nary>
            <m:naryPr>
              <m:chr m:val="∑"/>
              <m:limLoc m:val="undOvr"/>
              <m:subHide m:val="off"/>
              <m:supHide m:val="on"/>
            </m:naryPr>
            <m:sub>
              <m:r>
                <m:t>k</m:t>
              </m:r>
              <m:r>
                <m:t> </m:t>
              </m:r>
              <m:r>
                <m:rPr>
                  <m:sty m:val="p"/>
                </m:rPr>
                <m:t>:</m:t>
              </m:r>
              <m:r>
                <m:t> </m:t>
              </m:r>
              <m:r>
                <m:t>k</m:t>
              </m:r>
              <m:r>
                <m:rPr>
                  <m:sty m:val="p"/>
                </m:rPr>
                <m:t>⊂</m:t>
              </m:r>
              <m:r>
                <m:t>j</m:t>
              </m:r>
            </m:sub>
            <m:sup>
              <m:r>
                <m:t>​</m:t>
              </m:r>
            </m:sup>
            <m:e>
              <m:sSubSup>
                <m:e>
                  <m:acc>
                    <m:accPr>
                      <m:chr m:val="̂"/>
                    </m:accPr>
                    <m:e>
                      <m:r>
                        <m:t>N</m:t>
                      </m:r>
                    </m:e>
                  </m:acc>
                </m:e>
                <m:sub>
                  <m:r>
                    <m:t>k</m:t>
                  </m:r>
                </m:sub>
                <m:sup>
                  <m:r>
                    <m:rPr>
                      <m:sty m:val="p"/>
                    </m:rPr>
                    <m:t>(</m:t>
                  </m:r>
                  <m:r>
                    <m:t>3</m:t>
                  </m:r>
                  <m:r>
                    <m:rPr>
                      <m:sty m:val="p"/>
                    </m:rPr>
                    <m:t>)</m:t>
                  </m:r>
                </m:sup>
              </m:sSubSup>
            </m:e>
          </m:nary>
        </m:oMath>
      </m:oMathPara>
    </w:p>
    <w:p>
      <w:pPr>
        <w:pStyle w:val="FirstParagraph"/>
      </w:pPr>
      <w:r>
        <w:t xml:space="preserve">Esta restricción de coherencia entre niveles es fundamental para garantizar la consistencia interna del sistema estadístico y constituye un criterio de validación esencial de cualquier modelo de estimación subnacional.</w:t>
      </w:r>
    </w:p>
    <w:p>
      <w:pPr>
        <w:pStyle w:val="BodyText"/>
      </w:pPr>
      <w:r>
        <w:rPr>
          <w:b/>
          <w:bCs/>
        </w:rPr>
        <w:t xml:space="preserve">Estimación en unidades con cobertura incompleta.</w:t>
      </w:r>
      <w:r>
        <w:t xml:space="preserve"> </w:t>
      </w:r>
      <w:r>
        <w:t xml:space="preserve">La estimación de conteos poblacionales solo es necesaria en aquellas unidades territoriales donde el operativo censal no logró observar la totalidad de la población o donde los conteos disponibles presentan deficiencias de cobertura o calidad. En estos casos, la información observada resulta insuficiente para determinar directamente el número de habitantes, por lo que es necesario complementar los datos censales mediante información auxiliar proveniente de múltiples fuentes. El modelo estadístico combina ambas fuentes de información para predecir los conteos poblacionales faltantes y reconstruir una distribución poblacional consistente con la información disponible.</w:t>
      </w:r>
    </w:p>
    <w:p>
      <w:pPr>
        <w:pStyle w:val="BodyText"/>
      </w:pPr>
      <w:r>
        <w:rPr>
          <w:b/>
          <w:bCs/>
        </w:rPr>
        <w:t xml:space="preserve">Propagación de incertidumbre.</w:t>
      </w:r>
      <w:r>
        <w:t xml:space="preserve"> </w:t>
      </w:r>
      <w:r>
        <w:t xml:space="preserve">Toda predicción de conteos poblacionales debe acompañarse de una medida de incertidumbre que refleje la información disponible y la variabilidad asociada al proceso de estimación. La incertidumbre depende, entre otros factores, de la cantidad y calidad de la información observada, de la capacidad explicativa de las covariables y de la incertidumbre inherente al modelo estadístico. Su cuantificación es indispensable para evaluar la confiabilidad de las predicciones y apoyar su utilización en la producción de estadísticas oficiales y en la toma de decisiones.</w:t>
      </w:r>
    </w:p>
    <w:bookmarkEnd w:id="23"/>
    <w:bookmarkStart w:id="24" w:name="justificación-del-enfoque-bayesiano"/>
    <w:p>
      <w:pPr>
        <w:pStyle w:val="Heading3"/>
      </w:pPr>
      <w:r>
        <w:rPr>
          <w:rStyle w:val="SectionNumber"/>
        </w:rPr>
        <w:t xml:space="preserve">2.1.3</w:t>
      </w:r>
      <w:r>
        <w:tab/>
      </w:r>
      <w:r>
        <w:t xml:space="preserve">Justificación del enfoque bayesiano</w:t>
      </w:r>
    </w:p>
    <w:p>
      <w:pPr>
        <w:pStyle w:val="FirstParagraph"/>
      </w:pPr>
      <w:r>
        <w:t xml:space="preserve">La estimación de conteos poblacionales en unidades territoriales con cobertura censal incompleta requiere un marco inferencial capaz de integrar información proveniente de múltiples fuentes, representar explícitamente la incertidumbre asociada a las predicciones y modelar la heterogeneidad inherente a la distribución de la población. El enfoque bayesiano proporciona una formulación natural para abordar estos desafíos, al combinar la evidencia observada con información previa dentro de un modelo probabilístico coherente. Esta formulación permite incorporar estructuras jerárquicas, compartir información entre unidades territoriales relacionadas y obtener distribuciones posteriores para todos los parámetros y cantidades de interés, facilitando tanto la predicción de conteos poblacionales como la cuantificación de la incertidumbre asociada a dichas predicciones. Estas características convierten al enfoque bayesiano en un marco particularmente adecuado para el desarrollo de los modelos de población presentados en este libro.</w:t>
      </w:r>
    </w:p>
    <w:p>
      <w:pPr>
        <w:pStyle w:val="BodyText"/>
      </w:pPr>
      <w:r>
        <w:rPr>
          <w:b/>
          <w:bCs/>
        </w:rPr>
        <w:t xml:space="preserve">Representación explícita de la incertidumbre.</w:t>
      </w:r>
      <w:r>
        <w:t xml:space="preserve"> </w:t>
      </w:r>
      <w:r>
        <w:t xml:space="preserve">En el paradigma bayesiano, todos los parámetros desconocidos se tratan como variables aleatorias cuya incertidumbre se cuantifica mediante distribuciones de probabilidad. En el modelo de conteos poblacionales desarrollado en este libro, el vector de parámetros estructurales es</w:t>
      </w:r>
      <w:r>
        <w:t xml:space="preserve"> </w:t>
      </w:r>
      <m:oMath>
        <m:r>
          <m:rPr>
            <m:sty m:val="b"/>
          </m:rPr>
          <m:t>θ</m:t>
        </m:r>
        <m:r>
          <m:rPr>
            <m:sty m:val="p"/>
          </m:rPr>
          <m:t>=</m:t>
        </m:r>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oMath>
      <w:r>
        <w:t xml:space="preserve">:</w:t>
      </w:r>
      <w:r>
        <w:t xml:space="preserve"> </w:t>
      </w:r>
      <m:oMath>
        <m:r>
          <m:rPr>
            <m:sty m:val="b"/>
          </m:rPr>
          <m:t>β</m:t>
        </m:r>
      </m:oMath>
      <w:r>
        <w:t xml:space="preserve"> </w:t>
      </w:r>
      <w:r>
        <w:t xml:space="preserve">son los coeficientes de efectos fijos asociados a las covariables auxiliares,</w:t>
      </w:r>
      <w:r>
        <w:t xml:space="preserve"> </w:t>
      </w:r>
      <m:oMath>
        <m:r>
          <m:rPr>
            <m:sty m:val="b"/>
          </m:rPr>
          <m:t>γ</m:t>
        </m:r>
      </m:oMath>
      <w:r>
        <w:t xml:space="preserve"> </w:t>
      </w:r>
      <w:r>
        <w:t xml:space="preserve">son los efectos aleatorios territoriales,</w:t>
      </w:r>
      <w:r>
        <w:t xml:space="preserve"> </w:t>
      </w:r>
      <m:oMath>
        <m:r>
          <m:t>σ</m:t>
        </m:r>
      </m:oMath>
      <w:r>
        <w:t xml:space="preserve"> </w:t>
      </w:r>
      <w:r>
        <w:t xml:space="preserve">es la escala de la densidad poblacional latente y</w:t>
      </w:r>
      <w:r>
        <w:t xml:space="preserve"> </w:t>
      </w:r>
      <m:oMath>
        <m:sSub>
          <m:e>
            <m:r>
              <m:t>σ</m:t>
            </m:r>
          </m:e>
          <m:sub>
            <m:r>
              <m:t>U</m:t>
            </m:r>
          </m:sub>
        </m:sSub>
      </m:oMath>
      <w:r>
        <w:t xml:space="preserve"> </w:t>
      </w:r>
      <w:r>
        <w:t xml:space="preserve">es el hiperparámetro que controla la variabilidad de</w:t>
      </w:r>
      <w:r>
        <w:t xml:space="preserve"> </w:t>
      </w:r>
      <m:oMath>
        <m:r>
          <m:rPr>
            <m:sty m:val="b"/>
          </m:rPr>
          <m:t>γ</m:t>
        </m:r>
      </m:oMath>
      <w:r>
        <w:t xml:space="preserve"> </w:t>
      </w:r>
      <w:r>
        <w:t xml:space="preserve">entre unidades territoriales.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encapsula el estado de conocimiento sobre estos parámetros —y, a través de ellos, sobre la población en cada segmento— dado el vector de conteos observados</w:t>
      </w:r>
      <w:r>
        <w:t xml:space="preserve"> </w:t>
      </w:r>
      <m:oMath>
        <m:r>
          <m:rPr>
            <m:sty m:val="b"/>
          </m:rPr>
          <m:t>Y</m:t>
        </m:r>
      </m:oMath>
      <w:r>
        <w:t xml:space="preserve">:</w:t>
      </w:r>
    </w:p>
    <w:p>
      <w:pPr>
        <w:pStyle w:val="BodyText"/>
      </w:pPr>
      <m:oMathPara>
        <m:oMathParaPr>
          <m:jc m:val="center"/>
        </m:oMathParaPr>
        <m:oMath>
          <m:r>
            <m:t>p</m:t>
          </m:r>
          <m:r>
            <m:rPr>
              <m:sty m:val="p"/>
            </m:rPr>
            <m:t>(</m:t>
          </m:r>
          <m:r>
            <m:rPr>
              <m:sty m:val="b"/>
            </m:rPr>
            <m:t>θ</m:t>
          </m:r>
          <m:r>
            <m:rPr>
              <m:sty m:val="p"/>
            </m:rPr>
            <m:t>∣</m:t>
          </m:r>
          <m:r>
            <m:rPr>
              <m:sty m:val="b"/>
            </m:rPr>
            <m:t>Y</m:t>
          </m:r>
          <m:r>
            <m:rPr>
              <m:sty m:val="p"/>
            </m:rPr>
            <m:t>)</m:t>
          </m:r>
          <m:r>
            <m:rPr>
              <m:sty m:val="p"/>
            </m:rPr>
            <m:t>∝</m:t>
          </m:r>
          <m:r>
            <m:t>p</m:t>
          </m:r>
          <m:r>
            <m:rPr>
              <m:sty m:val="p"/>
            </m:rPr>
            <m:t>(</m:t>
          </m:r>
          <m:r>
            <m:rPr>
              <m:sty m:val="b"/>
            </m:rPr>
            <m:t>Y</m:t>
          </m:r>
          <m:r>
            <m:rPr>
              <m:sty m:val="p"/>
            </m:rPr>
            <m:t>∣</m:t>
          </m:r>
          <m:r>
            <m:rPr>
              <m:sty m:val="b"/>
            </m:rPr>
            <m:t>θ</m:t>
          </m:r>
          <m:r>
            <m:rPr>
              <m:sty m:val="p"/>
            </m:rPr>
            <m:t>)</m:t>
          </m:r>
          <m:r>
            <m:t> </m:t>
          </m:r>
          <m:r>
            <m:t>p</m:t>
          </m:r>
          <m:r>
            <m:rPr>
              <m:sty m:val="p"/>
            </m:rPr>
            <m:t>(</m:t>
          </m:r>
          <m:r>
            <m:rPr>
              <m:sty m:val="b"/>
            </m:rPr>
            <m:t>θ</m:t>
          </m:r>
          <m:r>
            <m:rPr>
              <m:sty m:val="p"/>
            </m:rPr>
            <m:t>)</m:t>
          </m:r>
        </m:oMath>
      </m:oMathPara>
    </w:p>
    <w:p>
      <w:pPr>
        <w:pStyle w:val="FirstParagraph"/>
      </w:pPr>
      <w:r>
        <w:t xml:space="preserve">Esta representación permite calcular intervalos de credibilidad, probabilidades de excedencia y cualquier otra cantidad de interés derivada de la distribución posterior.</w:t>
      </w:r>
    </w:p>
    <w:p>
      <w:pPr>
        <w:pStyle w:val="BodyText"/>
      </w:pPr>
      <w:r>
        <w:rPr>
          <w:b/>
          <w:bCs/>
        </w:rPr>
        <w:t xml:space="preserve">Incorporación de información previa.</w:t>
      </w:r>
      <w:r>
        <w:t xml:space="preserve"> </w:t>
      </w:r>
      <w:r>
        <w:t xml:space="preserve">El enfoque bayesiano permite incorporar conocimiento previo mediante distribuciones a priori asignadas a los parámetros del modelo. Estas distribuciones pueden representar restricciones derivadas del problema de estudio o reflejar información disponible antes de observar los datos. La combinación de esta información con la evidencia aportada por los datos da lugar a la distribución posterior, que constituye la base de la inferencia bayesiana.</w:t>
      </w:r>
    </w:p>
    <w:p>
      <w:pPr>
        <w:pStyle w:val="BodyText"/>
      </w:pPr>
      <w:r>
        <w:rPr>
          <w:b/>
          <w:bCs/>
        </w:rPr>
        <w:t xml:space="preserve">Modelamiento jerárquico.</w:t>
      </w:r>
      <w:r>
        <w:t xml:space="preserve"> </w:t>
      </w:r>
      <w:r>
        <w:t xml:space="preserve">Los modelos bayesianos permiten organizar los distintos componentes del problema mediante estructuras jerárquicas, facilitando la integración de información proveniente de múltiples fuentes y el intercambio de información entre unidades territoriales. Esta característica produce estimaciones más estables en aquellas unidades con información limitada, sin perder la capacidad de representar la heterogeneidad observada entre territorios.</w:t>
      </w:r>
    </w:p>
    <w:p>
      <w:pPr>
        <w:pStyle w:val="BodyText"/>
      </w:pPr>
      <w:r>
        <w:t xml:space="preserve">En modelos jerárquicos de alta complejidad, la distribución posterior rara vez admite una expresión analítica, por lo que su aproximación requiere métodos numéricos de simulación. En este libro, la inferencia bayesiana se realiza mediante técnicas de Monte Carlo por cadenas de Markov (MCMC)</w:t>
      </w:r>
      <w:r>
        <w:t xml:space="preserve"> </w:t>
      </w:r>
      <w:r>
        <w:t xml:space="preserve">(</w:t>
      </w:r>
      <w:hyperlink w:anchor="ref-Tierney1994">
        <w:r>
          <w:rPr>
            <w:rStyle w:val="Hyperlink"/>
          </w:rPr>
          <w:t xml:space="preserve">Tierney 1994</w:t>
        </w:r>
      </w:hyperlink>
      <w:r>
        <w:t xml:space="preserve">)</w:t>
      </w:r>
      <w:r>
        <w:t xml:space="preserve">, utilizando el algoritmo Hamiltonian Monte Carlo (HMC) y el muestreador No-U-Turn (NUTS) implementados en Stan</w:t>
      </w:r>
      <w:r>
        <w:t xml:space="preserve"> </w:t>
      </w:r>
      <w:r>
        <w:t xml:space="preserve">(</w:t>
      </w:r>
      <w:hyperlink w:anchor="ref-Duane1987">
        <w:r>
          <w:rPr>
            <w:rStyle w:val="Hyperlink"/>
          </w:rPr>
          <w:t xml:space="preserve">Duane et al. 1987</w:t>
        </w:r>
      </w:hyperlink>
      <w:r>
        <w:t xml:space="preserve">;</w:t>
      </w:r>
      <w:r>
        <w:t xml:space="preserve"> </w:t>
      </w:r>
      <w:hyperlink w:anchor="ref-Neal2011">
        <w:r>
          <w:rPr>
            <w:rStyle w:val="Hyperlink"/>
          </w:rPr>
          <w:t xml:space="preserve">Neal 2011</w:t>
        </w:r>
      </w:hyperlink>
      <w:r>
        <w:t xml:space="preserve">;</w:t>
      </w:r>
      <w:r>
        <w:t xml:space="preserve"> </w:t>
      </w:r>
      <w:hyperlink w:anchor="ref-Betancourt2017">
        <w:r>
          <w:rPr>
            <w:rStyle w:val="Hyperlink"/>
          </w:rPr>
          <w:t xml:space="preserve">Betancourt 2017</w:t>
        </w:r>
      </w:hyperlink>
      <w:r>
        <w:t xml:space="preserve">;</w:t>
      </w:r>
      <w:r>
        <w:t xml:space="preserve"> </w:t>
      </w:r>
      <w:hyperlink w:anchor="ref-Hoffman2014">
        <w:r>
          <w:rPr>
            <w:rStyle w:val="Hyperlink"/>
          </w:rPr>
          <w:t xml:space="preserve">Hoffman y Gelman 2014</w:t>
        </w:r>
      </w:hyperlink>
      <w:r>
        <w:t xml:space="preserve">;</w:t>
      </w:r>
      <w:r>
        <w:t xml:space="preserve"> </w:t>
      </w:r>
      <w:hyperlink w:anchor="ref-Carpenter2017">
        <w:r>
          <w:rPr>
            <w:rStyle w:val="Hyperlink"/>
          </w:rPr>
          <w:t xml:space="preserve">Carpenter et al. 2017</w:t>
        </w:r>
      </w:hyperlink>
      <w:r>
        <w:t xml:space="preserve">)</w:t>
      </w:r>
      <w:r>
        <w:t xml:space="preserve">. Los fundamentos de estos algoritmos y su aplicación al modelo propuesto se presentan en el Capítulo</w:t>
      </w:r>
      <w:r>
        <w:t xml:space="preserve"> </w:t>
      </w:r>
      <w:r>
        <w:t xml:space="preserve">??</w:t>
      </w:r>
      <w:r>
        <w:t xml:space="preserve">.</w:t>
      </w:r>
    </w:p>
    <w:bookmarkEnd w:id="24"/>
    <w:bookmarkStart w:id="25" w:name="integracion-multiples-fuentes"/>
    <w:p>
      <w:pPr>
        <w:pStyle w:val="Heading3"/>
      </w:pPr>
      <w:r>
        <w:rPr>
          <w:rStyle w:val="SectionNumber"/>
        </w:rPr>
        <w:t xml:space="preserve">2.1.4</w:t>
      </w:r>
      <w:r>
        <w:tab/>
      </w:r>
      <w:r>
        <w:t xml:space="preserve">Integración de múltiples fuentes</w:t>
      </w:r>
    </w:p>
    <w:p>
      <w:pPr>
        <w:pStyle w:val="FirstParagraph"/>
      </w:pPr>
      <w:r>
        <w:t xml:space="preserve">Uno de los principales retos en la modelación de población consiste en aprovechar la información disponible en fuentes de naturaleza heterogénea. Además de los conteos provenientes del censo, actualmente existe una amplia variedad de fuentes auxiliares que describen características demográficas, ambientales, físicas y socioeconómicas del territorio, como registros administrativos, imágenes satelitales, productos de observación de la Tierra, cartografía temática e infraestructura geoespacial</w:t>
      </w:r>
      <w:r>
        <w:t xml:space="preserve"> </w:t>
      </w:r>
      <w:r>
        <w:t xml:space="preserve">(</w:t>
      </w:r>
      <w:hyperlink w:anchor="ref-CEPAL2023">
        <w:r>
          <w:rPr>
            <w:rStyle w:val="Hyperlink"/>
          </w:rPr>
          <w:t xml:space="preserve">CEPAL 2023</w:t>
        </w:r>
      </w:hyperlink>
      <w:r>
        <w:t xml:space="preserve">)</w:t>
      </w:r>
      <w:r>
        <w:t xml:space="preserve">. Aunque estas fuentes no constituyen mediciones directas de la población, contienen información que puede utilizarse para explicar su distribución y mejorar la capacidad predictiva de los modelos.</w:t>
      </w:r>
    </w:p>
    <w:p>
      <w:pPr>
        <w:pStyle w:val="BodyText"/>
      </w:pPr>
      <w:r>
        <w:t xml:space="preserve">El enfoque bayesiano proporciona un marco probabilístico coherente para integrar esta información dentro de un único modelo</w:t>
      </w:r>
      <w:r>
        <w:t xml:space="preserve"> </w:t>
      </w:r>
      <w:r>
        <w:t xml:space="preserve">(</w:t>
      </w:r>
      <w:hyperlink w:anchor="ref-BryantZhang2018">
        <w:r>
          <w:rPr>
            <w:rStyle w:val="Hyperlink"/>
          </w:rPr>
          <w:t xml:space="preserve">Bryant y Zhang 2018</w:t>
        </w:r>
      </w:hyperlink>
      <w:r>
        <w:t xml:space="preserve">)</w:t>
      </w:r>
      <w:r>
        <w:t xml:space="preserve">. En la metodología desarrollada en este libro, la integración se realiza principalmente mediante la incorporación de variables auxiliares derivadas de las distintas fuentes en el vector de covariables</w:t>
      </w:r>
      <w:r>
        <w:t xml:space="preserve"> </w:t>
      </w:r>
      <m:oMath>
        <m:sSub>
          <m:e>
            <m:r>
              <m:rPr>
                <m:sty m:val="b"/>
              </m:rPr>
              <m:t>x</m:t>
            </m:r>
          </m:e>
          <m:sub>
            <m:r>
              <m:t>i</m:t>
            </m:r>
          </m:sub>
        </m:sSub>
        <m:r>
          <m:rPr>
            <m:sty m:val="p"/>
          </m:rPr>
          <m:t>=</m:t>
        </m:r>
        <m:r>
          <m:rPr>
            <m:sty m:val="p"/>
          </m:rPr>
          <m:t>(</m:t>
        </m:r>
        <m:sSub>
          <m:e>
            <m:r>
              <m:t>x</m:t>
            </m:r>
          </m:e>
          <m:sub>
            <m:r>
              <m:t>i</m:t>
            </m:r>
            <m:r>
              <m:t>1</m:t>
            </m:r>
          </m:sub>
        </m:sSub>
        <m:r>
          <m:rPr>
            <m:sty m:val="p"/>
          </m:rPr>
          <m:t>,</m:t>
        </m:r>
        <m:sSub>
          <m:e>
            <m:r>
              <m:t>x</m:t>
            </m:r>
          </m:e>
          <m:sub>
            <m:r>
              <m:t>i</m:t>
            </m:r>
            <m:r>
              <m:t>2</m:t>
            </m:r>
          </m:sub>
        </m:sSub>
        <m:r>
          <m:rPr>
            <m:sty m:val="p"/>
          </m:rPr>
          <m:t>,</m:t>
        </m:r>
        <m:r>
          <m:rPr>
            <m:sty m:val="p"/>
          </m:rPr>
          <m:t>…</m:t>
        </m:r>
        <m:r>
          <m:rPr>
            <m:sty m:val="p"/>
          </m:rPr>
          <m:t>,</m:t>
        </m:r>
        <m:sSub>
          <m:e>
            <m:r>
              <m:t>x</m:t>
            </m:r>
          </m:e>
          <m:sub>
            <m:r>
              <m:t>i</m:t>
            </m:r>
            <m:r>
              <m:t>p</m:t>
            </m:r>
          </m:sub>
        </m:sSub>
        <m:sSup>
          <m:e>
            <m:r>
              <m:rPr>
                <m:sty m:val="p"/>
              </m:rPr>
              <m:t>)</m:t>
            </m:r>
          </m:e>
          <m:sup>
            <m:r>
              <m:rPr>
                <m:sty m:val="p"/>
              </m:rPr>
              <m:t>⊤</m:t>
            </m:r>
          </m:sup>
        </m:sSup>
      </m:oMath>
      <w:r>
        <w:t xml:space="preserve"> </w:t>
      </w:r>
      <w:r>
        <w:t xml:space="preserve">del predictor log-lineal</w:t>
      </w:r>
      <w:r>
        <w:t xml:space="preserve"> </w:t>
      </w: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presentado en la Sección</w:t>
      </w:r>
      <w:r>
        <w:t xml:space="preserve"> </w:t>
      </w:r>
      <w:r>
        <w:t xml:space="preserve">2.1.1</w:t>
      </w:r>
      <w:r>
        <w:t xml:space="preserve">. Cada componente de</w:t>
      </w:r>
      <w:r>
        <w:t xml:space="preserve"> </w:t>
      </w:r>
      <m:oMath>
        <m:sSub>
          <m:e>
            <m:r>
              <m:rPr>
                <m:sty m:val="b"/>
              </m:rPr>
              <m:t>x</m:t>
            </m:r>
          </m:e>
          <m:sub>
            <m:r>
              <m:t>i</m:t>
            </m:r>
          </m:sub>
        </m:sSub>
      </m:oMath>
      <w:r>
        <w:t xml:space="preserve"> </w:t>
      </w:r>
      <w:r>
        <w:t xml:space="preserve">puede provenir de una fuente distinta, y de esta forma la información contenida en múltiples fuentes contribuye conjuntamente a explicar la intensidad poblacional y a mejorar las predicciones en las unidades donde la cobertura censal es incompleta.</w:t>
      </w:r>
    </w:p>
    <w:p>
      <w:pPr>
        <w:pStyle w:val="BodyText"/>
      </w:pPr>
      <w:r>
        <w:t xml:space="preserve">La integración de fuentes requiere un proceso previo de armonización para garantizar que las variables auxiliares sean comparables entre sí y consistentes con la unidad territorial de análisis. Este proceso comprende la transformación de escalas espaciales, la agregación o desagregación de información, el tratamiento de valores faltantes, la estandarización de definiciones y la evaluación de la calidad de cada fuente. Estos aspectos se desarrollan en las secciones siguientes del capítulo.</w:t>
      </w:r>
    </w:p>
    <w:p>
      <w:pPr>
        <w:pStyle w:val="BodyText"/>
      </w:pPr>
      <w:r>
        <w:t xml:space="preserve">En la literatura también existen modelos que integran múltiples mediciones directas de la población mediante funciones de verosimilitud específicas para cada fuente de información</w:t>
      </w:r>
      <w:r>
        <w:t xml:space="preserve"> </w:t>
      </w:r>
      <w:r>
        <w:t xml:space="preserve">(</w:t>
      </w:r>
      <w:hyperlink w:anchor="ref-BryantGraham2013">
        <w:r>
          <w:rPr>
            <w:rStyle w:val="Hyperlink"/>
          </w:rPr>
          <w:t xml:space="preserve">Bryant y Graham 2013</w:t>
        </w:r>
      </w:hyperlink>
      <w:r>
        <w:t xml:space="preserve">;</w:t>
      </w:r>
      <w:r>
        <w:t xml:space="preserve"> </w:t>
      </w:r>
      <w:hyperlink w:anchor="ref-Wheldon2013">
        <w:r>
          <w:rPr>
            <w:rStyle w:val="Hyperlink"/>
          </w:rPr>
          <w:t xml:space="preserve">Wheldon et al. 2013</w:t>
        </w:r>
      </w:hyperlink>
      <w:r>
        <w:t xml:space="preserve">)</w:t>
      </w:r>
      <w:r>
        <w:t xml:space="preserve">. Aunque este enfoque resulta apropiado cuando se dispone de varias observaciones comparables del mismo fenómeno, en este libro se adopta una estrategia diferente: utilizar una única variable respuesta —el conteo poblacional observado— y complementar su información mediante covariables derivadas de múltiples fuentes auxiliares, en la línea de los modelos de área de la Estimación en Áreas Pequeñas</w:t>
      </w:r>
      <w:r>
        <w:t xml:space="preserve"> </w:t>
      </w:r>
      <w:r>
        <w:t xml:space="preserve">(</w:t>
      </w:r>
      <w:hyperlink w:anchor="ref-Rao2015">
        <w:r>
          <w:rPr>
            <w:rStyle w:val="Hyperlink"/>
          </w:rPr>
          <w:t xml:space="preserve">Rao y Molina 2015</w:t>
        </w:r>
      </w:hyperlink>
      <w:r>
        <w:t xml:space="preserve">;</w:t>
      </w:r>
      <w:r>
        <w:t xml:space="preserve"> </w:t>
      </w:r>
      <w:hyperlink w:anchor="ref-Mercer2015">
        <w:r>
          <w:rPr>
            <w:rStyle w:val="Hyperlink"/>
          </w:rPr>
          <w:t xml:space="preserve">Mercer et al. 2015</w:t>
        </w:r>
      </w:hyperlink>
      <w:r>
        <w:t xml:space="preserve">)</w:t>
      </w:r>
      <w:r>
        <w:t xml:space="preserve">. Esta formulación permite aprovechar la riqueza de la información disponible sin requerir que todas las fuentes midan directamente la población bajo un mismo esquema de observación.</w:t>
      </w:r>
    </w:p>
    <w:bookmarkEnd w:id="25"/>
    <w:bookmarkStart w:id="26" w:name="relación-con-small-area-estimation-sae"/>
    <w:p>
      <w:pPr>
        <w:pStyle w:val="Heading3"/>
      </w:pPr>
      <w:r>
        <w:rPr>
          <w:rStyle w:val="SectionNumber"/>
        </w:rPr>
        <w:t xml:space="preserve">2.1.5</w:t>
      </w:r>
      <w:r>
        <w:tab/>
      </w:r>
      <w:r>
        <w:t xml:space="preserve">Relación con</w:t>
      </w:r>
      <w:r>
        <w:t xml:space="preserve"> </w:t>
      </w:r>
      <w:r>
        <w:rPr>
          <w:i/>
          <w:iCs/>
        </w:rPr>
        <w:t xml:space="preserve">Small Area Estimation</w:t>
      </w:r>
      <w:r>
        <w:t xml:space="preserve"> </w:t>
      </w:r>
      <w:r>
        <w:t xml:space="preserve">(SAE)</w:t>
      </w:r>
    </w:p>
    <w:p>
      <w:pPr>
        <w:pStyle w:val="FirstParagraph"/>
      </w:pPr>
      <w:r>
        <w:t xml:space="preserve">Los modelos presentados en este libro guardan una estrecha relación conceptual con la metodología de Estimación en Áreas Pequeñas (</w:t>
      </w:r>
      <w:r>
        <w:rPr>
          <w:i/>
          <w:iCs/>
        </w:rPr>
        <w:t xml:space="preserve">Small Area Estimation</w:t>
      </w:r>
      <w:r>
        <w:t xml:space="preserve">, SAE), en cuanto ambos buscan producir estimaciones confiables para unidades territoriales donde la información disponible es insuficiente para responder directamente al problema de interés</w:t>
      </w:r>
      <w:r>
        <w:t xml:space="preserve"> </w:t>
      </w:r>
      <w:r>
        <w:t xml:space="preserve">(</w:t>
      </w:r>
      <w:hyperlink w:anchor="ref-Rao2015">
        <w:r>
          <w:rPr>
            <w:rStyle w:val="Hyperlink"/>
          </w:rPr>
          <w:t xml:space="preserve">Rao y Molina 2015</w:t>
        </w:r>
      </w:hyperlink>
      <w:r>
        <w:t xml:space="preserve">)</w:t>
      </w:r>
      <w:r>
        <w:t xml:space="preserve">. En ambos enfoques, las variables auxiliares desempeñan un papel fundamental al complementar la información observada mediante modelos estadísticos que permiten mejorar la precisión de las estimaciones.</w:t>
      </w:r>
    </w:p>
    <w:p>
      <w:pPr>
        <w:pStyle w:val="BodyText"/>
      </w:pPr>
      <w:r>
        <w:t xml:space="preserve">No obstante, el problema abordado en este libro difiere del planteamiento clásico de SAE. En los modelos tradicionales, el objetivo consiste en estimar parámetros poblacionales —como medias, proporciones o totales— a partir de encuestas probabilísticas cuyos tamaños muestrales son insuficientes en determinados dominios de estudio. En consecuencia, el modelo se construye sobre estimadores directos o sobre observaciones individuales provenientes del diseño muestral, incorporando explícitamente el error de muestreo como parte de la especificación estadística.</w:t>
      </w:r>
    </w:p>
    <w:p>
      <w:pPr>
        <w:pStyle w:val="BodyText"/>
      </w:pPr>
      <w:r>
        <w:t xml:space="preserve">En contraste, los modelos bayesianos de población desarrollados en este libro utilizan como variable respuesta el conteo poblacional observado durante el operativo censal y recurren a fuentes auxiliares para predecir la población únicamente en aquellas unidades territoriales donde la cobertura censal es incompleta o la información disponible resulta insuficiente. En este contexto, la incertidumbre proviene principalmente del modelo de predicción y de la calidad de las fuentes de información utilizadas, más que del error de muestreo asociado a un diseño probabilístico.</w:t>
      </w:r>
    </w:p>
    <w:p>
      <w:pPr>
        <w:pStyle w:val="BodyText"/>
      </w:pPr>
      <w:r>
        <w:t xml:space="preserve">Desde el punto de vista metodológico, ambos enfoques comparten el uso de modelos jerárquicos, efectos aleatorios y variables auxiliares para combinar información de diferentes orígenes. Sin embargo, difieren en la naturaleza de la variable de interés, en el mecanismo que genera la incertidumbre y en la formulación del modelo estadístico. Mientras que la metodología SAE clásica se desarrolla principalmente para parámetros derivados de encuestas, el enfoque presentado en este libro se orienta a la reconstrucción y predicción de conteos poblacionales mediante modelos bayesianos de conteo que integran información proveniente de múltiples fuentes.</w:t>
      </w:r>
    </w:p>
    <w:bookmarkEnd w:id="26"/>
    <w:bookmarkEnd w:id="27"/>
    <w:bookmarkStart w:id="32" w:name="identificacion-fuentes"/>
    <w:p>
      <w:pPr>
        <w:pStyle w:val="Heading2"/>
      </w:pPr>
      <w:r>
        <w:rPr>
          <w:rStyle w:val="SectionNumber"/>
        </w:rPr>
        <w:t xml:space="preserve">2.2</w:t>
      </w:r>
      <w:r>
        <w:tab/>
      </w:r>
      <w:r>
        <w:t xml:space="preserve">Identificación de fuentes</w:t>
      </w:r>
    </w:p>
    <w:p>
      <w:pPr>
        <w:pStyle w:val="FirstParagraph"/>
      </w:pPr>
      <w:r>
        <w:t xml:space="preserve">La calidad de los modelos bayesianos de estimación subnacional depende críticamente de la disponibilidad y pertinencia de las fuentes de información auxiliar incorporadas. En América Latina y el Caribe, el conjunto de fuentes disponibles varía considerablemente entre países, pero puede organizarse en cuatro categorías principales: medición de cobertura censal, preconteos operativos, registros administrativos y fuentes satelitales.</w:t>
      </w:r>
    </w:p>
    <w:bookmarkStart w:id="28" w:name="medicion-cobertura"/>
    <w:p>
      <w:pPr>
        <w:pStyle w:val="Heading3"/>
      </w:pPr>
      <w:r>
        <w:rPr>
          <w:rStyle w:val="SectionNumber"/>
        </w:rPr>
        <w:t xml:space="preserve">2.2.1</w:t>
      </w:r>
      <w:r>
        <w:tab/>
      </w:r>
      <w:r>
        <w:t xml:space="preserve">Medición de cobertura a nivel de segmento</w:t>
      </w:r>
    </w:p>
    <w:p>
      <w:pPr>
        <w:pStyle w:val="FirstParagraph"/>
      </w:pPr>
      <w:r>
        <w:t xml:space="preserve">La cobertura censal constituye el primer aspecto que debe evaluarse antes de emprender cualquier proceso de estimación poblacional subnacional. La cobertura representa la proporción de la población real que fue efectivamente enumerada durante el operativo censal, mientras que su complemento, la tasa de omisión censal, cuantifica la fracción de la población que no fue observada.</w:t>
      </w:r>
    </w:p>
    <w:p>
      <w:pPr>
        <w:pStyle w:val="BodyText"/>
      </w:pPr>
      <w:r>
        <w:t xml:space="preserve">Sea</w:t>
      </w:r>
      <w:r>
        <w:t xml:space="preserve"> </w:t>
      </w:r>
      <m:oMath>
        <m:sSub>
          <m:e>
            <m:r>
              <m:t>N</m:t>
            </m:r>
          </m:e>
          <m:sub>
            <m:r>
              <m:t>i</m:t>
            </m:r>
          </m:sub>
        </m:sSub>
      </m:oMath>
      <w:r>
        <w:t xml:space="preserve"> </w:t>
      </w:r>
      <w:r>
        <w:t xml:space="preserve">la población verdadera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registrado durante el censo. La tasa de cobertura del segmento se define como</w:t>
      </w:r>
    </w:p>
    <w:p>
      <w:pPr>
        <w:pStyle w:val="BodyText"/>
      </w:pPr>
      <m:oMathPara>
        <m:oMathParaPr>
          <m:jc m:val="center"/>
        </m:oMathParaPr>
        <m:oMath>
          <m:sSub>
            <m:e>
              <m:r>
                <m:t>c</m:t>
              </m:r>
            </m:e>
            <m:sub>
              <m:r>
                <m:t>i</m:t>
              </m:r>
            </m:sub>
          </m:sSub>
          <m:r>
            <m:rPr>
              <m:sty m:val="p"/>
            </m:rPr>
            <m:t>=</m:t>
          </m:r>
          <m:f>
            <m:fPr>
              <m:type m:val="bar"/>
            </m:fPr>
            <m:num>
              <m:sSubSup>
                <m:e>
                  <m:r>
                    <m:t>Y</m:t>
                  </m:r>
                </m:e>
                <m:sub>
                  <m:r>
                    <m:t>i</m:t>
                  </m:r>
                </m:sub>
                <m:sup>
                  <m:r>
                    <m:rPr>
                      <m:sty m:val="p"/>
                    </m:rPr>
                    <m:t>(</m:t>
                  </m:r>
                  <m:r>
                    <m:t>C</m:t>
                  </m:r>
                  <m:r>
                    <m:rPr>
                      <m:sty m:val="p"/>
                    </m:rPr>
                    <m:t>)</m:t>
                  </m:r>
                </m:sup>
              </m:sSubSup>
            </m:num>
            <m:den>
              <m:sSub>
                <m:e>
                  <m:r>
                    <m:t>N</m:t>
                  </m:r>
                </m:e>
                <m:sub>
                  <m:r>
                    <m:t>i</m:t>
                  </m:r>
                </m:sub>
              </m:sSub>
            </m:den>
          </m:f>
          <m:r>
            <m:rPr>
              <m:sty m:val="p"/>
            </m:rPr>
            <m:t>,</m:t>
          </m:r>
        </m:oMath>
      </m:oMathPara>
    </w:p>
    <w:p>
      <w:pPr>
        <w:pStyle w:val="FirstParagraph"/>
      </w:pPr>
      <w:r>
        <w:t xml:space="preserve">mientras que la tasa de omisión correspondiente es</w:t>
      </w:r>
    </w:p>
    <w:p>
      <w:pPr>
        <w:pStyle w:val="BodyText"/>
      </w:pPr>
      <m:oMathPara>
        <m:oMathParaPr>
          <m:jc m:val="center"/>
        </m:oMathParaPr>
        <m:oMath>
          <m:sSub>
            <m:e>
              <m:r>
                <m:t>ω</m:t>
              </m:r>
            </m:e>
            <m:sub>
              <m:r>
                <m:t>i</m:t>
              </m:r>
            </m:sub>
          </m:sSub>
          <m:r>
            <m:rPr>
              <m:sty m:val="p"/>
            </m:rPr>
            <m:t>=</m:t>
          </m:r>
          <m:r>
            <m:t>1</m:t>
          </m:r>
          <m:r>
            <m:rPr>
              <m:sty m:val="p"/>
            </m:rPr>
            <m:t>−</m:t>
          </m:r>
          <m:sSub>
            <m:e>
              <m:r>
                <m:t>c</m:t>
              </m:r>
            </m:e>
            <m:sub>
              <m:r>
                <m:t>i</m:t>
              </m:r>
            </m:sub>
          </m:sSub>
          <m:r>
            <m:rPr>
              <m:sty m:val="p"/>
            </m:rPr>
            <m:t>.</m:t>
          </m:r>
        </m:oMath>
      </m:oMathPara>
    </w:p>
    <w:p>
      <w:pPr>
        <w:pStyle w:val="FirstParagraph"/>
      </w:pPr>
      <w:r>
        <w:t xml:space="preserve">Dado que la población verdadera</w:t>
      </w:r>
      <w:r>
        <w:t xml:space="preserve"> </w:t>
      </w:r>
      <m:oMath>
        <m:sSub>
          <m:e>
            <m:r>
              <m:t>N</m:t>
            </m:r>
          </m:e>
          <m:sub>
            <m:r>
              <m:t>i</m:t>
            </m:r>
          </m:sub>
        </m:sSub>
      </m:oMath>
      <w:r>
        <w:t xml:space="preserve"> </w:t>
      </w:r>
      <w:r>
        <w:t xml:space="preserve">no es directamente observable, la cobertura no puede calcularse de manera exacta y debe estimarse a partir de información independiente del operativo censal.</w:t>
      </w:r>
    </w:p>
    <w:p>
      <w:pPr>
        <w:pStyle w:val="BodyText"/>
      </w:pPr>
      <w:r>
        <w:t xml:space="preserve">En la práctica, la evaluación de la cobertura se basa principalmente en tres tipos de fuentes. La primera corresponde a las encuestas postcensales de cobertura, diseñadas específicamente para medir la omisión mediante un operativo de campo independiente. La segunda comprende los métodos de conciliación demográfica, que contrastan los resultados censales con estimaciones derivadas de estadísticas vitales y proyecciones de población. La tercera utiliza técnicas de captura-recaptura que combinan la información del censo con registros administrativos para estimar la población no observada.</w:t>
      </w:r>
    </w:p>
    <w:p>
      <w:pPr>
        <w:pStyle w:val="BodyText"/>
      </w:pPr>
      <w:r>
        <w:t xml:space="preserve">La cobertura censal presenta una marcada heterogeneidad territorial. En general, los menores niveles de cobertura se concentran en áreas rurales dispersas, asentamientos informales, territorios indígenas, zonas de difícil acceso y sectores urbanos con elevada movilidad residencial. Estas diferencias reflejan las condiciones operativas del levantamiento censal y constituyen uno de los principales factores que justifican la incorporación de información auxiliar en los modelos de estimación poblacional.</w:t>
      </w:r>
    </w:p>
    <w:p>
      <w:pPr>
        <w:pStyle w:val="BodyText"/>
      </w:pPr>
      <w:r>
        <w:t xml:space="preserve">En la metodología propuesta, la cobertura de cada segmento se aproxima mediante un estimador</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acc>
                    <m:accPr>
                      <m:chr m:val="̂"/>
                    </m:accPr>
                    <m:e>
                      <m:r>
                        <m:t>N</m:t>
                      </m:r>
                    </m:e>
                  </m:acc>
                </m:e>
                <m:sub>
                  <m:r>
                    <m:t>i</m:t>
                  </m:r>
                </m:sub>
              </m:sSub>
            </m:den>
          </m:f>
          <m:r>
            <m:rPr>
              <m:sty m:val="p"/>
            </m:rPr>
            <m:t>,</m:t>
          </m:r>
        </m:oMath>
      </m:oMathPara>
    </w:p>
    <w:p>
      <w:pPr>
        <w:pStyle w:val="FirstParagraph"/>
      </w:pPr>
      <w:r>
        <w:t xml:space="preserve">donde</w:t>
      </w:r>
      <w:r>
        <w:t xml:space="preserve"> </w:t>
      </w:r>
      <m:oMath>
        <m:sSub>
          <m:e>
            <m:acc>
              <m:accPr>
                <m:chr m:val="̂"/>
              </m:accPr>
              <m:e>
                <m:r>
                  <m:t>N</m:t>
                </m:r>
              </m:e>
            </m:acc>
          </m:e>
          <m:sub>
            <m:r>
              <m:t>i</m:t>
            </m:r>
          </m:sub>
        </m:sSub>
      </m:oMath>
      <w:r>
        <w:t xml:space="preserve"> </w:t>
      </w:r>
      <w:r>
        <w:t xml:space="preserve">representa una referencia externa obtenida a partir de una encuesta postcensal, una conciliación demográfica, un procedimiento de captura-recaptura o un preconteo operativo ajustado —este último se retoma en la Sección</w:t>
      </w:r>
      <w:r>
        <w:t xml:space="preserve"> </w:t>
      </w:r>
      <w:r>
        <w:t xml:space="preserve">2.2.2</w:t>
      </w:r>
      <w:r>
        <w:t xml:space="preserve">—. Este estimador se utiliza para clasificar los segmentos según su nivel de cobertura y definir el tratamiento que recibirán en las etapas posteriores del modelamiento. Los segmentos con cobertura adecuada utilizan directamente el conteo censal; aquellos con cobertura parcial incorporan mecanismos que reflejan la menor confiabilidad de la información observada; y los segmentos con cobertura insuficiente se estiman principalmente mediante las covariables auxiliares y la estructura jerárquica del modelo. Los criterios utilizados para esta clasificación se describen con mayor detalle en la Sección</w:t>
      </w:r>
      <w:r>
        <w:t xml:space="preserve"> </w:t>
      </w:r>
      <w:r>
        <w:t xml:space="preserve">??</w:t>
      </w:r>
      <w:r>
        <w:t xml:space="preserve"> </w:t>
      </w:r>
      <w:r>
        <w:t xml:space="preserve">del Capítulo</w:t>
      </w:r>
      <w:r>
        <w:t xml:space="preserve"> </w:t>
      </w:r>
      <w:r>
        <w:t xml:space="preserve">??</w:t>
      </w:r>
      <w:r>
        <w:t xml:space="preserve">.</w:t>
      </w:r>
    </w:p>
    <w:p>
      <w:pPr>
        <w:pStyle w:val="BodyText"/>
      </w:pPr>
      <w:r>
        <w:t xml:space="preserve">Es importante señalar que la metodología no busca estimar ni corregir explícitamente la omisión censal dentro del modelo bayesiano. La evaluación de la cobertura constituye una etapa previa cuyo propósito es determinar la calidad de la información disponible y establecer cómo participa cada segmento en el proceso de estimación.</w:t>
      </w:r>
    </w:p>
    <w:bookmarkEnd w:id="28"/>
    <w:bookmarkStart w:id="29" w:name="preconteos-segmentacion"/>
    <w:p>
      <w:pPr>
        <w:pStyle w:val="Heading3"/>
      </w:pPr>
      <w:r>
        <w:rPr>
          <w:rStyle w:val="SectionNumber"/>
        </w:rPr>
        <w:t xml:space="preserve">2.2.2</w:t>
      </w:r>
      <w:r>
        <w:tab/>
      </w:r>
      <w:r>
        <w:t xml:space="preserve">Preconteos y segmentación</w:t>
      </w:r>
    </w:p>
    <w:p>
      <w:pPr>
        <w:pStyle w:val="FirstParagraph"/>
      </w:pPr>
      <w:r>
        <w:t xml:space="preserve">Los preconteos operativos constituyen una de las fuentes auxiliares más directamente vinculadas a la estimación de la población en segmentos censales. Estas operaciones, realizadas durante la fase de actualización cartográfica previa al levantamiento censal, producen información sobre el número aproximado de viviendas o estructuras habitacionales presentes en cada unidad operativa.</w:t>
      </w:r>
    </w:p>
    <w:p>
      <w:pPr>
        <w:pStyle w:val="BodyText"/>
      </w:pPr>
      <w:r>
        <w:t xml:space="preserve">La segmentación censal es el proceso mediante el cual el territorio nacional se divide en unidades operativas de trabajo, denominadas segmentos o áreas de enumeración. Cada segmento es asignado a un censista y está diseñado para ser enumerable en el tiempo operativo disponible. Los criterios de segmentación varían entre países: algunos utilizan como criterio el número esperado de viviendas, otros priorizan continuidad espacial o accesibilidad geográfica.</w:t>
      </w:r>
    </w:p>
    <w:p>
      <w:pPr>
        <w:pStyle w:val="BodyText"/>
      </w:pPr>
      <w:r>
        <w:t xml:space="preserve">Sea</w:t>
      </w:r>
      <w:r>
        <w:t xml:space="preserve"> </w:t>
      </w:r>
      <m:oMath>
        <m:sSub>
          <m:e>
            <m:r>
              <m:t>V</m:t>
            </m:r>
          </m:e>
          <m:sub>
            <m:r>
              <m:t>i</m:t>
            </m:r>
          </m:sub>
        </m:sSub>
      </m:oMath>
      <w:r>
        <w:t xml:space="preserve"> </w:t>
      </w:r>
      <w:r>
        <w:t xml:space="preserve">el preconteo de viviendas o estructuras habitacionales registrado en el segmento</w:t>
      </w:r>
      <w:r>
        <w:t xml:space="preserve"> </w:t>
      </w:r>
      <m:oMath>
        <m:r>
          <m:t>i</m:t>
        </m:r>
      </m:oMath>
      <w:r>
        <w:t xml:space="preserve"> </w:t>
      </w:r>
      <w:r>
        <w:t xml:space="preserve">durante la actualización cartográfica. El preconteo cumple un papel operativo central en la planeación del propio operativo censal: permite dimensionar la carga de trabajo de cada censista, estimar el número de enumeradores y el tiempo requerido para cubrir el territorio, anticipar necesidades presupuestarias y logísticas, y detectar segmentos cuyo crecimiento habitacional exige una resegmentación antes del levantamiento. La segmentación, a su vez, garantiza que esta planeación cubra la totalidad del territorio nacional sin traslapes ni vacíos entre unidades operativas.</w:t>
      </w:r>
    </w:p>
    <w:p>
      <w:pPr>
        <w:pStyle w:val="BodyText"/>
      </w:pPr>
      <w:r>
        <w:t xml:space="preserve">El preconteo es especialmente valioso en contextos donde el operativo censal no logró cobertura completa, dado que provee una señal anticipada sobre la magnitud poblacional esperada que es independiente del proceso de enumeración —la misma propiedad que permite emplearlo como referencia externa en el estimador de cobertura de la Sección</w:t>
      </w:r>
      <w:r>
        <w:t xml:space="preserve"> </w:t>
      </w:r>
      <w:r>
        <w:t xml:space="preserve">2.2.1</w:t>
      </w:r>
      <w:r>
        <w:t xml:space="preserve">—. Su principal limitación es la distancia temporal entre la actualización cartográfica y el momento censal: en contextos con crecimiento urbano acelerado, los preconteos pueden quedar desactualizados rápidamente.</w:t>
      </w:r>
    </w:p>
    <w:bookmarkEnd w:id="29"/>
    <w:bookmarkStart w:id="30" w:name="registros-administrativos"/>
    <w:p>
      <w:pPr>
        <w:pStyle w:val="Heading3"/>
      </w:pPr>
      <w:r>
        <w:rPr>
          <w:rStyle w:val="SectionNumber"/>
        </w:rPr>
        <w:t xml:space="preserve">2.2.3</w:t>
      </w:r>
      <w:r>
        <w:tab/>
      </w:r>
      <w:r>
        <w:t xml:space="preserve">Registros administrativos</w:t>
      </w:r>
    </w:p>
    <w:p>
      <w:pPr>
        <w:pStyle w:val="FirstParagraph"/>
      </w:pPr>
      <w:r>
        <w:t xml:space="preserve">Los registros administrativos son bases de datos generadas por entidades gubernamentales como resultado de sus funciones institucionales. A diferencia de los censos, no tienen por objetivo la medición estadística de la población, sino la gestión de servicios, beneficios o trámites administrativos. Sin embargo, en la medida en que su cobertura es razonablemente alta y su definición territorial compatible con los segmentos censales, pueden utilizarse como variables proxy de la magnitud poblacional</w:t>
      </w:r>
      <w:r>
        <w:t xml:space="preserve"> </w:t>
      </w:r>
      <w:r>
        <w:t xml:space="preserve">(</w:t>
      </w:r>
      <w:hyperlink w:anchor="ref-Rao2015">
        <w:r>
          <w:rPr>
            <w:rStyle w:val="Hyperlink"/>
          </w:rPr>
          <w:t xml:space="preserve">Rao y Molina 2015</w:t>
        </w:r>
      </w:hyperlink>
      <w:r>
        <w:t xml:space="preserve">)</w:t>
      </w:r>
      <w:r>
        <w:t xml:space="preserve">.</w:t>
      </w:r>
    </w:p>
    <w:p>
      <w:pPr>
        <w:pStyle w:val="BodyText"/>
      </w:pPr>
      <w:r>
        <w:t xml:space="preserve">Entre los registros administrativos más utilizados en modelos de estimación subnacional en América Latina y el Caribe se encuentran:</w:t>
      </w:r>
    </w:p>
    <w:p>
      <w:pPr>
        <w:pStyle w:val="BodyText"/>
      </w:pPr>
      <w:r>
        <w:rPr>
          <w:b/>
          <w:bCs/>
        </w:rPr>
        <w:t xml:space="preserve">Registros de afiliación a sistemas de salud y seguridad social.</w:t>
      </w:r>
      <w:r>
        <w:t xml:space="preserve"> </w:t>
      </w:r>
      <w:r>
        <w:t xml:space="preserve">Los sistemas de salud pública o los registros de afiliación a la seguridad social contienen información sobre personas que acceden regularmente a servicios institucionales. Su cobertura depende del grado de formalidad laboral y del acceso efectivo a los servicios en cada territorio.</w:t>
      </w:r>
    </w:p>
    <w:p>
      <w:pPr>
        <w:pStyle w:val="BodyText"/>
      </w:pPr>
      <w:r>
        <w:rPr>
          <w:b/>
          <w:bCs/>
        </w:rPr>
        <w:t xml:space="preserve">Registros o consumo de servicios públicos.</w:t>
      </w:r>
      <w:r>
        <w:t xml:space="preserve"> </w:t>
      </w:r>
      <w:r>
        <w:t xml:space="preserve">Los registros de conexiones o consumo de electricidad, agua potable o gas domiciliario, administrados por las empresas prestadoras de servicios, proporcionan un conteo de usuarios activos o viviendas conectadas por unidad territorial. Su cobertura está condicionada por el grado de formalización de la vivienda y por la extensión de las redes de distribución, por lo que puede subestimar la población en asentamientos informales o en zonas rurales dispersas sin conexión a la red.</w:t>
      </w:r>
    </w:p>
    <w:p>
      <w:pPr>
        <w:pStyle w:val="BodyText"/>
      </w:pPr>
      <w:r>
        <w:rPr>
          <w:b/>
          <w:bCs/>
        </w:rPr>
        <w:t xml:space="preserve">Registros de beneficiarios de programas sociales.</w:t>
      </w:r>
      <w:r>
        <w:t xml:space="preserve"> </w:t>
      </w:r>
      <w:r>
        <w:t xml:space="preserve">Los padrones de beneficiarios de programas de transferencias condicionadas u otros programas sociales focalizados proporcionan información sobre hogares en situación de vulnerabilidad. Aunque su cobertura no es universal, pueden ser especialmente informativos en áreas con alta concentración de población en condición de pobreza.</w:t>
      </w:r>
    </w:p>
    <w:bookmarkEnd w:id="30"/>
    <w:bookmarkStart w:id="31" w:name="fuentes-satelitales"/>
    <w:p>
      <w:pPr>
        <w:pStyle w:val="Heading3"/>
      </w:pPr>
      <w:r>
        <w:rPr>
          <w:rStyle w:val="SectionNumber"/>
        </w:rPr>
        <w:t xml:space="preserve">2.2.4</w:t>
      </w:r>
      <w:r>
        <w:tab/>
      </w:r>
      <w:r>
        <w:t xml:space="preserve">Fuentes satelitales</w:t>
      </w:r>
    </w:p>
    <w:p>
      <w:pPr>
        <w:pStyle w:val="FirstParagraph"/>
      </w:pPr>
      <w:r>
        <w:t xml:space="preserve">Las imágenes satelitales y los productos de percepción remota han ampliado considerablemente el conjunto de covariables disponibles para la estimación poblacional subnacional. Su principal ventaja es la cobertura territorial universal, la continuidad temporal y la independencia respecto a los sistemas estadísticos institucionales.</w:t>
      </w:r>
    </w:p>
    <w:p>
      <w:pPr>
        <w:pStyle w:val="BodyText"/>
      </w:pPr>
      <w:r>
        <w:t xml:space="preserve">Las fuentes satelitales más utilizadas en estimación poblacional pueden agruparse en las siguientes categorías:</w:t>
      </w:r>
    </w:p>
    <w:p>
      <w:pPr>
        <w:pStyle w:val="BodyText"/>
      </w:pPr>
      <w:r>
        <w:rPr>
          <w:b/>
          <w:bCs/>
        </w:rPr>
        <w:t xml:space="preserve">Luminosidad nocturna.</w:t>
      </w:r>
      <w:r>
        <w:t xml:space="preserve"> </w:t>
      </w:r>
      <w:r>
        <w:t xml:space="preserve">Los datos de radiancia nocturna capturados por sensores satelitales, como el producto VIIRS-DNB de la NOAA, permiten identificar áreas con presencia de iluminación artificial. La intensidad lumínica nocturna está correlacionada con la actividad económica y la densidad de asentamientos humanos permanentes.</w:t>
      </w:r>
    </w:p>
    <w:p>
      <w:pPr>
        <w:pStyle w:val="BodyText"/>
      </w:pPr>
      <w:r>
        <w:rPr>
          <w:b/>
          <w:bCs/>
        </w:rPr>
        <w:t xml:space="preserve">Área construida y cobertura urbana.</w:t>
      </w:r>
      <w:r>
        <w:t xml:space="preserve"> </w:t>
      </w:r>
      <w:r>
        <w:t xml:space="preserve">Los productos de clasificación de uso del suelo derivados de imágenes ópticas como Sentinel-2 o Landsat permiten estimar la proporción de área construida dentro de cada segmento. El producto Global Human Settlement Layer (GHSL) de la Comisión Europea ofrece estimaciones de área construida a resolución de 100 metros con cobertura global.</w:t>
      </w:r>
    </w:p>
    <w:p>
      <w:pPr>
        <w:pStyle w:val="BodyText"/>
      </w:pPr>
      <w:r>
        <w:rPr>
          <w:b/>
          <w:bCs/>
        </w:rPr>
        <w:t xml:space="preserve">Índice de vegetación de diferencia normalizada (NDVI).</w:t>
      </w:r>
      <w:r>
        <w:t xml:space="preserve"> </w:t>
      </w:r>
      <w:r>
        <w:t xml:space="preserve">El NDVI mide la densidad y vitalidad de la vegetación a partir de la reflectancia en bandas del infrarrojo cercano y el rojo visible. Valores bajos de NDVI en áreas no áridas generalmente indican presencia de infraestructura construida y asentamientos urbanos, mientras que valores altos corresponden a áreas con cobertura vegetal densa.</w:t>
      </w:r>
    </w:p>
    <w:p>
      <w:pPr>
        <w:pStyle w:val="BodyText"/>
      </w:pPr>
      <w:r>
        <w:rPr>
          <w:b/>
          <w:bCs/>
        </w:rPr>
        <w:t xml:space="preserve">Temperatura superficial terrestre (LST).</w:t>
      </w:r>
      <w:r>
        <w:t xml:space="preserve"> </w:t>
      </w:r>
      <w:r>
        <w:t xml:space="preserve">Las islas de calor urbano, reflejadas en valores elevados de temperatura superficial, constituyen un indicador indirecto de densidad de infraestructura y actividad humana.</w:t>
      </w:r>
    </w:p>
    <w:p>
      <w:pPr>
        <w:pStyle w:val="BodyText"/>
      </w:pPr>
      <w:r>
        <w:rPr>
          <w:b/>
          <w:bCs/>
        </w:rPr>
        <w:t xml:space="preserve">Modelos digitales de elevación.</w:t>
      </w:r>
      <w:r>
        <w:t xml:space="preserve"> </w:t>
      </w:r>
      <w:r>
        <w:t xml:space="preserve">La topografía del terreno condiciona la distribución espacial de la población. Los modelos de elevación digital como SRTM o ALOS permiten derivar variables como altitud media, pendiente y orientación del terreno, que están correlacionadas con la densidad y distribución de los asentamientos humanos.</w:t>
      </w:r>
    </w:p>
    <w:p>
      <w:pPr>
        <w:pStyle w:val="BodyText"/>
      </w:pPr>
      <w:r>
        <w:t xml:space="preserve">La integración de covariables satelitales en el modelo requiere procesar las imágenes hasta el nivel del segmento censal, lo que implica operaciones de reproyección, remuestreo y estadísticas zonales. La resolución espacial de las imágenes debe ser compatible con el tamaño de los segmentos: resoluciones muy gruesas pueden introducir errores de asignación en segmentos pequeños, mientras que resoluciones muy finas pueden aumentar el costo computacional sin beneficio estadístico apreciable.</w:t>
      </w:r>
    </w:p>
    <w:p>
      <w:pPr>
        <w:pStyle w:val="BodyText"/>
      </w:pPr>
      <w:r>
        <w:t xml:space="preserve">En la práctica, esta información satelital se extrae y se procesa a través de plataformas de computación geoespacial en la nube, como Google Earth Engine</w:t>
      </w:r>
      <w:r>
        <w:t xml:space="preserve"> </w:t>
      </w:r>
      <w:r>
        <w:t xml:space="preserve">(</w:t>
      </w:r>
      <w:hyperlink w:anchor="ref-Gorelick2017">
        <w:r>
          <w:rPr>
            <w:rStyle w:val="Hyperlink"/>
          </w:rPr>
          <w:t xml:space="preserve">Gorelick et al. 2017</w:t>
        </w:r>
      </w:hyperlink>
      <w:r>
        <w:t xml:space="preserve">)</w:t>
      </w:r>
      <w:r>
        <w:t xml:space="preserve">, que alojan los catálogos de VIIRS-DNB, Sentinel-2, Landsat, GHSL y los modelos digitales de elevación descritos arriba, y permiten calcular directamente las estadísticas zonales por segmento sin necesidad de descargar las imágenes completas.</w:t>
      </w:r>
    </w:p>
    <w:bookmarkEnd w:id="31"/>
    <w:bookmarkEnd w:id="32"/>
    <w:bookmarkStart w:id="59" w:name="variables-explicativas"/>
    <w:p>
      <w:pPr>
        <w:pStyle w:val="Heading2"/>
      </w:pPr>
      <w:r>
        <w:rPr>
          <w:rStyle w:val="SectionNumber"/>
        </w:rPr>
        <w:t xml:space="preserve">2.3</w:t>
      </w:r>
      <w:r>
        <w:tab/>
      </w:r>
      <w:r>
        <w:t xml:space="preserve">Variables explicativas</w:t>
      </w:r>
    </w:p>
    <w:p>
      <w:pPr>
        <w:pStyle w:val="FirstParagraph"/>
      </w:pPr>
      <w:r>
        <w:t xml:space="preserve">Mientras la Sección</w:t>
      </w:r>
      <w:r>
        <w:t xml:space="preserve"> </w:t>
      </w:r>
      <w:r>
        <w:t xml:space="preserve">2.2</w:t>
      </w:r>
      <w:r>
        <w:t xml:space="preserve"> </w:t>
      </w:r>
      <w:r>
        <w:t xml:space="preserve">identificó el origen institucional u operativo de cada fuente auxiliar, esta sección describe el paso siguiente del proceso: cómo esas fuentes se transforman en las covariables efectivamente incorporadas al predictor</w:t>
      </w:r>
      <w:r>
        <w:t xml:space="preserve"> </w:t>
      </w:r>
      <m:oMath>
        <m:sSub>
          <m:e>
            <m:r>
              <m:rPr>
                <m:sty m:val="b"/>
              </m:rPr>
              <m:t>x</m:t>
            </m:r>
          </m:e>
          <m:sub>
            <m:r>
              <m:t>i</m:t>
            </m:r>
          </m:sub>
        </m:sSub>
      </m:oMath>
      <w:r>
        <w:t xml:space="preserve"> </w:t>
      </w:r>
      <w:r>
        <w:t xml:space="preserve">del modelo. La calidad predictiva del modelo de estimación subnacional depende directamente de esta selección y construcción. Las covariables resultantes pueden organizarse en dos grandes grupos según su naturaleza conceptual: variables socioeconómicas y variables espaciales. Indicadores demográficos como la estructura por sexo y edad, la razón de masculinidad o el tamaño medio del hogar quedan excluidos de este conjunto: al derivarse de la propia tabulación censal por sexo y edad, no están disponibles de forma independiente en los segmentos con cobertura incompleta —que son precisamente aquellos donde se necesita una variable explicativa— y por tanto no cumplen el requisito de disponibilidad territorial exigido a toda covariable auxiliar.</w:t>
      </w:r>
    </w:p>
    <w:bookmarkStart w:id="33" w:name="variables-socioeconómicas"/>
    <w:p>
      <w:pPr>
        <w:pStyle w:val="Heading3"/>
      </w:pPr>
      <w:r>
        <w:rPr>
          <w:rStyle w:val="SectionNumber"/>
        </w:rPr>
        <w:t xml:space="preserve">2.3.1</w:t>
      </w:r>
      <w:r>
        <w:tab/>
      </w:r>
      <w:r>
        <w:t xml:space="preserve">Variables socioeconómicas</w:t>
      </w:r>
    </w:p>
    <w:p>
      <w:pPr>
        <w:pStyle w:val="FirstParagraph"/>
      </w:pPr>
      <w:r>
        <w:t xml:space="preserve">Las condiciones socioeconómicas del territorio están correlacionadas con la densidad de población, la calidad de la enumeración censal y la cobertura de los registros administrativos. Su incorporación como covariables permite al modelo capturar parte de la heterogeneidad no observada entre segmentos.</w:t>
      </w:r>
    </w:p>
    <w:p>
      <w:pPr>
        <w:pStyle w:val="BodyText"/>
      </w:pPr>
      <w:r>
        <w:rPr>
          <w:b/>
          <w:bCs/>
        </w:rPr>
        <w:t xml:space="preserve">Indicadores de acceso a servicios.</w:t>
      </w:r>
      <w:r>
        <w:t xml:space="preserve"> </w:t>
      </w:r>
      <w:r>
        <w:t xml:space="preserve">A partir de los registros de conexión y consumo de servicios públicos descritos en la Sección</w:t>
      </w:r>
      <w:r>
        <w:t xml:space="preserve"> </w:t>
      </w:r>
      <w:r>
        <w:t xml:space="preserve">2.2.3</w:t>
      </w:r>
      <w:r>
        <w:t xml:space="preserve">, se construye la proporción de viviendas del segmento conectadas a la red de electricidad, agua potable, alcantarillado o internet. Esta proporción está correlacionada tanto con la densidad poblacional como con la cobertura censal, y refleja el nivel de integración del territorio a la infraestructura formal del Estado.</w:t>
      </w:r>
    </w:p>
    <w:p>
      <w:pPr>
        <w:pStyle w:val="BodyText"/>
      </w:pPr>
      <w:r>
        <w:rPr>
          <w:b/>
          <w:bCs/>
        </w:rPr>
        <w:t xml:space="preserve">Nivel educativo de la población.</w:t>
      </w:r>
      <w:r>
        <w:t xml:space="preserve"> </w:t>
      </w:r>
      <w:r>
        <w:t xml:space="preserve">El nivel de instrucción promedio de la población adulta del segmento, derivado de censos anteriores o de registros de matrícula escolar, puede utilizarse como indicador proxy de características socioeconómicas del territorio.</w:t>
      </w:r>
    </w:p>
    <w:p>
      <w:pPr>
        <w:pStyle w:val="BodyText"/>
      </w:pPr>
      <w:r>
        <w:rPr>
          <w:b/>
          <w:bCs/>
        </w:rPr>
        <w:t xml:space="preserve">Actividad económica predominante.</w:t>
      </w:r>
      <w:r>
        <w:t xml:space="preserve"> </w:t>
      </w:r>
      <w:r>
        <w:t xml:space="preserve">La clasificación del segmento según la actividad económica predominante —agropecuaria, industrial, comercial, servicios— condiciona la estructura demográfica esperada y los patrones de movilidad residencial. Esta clasificación puede derivarse de cartografía censal o de imágenes satelitales.</w:t>
      </w:r>
    </w:p>
    <w:bookmarkEnd w:id="33"/>
    <w:bookmarkStart w:id="58" w:name="variables-espaciales"/>
    <w:p>
      <w:pPr>
        <w:pStyle w:val="Heading3"/>
      </w:pPr>
      <w:r>
        <w:rPr>
          <w:rStyle w:val="SectionNumber"/>
        </w:rPr>
        <w:t xml:space="preserve">2.3.2</w:t>
      </w:r>
      <w:r>
        <w:tab/>
      </w:r>
      <w:r>
        <w:t xml:space="preserve">Variables espaciales</w:t>
      </w:r>
    </w:p>
    <w:p>
      <w:pPr>
        <w:pStyle w:val="FirstParagraph"/>
      </w:pPr>
      <w:r>
        <w:t xml:space="preserve">Las variables espaciales capturan la posición geográfica del segmento y sus relaciones de vecindad con el entorno territorial. Su incorporación permite al modelo aprovechar, a través de covariables observadas, la continuidad espacial de la distribución poblacional —sin que ello implique una estructura de dependencia espacial modelada explícitamente entre segmentos vecinos.</w:t>
      </w:r>
    </w:p>
    <w:p>
      <w:pPr>
        <w:pStyle w:val="BodyText"/>
      </w:pPr>
      <w:r>
        <w:rPr>
          <w:b/>
          <w:bCs/>
        </w:rPr>
        <w:t xml:space="preserve">Distancia a centros urbanos.</w:t>
      </w:r>
      <w:r>
        <w:t xml:space="preserve"> </w:t>
      </w:r>
      <w:r>
        <w:t xml:space="preserve">La distancia euclidiana o por red vial desde el centroide del segmento hasta el centro urbano más cercano es un predictor relevante de la densidad y tipo de asentamiento. Segmentos más próximos a centros urbanos tienden a presentar mayor densidad poblacional, mayor acceso a servicios y mayor cobertura de registros administrativos.</w:t>
      </w:r>
    </w:p>
    <w:p>
      <w:pPr>
        <w:pStyle w:val="BodyText"/>
      </w:pPr>
      <w:r>
        <w:rPr>
          <w:b/>
          <w:bCs/>
        </w:rPr>
        <w:t xml:space="preserve">Accesibilidad y tiempos de desplazamiento.</w:t>
      </w:r>
      <w:r>
        <w:t xml:space="preserve"> </w:t>
      </w:r>
      <w:r>
        <w:t xml:space="preserve">El tiempo de desplazamiento por carretera hasta el centro urbano o el hospital más cercano, derivado de modelos de redes viales, es un indicador de accesibilidad territorial con mayor valor predictivo que la distancia euclidiana en contextos con topografía compleja o infraestructura vial deficiente.</w:t>
      </w:r>
    </w:p>
    <w:p>
      <w:pPr>
        <w:pStyle w:val="BodyText"/>
      </w:pPr>
      <w:r>
        <w:rPr>
          <w:b/>
          <w:bCs/>
        </w:rPr>
        <w:t xml:space="preserve">Altitud y topografía.</w:t>
      </w:r>
      <w:r>
        <w:t xml:space="preserve"> </w:t>
      </w:r>
      <w:r>
        <w:t xml:space="preserve">A partir de los modelos digitales de elevación descritos en la Sección</w:t>
      </w:r>
      <w:r>
        <w:t xml:space="preserve"> </w:t>
      </w:r>
      <w:r>
        <w:t xml:space="preserve">2.2.4</w:t>
      </w:r>
      <w:r>
        <w:t xml:space="preserve">, se calculan a nivel de segmento la altitud media, la pendiente del terreno y la variabilidad topográfica interna, que condicionan la viabilidad de asentamientos humanos y la densidad de población esperable. Estas variables son especialmente relevantes en países con territorios montañosos.</w:t>
      </w:r>
    </w:p>
    <w:p>
      <w:pPr>
        <w:pStyle w:val="BodyText"/>
      </w:pPr>
      <w:r>
        <w:t xml:space="preserve">El efecto aleatorio territorial</w:t>
      </w:r>
      <w:r>
        <w:t xml:space="preserve"> </w:t>
      </w:r>
      <m:oMath>
        <m:r>
          <m:rPr>
            <m:sty m:val="b"/>
          </m:rPr>
          <m:t>γ</m:t>
        </m:r>
      </m:oMath>
      <w:r>
        <w:t xml:space="preserve"> </w:t>
      </w:r>
      <w:r>
        <w:t xml:space="preserve">del Capítulo</w:t>
      </w:r>
      <w:r>
        <w:t xml:space="preserve"> </w:t>
      </w:r>
      <w:r>
        <w:t xml:space="preserve">??</w:t>
      </w:r>
      <w:r>
        <w:t xml:space="preserve"> </w:t>
      </w:r>
      <w:r>
        <w:t xml:space="preserve">—de especificación intercambiable (jerárquica) a nivel de unidad territorial superior, sin estructura de adyacencia entre segmentos vecinos— no debe interpretarse como un mecanismo de modelamiento de la omisión censal: su función es capturar heterogeneidad residual en la densidad poblacional una vez incluidas las covariables observadas, no compensar la subenumeración diferencial descrita en la Sección</w:t>
      </w:r>
      <w:r>
        <w:t xml:space="preserve"> </w:t>
      </w:r>
      <w:r>
        <w:t xml:space="preserve">2.2.1</w:t>
      </w:r>
      <w:r>
        <w:t xml:space="preserve">, que no se modela ni se corrige, sino que únicamente se utiliza para clasificar los segmentos según su nivel de cobertura.</w:t>
      </w:r>
    </w:p>
    <w:p>
      <w:pPr>
        <w:pStyle w:val="BodyText"/>
      </w:pPr>
      <w:r>
        <w:t xml:space="preserve">La selección final del conjunto de variables explicativas debe fundamentarse en criterios de disponibilidad territorial —las variables deben estar disponibles para todos los segmentos—, pertinencia conceptual, capacidad predictiva demostrada y ausencia de multicolinealidad severa entre predictores. Los capítulos siguientes presentan la especificación formal de los modelos que integran estas variables en un esquema bayesiano jerárquico orientado a la estimación de conteos poblacionales subnacionales.</w:t>
      </w:r>
    </w:p>
    <w:bookmarkStart w:id="57" w:name="refs"/>
    <w:bookmarkStart w:id="34" w:name="ref-Betancourt2017"/>
    <w:p>
      <w:pPr>
        <w:pStyle w:val="Bibliography"/>
      </w:pPr>
      <w:r>
        <w:t xml:space="preserve">Betancourt, Michael. 2017.</w:t>
      </w:r>
      <w:r>
        <w:t xml:space="preserve"> </w:t>
      </w:r>
      <w:r>
        <w:t xml:space="preserve">«A Conceptual Introduction to</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arXiv preprint</w:t>
      </w:r>
      <w:r>
        <w:t xml:space="preserve">.</w:t>
      </w:r>
    </w:p>
    <w:bookmarkEnd w:id="34"/>
    <w:bookmarkStart w:id="36" w:name="ref-BryantGraham2013"/>
    <w:p>
      <w:pPr>
        <w:pStyle w:val="Bibliography"/>
      </w:pPr>
      <w:r>
        <w:t xml:space="preserve">Bryant, John R., y Patrick J. Graham. 2013.</w:t>
      </w:r>
      <w:r>
        <w:t xml:space="preserve"> </w:t>
      </w:r>
      <w:r>
        <w:t xml:space="preserve">«Bayesian Demographic Accounts: Subnational Population Estimation Using Multiple Data Sources»</w:t>
      </w:r>
      <w:r>
        <w:t xml:space="preserve">.</w:t>
      </w:r>
      <w:r>
        <w:t xml:space="preserve"> </w:t>
      </w:r>
      <w:r>
        <w:rPr>
          <w:i/>
          <w:iCs/>
        </w:rPr>
        <w:t xml:space="preserve">Bayesian Analysis</w:t>
      </w:r>
      <w:r>
        <w:t xml:space="preserve"> </w:t>
      </w:r>
      <w:r>
        <w:t xml:space="preserve">8 (3): 591-622.</w:t>
      </w:r>
      <w:r>
        <w:t xml:space="preserve"> </w:t>
      </w:r>
      <w:hyperlink r:id="rId35">
        <w:r>
          <w:rPr>
            <w:rStyle w:val="Hyperlink"/>
          </w:rPr>
          <w:t xml:space="preserve">https://doi.org/10.1214/13-BA820</w:t>
        </w:r>
      </w:hyperlink>
      <w:r>
        <w:t xml:space="preserve">.</w:t>
      </w:r>
    </w:p>
    <w:bookmarkEnd w:id="36"/>
    <w:bookmarkStart w:id="37" w:name="ref-BryantZhang2018"/>
    <w:p>
      <w:pPr>
        <w:pStyle w:val="Bibliography"/>
      </w:pPr>
      <w:r>
        <w:t xml:space="preserve">Bryant, John, y Junni L. Zhang. 2018.</w:t>
      </w:r>
      <w:r>
        <w:t xml:space="preserve"> </w:t>
      </w:r>
      <w:r>
        <w:rPr>
          <w:i/>
          <w:iCs/>
        </w:rPr>
        <w:t xml:space="preserve">Bayesian Demographic Estimation and Forecasting</w:t>
      </w:r>
      <w:r>
        <w:t xml:space="preserve">. Chapman; Hall/CRC.</w:t>
      </w:r>
    </w:p>
    <w:bookmarkEnd w:id="37"/>
    <w:bookmarkStart w:id="39" w:name="ref-Carpenter2017"/>
    <w:p>
      <w:pPr>
        <w:pStyle w:val="Bibliography"/>
      </w:pPr>
      <w:r>
        <w:t xml:space="preserve">Carpenter, Bob, Andrew Gelman, Matthew D. Hoffman, et al. 2017.</w:t>
      </w:r>
      <w:r>
        <w:t xml:space="preserve"> </w:t>
      </w:r>
      <w:r>
        <w:t xml:space="preserve">«</w:t>
      </w:r>
      <w:r>
        <w:t xml:space="preserve">Stan</w:t>
      </w:r>
      <w:r>
        <w:t xml:space="preserve">: A Probabilistic Programming Language»</w:t>
      </w:r>
      <w:r>
        <w:t xml:space="preserve">.</w:t>
      </w:r>
      <w:r>
        <w:t xml:space="preserve"> </w:t>
      </w:r>
      <w:r>
        <w:rPr>
          <w:i/>
          <w:iCs/>
        </w:rPr>
        <w:t xml:space="preserve">Journal of Statistical Software</w:t>
      </w:r>
      <w:r>
        <w:t xml:space="preserve"> </w:t>
      </w:r>
      <w:r>
        <w:t xml:space="preserve">76 (1): 1-32.</w:t>
      </w:r>
      <w:r>
        <w:t xml:space="preserve"> </w:t>
      </w:r>
      <w:hyperlink r:id="rId38">
        <w:r>
          <w:rPr>
            <w:rStyle w:val="Hyperlink"/>
          </w:rPr>
          <w:t xml:space="preserve">https://doi.org/10.18637/jss.v076.i01</w:t>
        </w:r>
      </w:hyperlink>
      <w:r>
        <w:t xml:space="preserve">.</w:t>
      </w:r>
    </w:p>
    <w:bookmarkEnd w:id="39"/>
    <w:bookmarkStart w:id="40" w:name="ref-CEPAL2023"/>
    <w:p>
      <w:pPr>
        <w:pStyle w:val="Bibliography"/>
      </w:pPr>
      <w:r>
        <w:t xml:space="preserve">CEPAL. 2023.</w:t>
      </w:r>
      <w:r>
        <w:t xml:space="preserve"> </w:t>
      </w:r>
      <w:r>
        <w:rPr>
          <w:i/>
          <w:iCs/>
        </w:rPr>
        <w:t xml:space="preserve">Recomendaciones para los censos de población y vivienda en</w:t>
      </w:r>
      <w:r>
        <w:rPr>
          <w:i/>
          <w:iCs/>
        </w:rPr>
        <w:t xml:space="preserve"> </w:t>
      </w:r>
      <w:r>
        <w:rPr>
          <w:i/>
          <w:iCs/>
        </w:rPr>
        <w:t xml:space="preserve">América</w:t>
      </w:r>
      <w:r>
        <w:rPr>
          <w:i/>
          <w:iCs/>
        </w:rPr>
        <w:t xml:space="preserve"> </w:t>
      </w:r>
      <w:r>
        <w:rPr>
          <w:i/>
          <w:iCs/>
        </w:rPr>
        <w:t xml:space="preserve">Latina</w:t>
      </w:r>
      <w:r>
        <w:rPr>
          <w:i/>
          <w:iCs/>
        </w:rPr>
        <w:t xml:space="preserve">: revisión 2020</w:t>
      </w:r>
      <w:r>
        <w:t xml:space="preserve">. LC/CEA.10/3. Comisión Económica para</w:t>
      </w:r>
      <w:r>
        <w:t xml:space="preserve"> </w:t>
      </w:r>
      <w:r>
        <w:t xml:space="preserve">América</w:t>
      </w:r>
      <w:r>
        <w:t xml:space="preserve"> </w:t>
      </w:r>
      <w:r>
        <w:t xml:space="preserve">Latina</w:t>
      </w:r>
      <w:r>
        <w:t xml:space="preserve"> </w:t>
      </w:r>
      <w:r>
        <w:t xml:space="preserve">y el</w:t>
      </w:r>
      <w:r>
        <w:t xml:space="preserve"> </w:t>
      </w:r>
      <w:r>
        <w:t xml:space="preserve">Caribe</w:t>
      </w:r>
      <w:r>
        <w:t xml:space="preserve">.</w:t>
      </w:r>
    </w:p>
    <w:bookmarkEnd w:id="40"/>
    <w:bookmarkStart w:id="41" w:name="ref-Duane1987"/>
    <w:p>
      <w:pPr>
        <w:pStyle w:val="Bibliography"/>
      </w:pPr>
      <w:r>
        <w:t xml:space="preserve">Duane, Simon, Anthony D. Kennedy, Brian J. Pendleton, y Duncan Roweth. 1987.</w:t>
      </w:r>
      <w:r>
        <w:t xml:space="preserve"> </w:t>
      </w:r>
      <w:r>
        <w:t xml:space="preserve">«Hybrid</w:t>
      </w:r>
      <w:r>
        <w:t xml:space="preserve"> </w:t>
      </w:r>
      <w:r>
        <w:t xml:space="preserve">Monte</w:t>
      </w:r>
      <w:r>
        <w:t xml:space="preserve"> </w:t>
      </w:r>
      <w:r>
        <w:t xml:space="preserve">Carlo</w:t>
      </w:r>
      <w:r>
        <w:t xml:space="preserve">»</w:t>
      </w:r>
      <w:r>
        <w:t xml:space="preserve">.</w:t>
      </w:r>
      <w:r>
        <w:t xml:space="preserve"> </w:t>
      </w:r>
      <w:r>
        <w:rPr>
          <w:i/>
          <w:iCs/>
        </w:rPr>
        <w:t xml:space="preserve">Physics Letters B</w:t>
      </w:r>
      <w:r>
        <w:t xml:space="preserve"> </w:t>
      </w:r>
      <w:r>
        <w:t xml:space="preserve">195 (2): 216-22.</w:t>
      </w:r>
    </w:p>
    <w:bookmarkEnd w:id="41"/>
    <w:bookmarkStart w:id="43" w:name="ref-Gorelick2017"/>
    <w:p>
      <w:pPr>
        <w:pStyle w:val="Bibliography"/>
      </w:pPr>
      <w:r>
        <w:t xml:space="preserve">Gorelick, Noel, Matt Hancher, Mike Dixon, Simon Ilyushchenko, David Thau, y Rebecca Moore. 2017.</w:t>
      </w:r>
      <w:r>
        <w:t xml:space="preserve"> </w:t>
      </w:r>
      <w:r>
        <w:t xml:space="preserve">«Google Earth Engine: Planetary-Scale Geospatial Analysis for Everyone»</w:t>
      </w:r>
      <w:r>
        <w:t xml:space="preserve">.</w:t>
      </w:r>
      <w:r>
        <w:t xml:space="preserve"> </w:t>
      </w:r>
      <w:r>
        <w:rPr>
          <w:i/>
          <w:iCs/>
        </w:rPr>
        <w:t xml:space="preserve">Remote Sensing of Environment</w:t>
      </w:r>
      <w:r>
        <w:t xml:space="preserve"> </w:t>
      </w:r>
      <w:r>
        <w:t xml:space="preserve">202: 18-27.</w:t>
      </w:r>
      <w:r>
        <w:t xml:space="preserve"> </w:t>
      </w:r>
      <w:hyperlink r:id="rId42">
        <w:r>
          <w:rPr>
            <w:rStyle w:val="Hyperlink"/>
          </w:rPr>
          <w:t xml:space="preserve">https://doi.org/10.1016/j.rse.2017.06.031</w:t>
        </w:r>
      </w:hyperlink>
      <w:r>
        <w:t xml:space="preserve">.</w:t>
      </w:r>
    </w:p>
    <w:bookmarkEnd w:id="43"/>
    <w:bookmarkStart w:id="44" w:name="ref-Hoffman2014"/>
    <w:p>
      <w:pPr>
        <w:pStyle w:val="Bibliography"/>
      </w:pPr>
      <w:r>
        <w:t xml:space="preserve">Hoffman, Matthew D., y Andrew Gelman. 2014.</w:t>
      </w:r>
      <w:r>
        <w:t xml:space="preserve"> </w:t>
      </w:r>
      <w:r>
        <w:t xml:space="preserve">«The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Journal of Machine Learning Research</w:t>
      </w:r>
      <w:r>
        <w:t xml:space="preserve"> </w:t>
      </w:r>
      <w:r>
        <w:t xml:space="preserve">15: 1593-623.</w:t>
      </w:r>
    </w:p>
    <w:bookmarkEnd w:id="44"/>
    <w:bookmarkStart w:id="45" w:name="ref-Hogan1993"/>
    <w:p>
      <w:pPr>
        <w:pStyle w:val="Bibliography"/>
      </w:pPr>
      <w:r>
        <w:t xml:space="preserve">Hogan, Howard. 1993.</w:t>
      </w:r>
      <w:r>
        <w:t xml:space="preserve"> </w:t>
      </w:r>
      <w:r>
        <w:t xml:space="preserve">«The 1990 Post-Enumeration Survey: Operations and Results»</w:t>
      </w:r>
      <w:r>
        <w:t xml:space="preserve">.</w:t>
      </w:r>
      <w:r>
        <w:t xml:space="preserve"> </w:t>
      </w:r>
      <w:r>
        <w:rPr>
          <w:i/>
          <w:iCs/>
        </w:rPr>
        <w:t xml:space="preserve">Journal of the American Statistical Association</w:t>
      </w:r>
      <w:r>
        <w:t xml:space="preserve"> </w:t>
      </w:r>
      <w:r>
        <w:t xml:space="preserve">88 (423): 1047-60.</w:t>
      </w:r>
    </w:p>
    <w:bookmarkEnd w:id="45"/>
    <w:bookmarkStart w:id="46" w:name="ref-Mercer2015"/>
    <w:p>
      <w:pPr>
        <w:pStyle w:val="Bibliography"/>
      </w:pPr>
      <w:r>
        <w:t xml:space="preserve">Mercer, Laina, Jon Wakefield, Cici Chen, y Thomas Lumley. 2015.</w:t>
      </w:r>
      <w:r>
        <w:t xml:space="preserve"> </w:t>
      </w:r>
      <w:r>
        <w:t xml:space="preserve">«Space–Time Smoothing of Complex Survey Data: Small Area Inclusion Probabilities and Total Population Counts»</w:t>
      </w:r>
      <w:r>
        <w:t xml:space="preserve">.</w:t>
      </w:r>
      <w:r>
        <w:t xml:space="preserve"> </w:t>
      </w:r>
      <w:r>
        <w:rPr>
          <w:i/>
          <w:iCs/>
        </w:rPr>
        <w:t xml:space="preserve">The Annals of Applied Statistics</w:t>
      </w:r>
      <w:r>
        <w:t xml:space="preserve"> </w:t>
      </w:r>
      <w:r>
        <w:t xml:space="preserve">9 (4): 1889-917.</w:t>
      </w:r>
    </w:p>
    <w:bookmarkEnd w:id="46"/>
    <w:bookmarkStart w:id="47" w:name="ref-NacionesUnidas2017"/>
    <w:p>
      <w:pPr>
        <w:pStyle w:val="Bibliography"/>
      </w:pPr>
      <w:r>
        <w:t xml:space="preserve">Naciones Unidas. 2017.</w:t>
      </w:r>
      <w:r>
        <w:t xml:space="preserve"> </w:t>
      </w:r>
      <w:r>
        <w:rPr>
          <w:i/>
          <w:iCs/>
        </w:rPr>
        <w:t xml:space="preserve">Principios y recomendaciones para los censos de poblaci</w:t>
      </w:r>
      <w:r>
        <w:rPr>
          <w:i/>
          <w:iCs/>
        </w:rPr>
        <w:t xml:space="preserve">ó</w:t>
      </w:r>
      <w:r>
        <w:rPr>
          <w:i/>
          <w:iCs/>
        </w:rPr>
        <w:t xml:space="preserve">n y habitaci</w:t>
      </w:r>
      <w:r>
        <w:rPr>
          <w:i/>
          <w:iCs/>
        </w:rPr>
        <w:t xml:space="preserve">ó</w:t>
      </w:r>
      <w:r>
        <w:rPr>
          <w:i/>
          <w:iCs/>
        </w:rPr>
        <w:t xml:space="preserve">n, Revisi</w:t>
      </w:r>
      <w:r>
        <w:rPr>
          <w:i/>
          <w:iCs/>
        </w:rPr>
        <w:t xml:space="preserve">ó</w:t>
      </w:r>
      <w:r>
        <w:rPr>
          <w:i/>
          <w:iCs/>
        </w:rPr>
        <w:t xml:space="preserve">n 3</w:t>
      </w:r>
      <w:r>
        <w:t xml:space="preserve">. Departamento de Asuntos Econ</w:t>
      </w:r>
      <w:r>
        <w:t xml:space="preserve">ó</w:t>
      </w:r>
      <w:r>
        <w:t xml:space="preserve">micos y Sociales, Divisi</w:t>
      </w:r>
      <w:r>
        <w:t xml:space="preserve">ó</w:t>
      </w:r>
      <w:r>
        <w:t xml:space="preserve">n de Estad</w:t>
      </w:r>
      <w:r>
        <w:t xml:space="preserve">í</w:t>
      </w:r>
      <w:r>
        <w:t xml:space="preserve">stica.</w:t>
      </w:r>
    </w:p>
    <w:bookmarkEnd w:id="47"/>
    <w:bookmarkStart w:id="48" w:name="ref-Neal2011"/>
    <w:p>
      <w:pPr>
        <w:pStyle w:val="Bibliography"/>
      </w:pPr>
      <w:r>
        <w:t xml:space="preserve">Neal, Radford M. 2011.</w:t>
      </w:r>
      <w:r>
        <w:t xml:space="preserve"> </w:t>
      </w:r>
      <w:r>
        <w:rPr>
          <w:i/>
          <w:iCs/>
        </w:rPr>
        <w:t xml:space="preserve">MCMC</w:t>
      </w:r>
      <w:r>
        <w:rPr>
          <w:i/>
          <w:iCs/>
        </w:rPr>
        <w:t xml:space="preserve"> </w:t>
      </w:r>
      <w:r>
        <w:rPr>
          <w:i/>
          <w:iCs/>
        </w:rPr>
        <w:t xml:space="preserve">Using</w:t>
      </w:r>
      <w:r>
        <w:rPr>
          <w:i/>
          <w:iCs/>
        </w:rPr>
        <w:t xml:space="preserve"> </w:t>
      </w:r>
      <w:r>
        <w:rPr>
          <w:i/>
          <w:iCs/>
        </w:rPr>
        <w:t xml:space="preserve">Hamiltonian</w:t>
      </w:r>
      <w:r>
        <w:rPr>
          <w:i/>
          <w:iCs/>
        </w:rPr>
        <w:t xml:space="preserve"> </w:t>
      </w:r>
      <w:r>
        <w:rPr>
          <w:i/>
          <w:iCs/>
        </w:rPr>
        <w:t xml:space="preserve">Dynamics</w:t>
      </w:r>
      <w:r>
        <w:t xml:space="preserve">. Editado por Steve Brooks, Andrew Gelman, Galin L. Jones, y Xiao-Li Meng. Chapman; Hall/CRC.</w:t>
      </w:r>
    </w:p>
    <w:bookmarkEnd w:id="48"/>
    <w:bookmarkStart w:id="49" w:name="ref-Preston2001"/>
    <w:p>
      <w:pPr>
        <w:pStyle w:val="Bibliography"/>
      </w:pPr>
      <w:r>
        <w:t xml:space="preserve">Preston, Samuel H., Patrick Heuveline, y Michel Guillot. 2001.</w:t>
      </w:r>
      <w:r>
        <w:t xml:space="preserve"> </w:t>
      </w:r>
      <w:r>
        <w:rPr>
          <w:i/>
          <w:iCs/>
        </w:rPr>
        <w:t xml:space="preserve">Demography: Measuring and Modeling Population Processes</w:t>
      </w:r>
      <w:r>
        <w:t xml:space="preserve">. Blackwell Publishing.</w:t>
      </w:r>
    </w:p>
    <w:bookmarkEnd w:id="49"/>
    <w:bookmarkStart w:id="51" w:name="ref-Raftery2012"/>
    <w:p>
      <w:pPr>
        <w:pStyle w:val="Bibliography"/>
      </w:pPr>
      <w:r>
        <w:t xml:space="preserve">Raftery, Adrian E., Nan Li, Hana Ševčíková, Patrick Gerland, y Gerhard K. Heilig. 2012.</w:t>
      </w:r>
      <w:r>
        <w:t xml:space="preserve"> </w:t>
      </w:r>
      <w:r>
        <w:t xml:space="preserve">«Bayesian Probabilistic Population Projections for All Countries»</w:t>
      </w:r>
      <w:r>
        <w:t xml:space="preserve">.</w:t>
      </w:r>
      <w:r>
        <w:t xml:space="preserve"> </w:t>
      </w:r>
      <w:r>
        <w:rPr>
          <w:i/>
          <w:iCs/>
        </w:rPr>
        <w:t xml:space="preserve">Proceedings of the National Academy of Sciences</w:t>
      </w:r>
      <w:r>
        <w:t xml:space="preserve"> </w:t>
      </w:r>
      <w:r>
        <w:t xml:space="preserve">109 (35): 13915-21.</w:t>
      </w:r>
      <w:r>
        <w:t xml:space="preserve"> </w:t>
      </w:r>
      <w:hyperlink r:id="rId50">
        <w:r>
          <w:rPr>
            <w:rStyle w:val="Hyperlink"/>
          </w:rPr>
          <w:t xml:space="preserve">https://doi.org/10.1073/pnas.1211452109</w:t>
        </w:r>
      </w:hyperlink>
      <w:r>
        <w:t xml:space="preserve">.</w:t>
      </w:r>
    </w:p>
    <w:bookmarkEnd w:id="51"/>
    <w:bookmarkStart w:id="52" w:name="ref-Rao2015"/>
    <w:p>
      <w:pPr>
        <w:pStyle w:val="Bibliography"/>
      </w:pPr>
      <w:r>
        <w:t xml:space="preserve">Rao, J. N. K., y Isabel Molina. 2015.</w:t>
      </w:r>
      <w:r>
        <w:t xml:space="preserve"> </w:t>
      </w:r>
      <w:r>
        <w:rPr>
          <w:i/>
          <w:iCs/>
        </w:rPr>
        <w:t xml:space="preserve">Small Area Estimation</w:t>
      </w:r>
      <w:r>
        <w:t xml:space="preserve">. 2nd ed. John Wiley &amp; Sons.</w:t>
      </w:r>
    </w:p>
    <w:bookmarkEnd w:id="52"/>
    <w:bookmarkStart w:id="53" w:name="ref-SiegelSwanson2004"/>
    <w:p>
      <w:pPr>
        <w:pStyle w:val="Bibliography"/>
      </w:pPr>
      <w:r>
        <w:t xml:space="preserve">Siegel, Jacob S., y David A. Swanson, eds. 2004.</w:t>
      </w:r>
      <w:r>
        <w:t xml:space="preserve"> </w:t>
      </w:r>
      <w:r>
        <w:rPr>
          <w:i/>
          <w:iCs/>
        </w:rPr>
        <w:t xml:space="preserve">The Methods and Materials of Demography</w:t>
      </w:r>
      <w:r>
        <w:t xml:space="preserve">. 2.ª ed. Elsevier Academic Press.</w:t>
      </w:r>
    </w:p>
    <w:bookmarkEnd w:id="53"/>
    <w:bookmarkStart w:id="54" w:name="ref-Tierney1994"/>
    <w:p>
      <w:pPr>
        <w:pStyle w:val="Bibliography"/>
      </w:pPr>
      <w:r>
        <w:t xml:space="preserve">Tierney, Luke. 1994.</w:t>
      </w:r>
      <w:r>
        <w:t xml:space="preserve"> </w:t>
      </w:r>
      <w:r>
        <w:t xml:space="preserve">«Markov Chains for Exploring Posterior Distributions»</w:t>
      </w:r>
      <w:r>
        <w:t xml:space="preserve">.</w:t>
      </w:r>
      <w:r>
        <w:t xml:space="preserve"> </w:t>
      </w:r>
      <w:r>
        <w:rPr>
          <w:i/>
          <w:iCs/>
        </w:rPr>
        <w:t xml:space="preserve">The Annals of Statistics</w:t>
      </w:r>
      <w:r>
        <w:t xml:space="preserve"> </w:t>
      </w:r>
      <w:r>
        <w:t xml:space="preserve">22 (4): 1701-28.</w:t>
      </w:r>
    </w:p>
    <w:bookmarkEnd w:id="54"/>
    <w:bookmarkStart w:id="56" w:name="ref-Wheldon2013"/>
    <w:p>
      <w:pPr>
        <w:pStyle w:val="Bibliography"/>
      </w:pPr>
      <w:r>
        <w:t xml:space="preserve">Wheldon, Mark C., Adrian E. Raftery, Samuel J. Clark, y Patrick Gerland. 2013.</w:t>
      </w:r>
      <w:r>
        <w:t xml:space="preserve"> </w:t>
      </w:r>
      <w:r>
        <w:t xml:space="preserve">«Reconstructing Past Populations with Uncertainty from Fragmentary Data»</w:t>
      </w:r>
      <w:r>
        <w:t xml:space="preserve">.</w:t>
      </w:r>
      <w:r>
        <w:t xml:space="preserve"> </w:t>
      </w:r>
      <w:r>
        <w:rPr>
          <w:i/>
          <w:iCs/>
        </w:rPr>
        <w:t xml:space="preserve">Journal of the American Statistical Association</w:t>
      </w:r>
      <w:r>
        <w:t xml:space="preserve"> </w:t>
      </w:r>
      <w:r>
        <w:t xml:space="preserve">108 (501): 96-110.</w:t>
      </w:r>
      <w:r>
        <w:t xml:space="preserve"> </w:t>
      </w:r>
      <w:hyperlink r:id="rId55">
        <w:r>
          <w:rPr>
            <w:rStyle w:val="Hyperlink"/>
          </w:rPr>
          <w:t xml:space="preserve">https://doi.org/10.1080/01621459.2012.737729</w:t>
        </w:r>
      </w:hyperlink>
      <w:r>
        <w:t xml:space="preserve">.</w:t>
      </w:r>
    </w:p>
    <w:bookmarkEnd w:id="56"/>
    <w:bookmarkEnd w:id="57"/>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100"/>
  <w:embedSystemFonts/>
  <w:proofState w:grammar="clean" w:spelling="clean"/>
  <w:stylePaneFormatFilter w:val="0004"/>
  <w:doNotTrackMoves/>
  <w:defaultTabStop xmlns:w="http://schemas.openxmlformats.org/wordprocessingml/2006/main" w:val="720"/>
  <w:hyphenationZone xmlns:w="http://schemas.openxmlformats.org/wordprocessingml/2006/main" w:val="360"/>
  <w:evenAndOddHeaders xmlns:w="http://schemas.openxmlformats.org/wordprocessingml/2006/main" w:val="0"/>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2A4A"/>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1B2A4A"/>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4A5568"/>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4A5568"/>
      <w:spacing w:val="15"/>
      <w:sz w:val="28"/>
      <w:szCs w:val="28"/>
    </w:rPr>
  </w:style>
  <w:style w:customStyle="1" w:styleId="Author" w:type="paragraph">
    <w:name w:val="Author"/>
    <w:basedOn w:val="Title"/>
    <w:next w:val="BodyText"/>
    <w:qFormat/>
    <w:pPr>
      <w:keepNext/>
      <w:keepLines/>
    </w:pPr>
    <w:rPr>
      <w:color w:val="4A5568"/>
      <w:sz w:val="24"/>
      <w:szCs w:val="24"/>
    </w:rPr>
  </w:style>
  <w:style w:styleId="Date" w:type="paragraph">
    <w:name w:val="Date"/>
    <w:basedOn w:val="Title"/>
    <w:next w:val="BodyText"/>
    <w:qFormat/>
    <w:pPr>
      <w:keepNext/>
      <w:keepLines/>
    </w:pPr>
    <w:rPr>
      <w:color w:val="4A5568"/>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1B2A4A"/>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1B2A4A"/>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B2A4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B2A4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B2A4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1B2A4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1B2A4A"/>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1B2A4A"/>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B2A4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B2A4A"/>
    </w:rPr>
  </w:style>
  <w:style w:customStyle="1" w:styleId="Heading5Char" w:type="character">
    <w:name w:val="Heading 5 Char"/>
    <w:basedOn w:val="DefaultParagraphFont"/>
    <w:link w:val="Heading5"/>
    <w:uiPriority w:val="9"/>
    <w:semiHidden/>
    <w:rsid w:val="00A10FD9"/>
    <w:rPr>
      <w:rFonts w:cstheme="majorBidi" w:eastAsiaTheme="majorEastAsia"/>
      <w:color w:val="1B2A4A"/>
    </w:rPr>
  </w:style>
  <w:style w:customStyle="1" w:styleId="Heading6Char" w:type="character">
    <w:name w:val="Heading 6 Char"/>
    <w:basedOn w:val="DefaultParagraphFont"/>
    <w:link w:val="Heading6"/>
    <w:uiPriority w:val="9"/>
    <w:semiHidden/>
    <w:rsid w:val="00A10FD9"/>
    <w:rPr>
      <w:rFonts w:cstheme="majorBidi" w:eastAsiaTheme="majorEastAsia"/>
      <w:i/>
      <w:iCs/>
      <w:color w:val="1B2A4A"/>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563E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pacing w:after="120" w:before="120"/>
      <w:shd w:fill="F8FAFC" w:val="clear"/>
    </w:pPr>
    <w:rPr>
      <w:rFonts w:ascii="Consolas" w:cs="Consolas" w:hAnsi="Consolas"/>
      <w:sz w:val="18"/>
      <w:szCs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doi.org/10.1016/j.rse.2017.06.031" TargetMode="External" /><Relationship Type="http://schemas.openxmlformats.org/officeDocument/2006/relationships/hyperlink" Id="rId50" Target="https://doi.org/10.1073/pnas.1211452109" TargetMode="External" /><Relationship Type="http://schemas.openxmlformats.org/officeDocument/2006/relationships/hyperlink" Id="rId55" Target="https://doi.org/10.1080/01621459.2012.737729" TargetMode="External" /><Relationship Type="http://schemas.openxmlformats.org/officeDocument/2006/relationships/hyperlink" Id="rId35" Target="https://doi.org/10.1214/13-BA820" TargetMode="External" /><Relationship Type="http://schemas.openxmlformats.org/officeDocument/2006/relationships/hyperlink" Id="rId38" Target="https://doi.org/10.18637/jss.v076.i01" TargetMode="External" /><Relationship Type="http://schemas.openxmlformats.org/officeDocument/2006/relationships/hyperlink" Id="rId62" Target="mailto:andres.gutierrez@cepal.org" TargetMode="External" /><Relationship Type="http://schemas.openxmlformats.org/officeDocument/2006/relationships/hyperlink" Id="rId64" Target="mailto:guerrerostalyn@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16/j.rse.2017.06.031" TargetMode="External" /><Relationship Type="http://schemas.openxmlformats.org/officeDocument/2006/relationships/hyperlink" Id="rId50" Target="https://doi.org/10.1073/pnas.1211452109" TargetMode="External" /><Relationship Type="http://schemas.openxmlformats.org/officeDocument/2006/relationships/hyperlink" Id="rId55" Target="https://doi.org/10.1080/01621459.2012.737729" TargetMode="External" /><Relationship Type="http://schemas.openxmlformats.org/officeDocument/2006/relationships/hyperlink" Id="rId35" Target="https://doi.org/10.1214/13-BA820" TargetMode="External" /><Relationship Type="http://schemas.openxmlformats.org/officeDocument/2006/relationships/hyperlink" Id="rId38" Target="https://doi.org/10.18637/jss.v076.i01" TargetMode="External" /><Relationship Type="http://schemas.openxmlformats.org/officeDocument/2006/relationships/hyperlink" Id="rId62" Target="mailto:andres.gutierrez@cepal.org" TargetMode="External" /><Relationship Type="http://schemas.openxmlformats.org/officeDocument/2006/relationships/hyperlink" Id="rId64" Target="mailto:guerrerostaly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B2A4A"/>
      </a:dk2>
      <a:lt2>
        <a:srgbClr val="E8E8E8"/>
      </a:lt2>
      <a:accent1>
        <a:srgbClr val="2563EB"/>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mbri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Modelos Bayesianos de Población para América Latina y el Caribe</dc:title>
  <dc:creator/>
  <dc:description>Libro técnico sobre modelos bayesianos jerárquicos para la estimación subnacional de población en América Latina y el Caribe, con énfasis en integración de múltiples fuentes de información y aplicación en institutos nacionales de estadística.</dc:description>
  <dc:language>es</dc:language>
  <cp:keywords/>
  <dcterms:created xsi:type="dcterms:W3CDTF">2026-07-24T06:42:33Z</dcterms:created>
  <dcterms:modified xsi:type="dcterms:W3CDTF">2026-07-24T06:42:33Z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olorlinks">
    <vt:lpwstr>True</vt:lpwstr>
  </property>
  <property fmtid="{D5CDD505-2E9C-101B-9397-08002B2CF9AE}" pid="6" name="date">
    <vt:lpwstr>julio de 2026</vt:lpwstr>
  </property>
  <property fmtid="{D5CDD505-2E9C-101B-9397-08002B2CF9AE}" pid="7" name="documentclass">
    <vt:lpwstr>book</vt:lpwstr>
  </property>
  <property fmtid="{D5CDD505-2E9C-101B-9397-08002B2CF9AE}" pid="8" name="github-repo">
    <vt:lpwstr>psirusteam/MBP-ALC</vt:lpwstr>
  </property>
  <property fmtid="{D5CDD505-2E9C-101B-9397-08002B2CF9AE}" pid="9" name="link-citations">
    <vt:lpwstr>True</vt:lpwstr>
  </property>
  <property fmtid="{D5CDD505-2E9C-101B-9397-08002B2CF9AE}" pid="10" name="lof">
    <vt:lpwstr>True</vt:lpwstr>
  </property>
  <property fmtid="{D5CDD505-2E9C-101B-9397-08002B2CF9AE}" pid="11" name="lot">
    <vt:lpwstr>True</vt:lpwstr>
  </property>
  <property fmtid="{D5CDD505-2E9C-101B-9397-08002B2CF9AE}" pid="12" name="site">
    <vt:lpwstr>bookdown::bookdown_site</vt:lpwstr>
  </property>
  <property fmtid="{D5CDD505-2E9C-101B-9397-08002B2CF9AE}" pid="13" name="subtitle">
    <vt:lpwstr>Implementación, Validación y Aplicación Subnacional</vt:lpwstr>
  </property>
</Properties>
</file>