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66</w:t>
      </w:r>
    </w:p>
    <w:p>
      <w:pPr>
        <w:pStyle w:val="Author"/>
      </w:pPr>
      <w:r>
        <w:t xml:space="preserve">Стаменкович</w:t>
      </w:r>
      <w:r>
        <w:t xml:space="preserve"> </w:t>
      </w:r>
      <w:r>
        <w:t xml:space="preserve">Огнен</w:t>
      </w:r>
      <w:r>
        <w:t xml:space="preserve"> </w:t>
      </w:r>
      <w:r>
        <w:t xml:space="preserve">НПИбд-02-19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конкуренции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конкуренции двух фирм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оборотных средств в двух случаях</w:t>
      </w:r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>
      <w:pPr>
        <w:pStyle w:val="BodyText"/>
      </w:pPr>
      <w:r>
        <w:t xml:space="preserve">Обозначим: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- число потребителей производимого продукта.</w:t>
      </w:r>
    </w:p>
    <w:p>
      <w:pPr>
        <w:pStyle w:val="BodyText"/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- длительность производственного цикла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- рыночная цена товара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- себестоимость продукта, то есть переменные издержки на производство единицы продукции</w:t>
      </w:r>
    </w:p>
    <w:p>
      <w:pPr>
        <w:pStyle w:val="BodyText"/>
      </w:pPr>
      <m:oMath>
        <m:r>
          <m:t>δ</m:t>
        </m:r>
      </m:oMath>
      <w:r>
        <w:t xml:space="preserve"> </w:t>
      </w:r>
      <w:r>
        <w:t xml:space="preserve">- доля оборотных средств, идущая на покрытие переменных издержек</w:t>
      </w:r>
    </w:p>
    <w:p>
      <w:pPr>
        <w:pStyle w:val="BodyText"/>
      </w:pPr>
      <m:oMath>
        <m:r>
          <m:t>k</m:t>
        </m:r>
      </m:oMath>
      <w:r>
        <w:t xml:space="preserve"> </w:t>
      </w:r>
      <w:r>
        <w:t xml:space="preserve">- постоянные издержки, которые не зависят от количества выпускаемой продукции</w:t>
      </w:r>
    </w:p>
    <w:p>
      <w:pPr>
        <w:pStyle w:val="BodyText"/>
      </w:pP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</m:oMath>
      <w:r>
        <w:t xml:space="preserve"> </w:t>
      </w:r>
      <w:r>
        <w:t xml:space="preserve">– функция спроса, зависящая от отношения дохода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к цене</w:t>
      </w:r>
      <w:r>
        <w:t xml:space="preserve"> </w:t>
      </w:r>
      <m:oMath>
        <m:r>
          <m:t>p</m:t>
        </m:r>
      </m:oMath>
      <w:r>
        <w:t xml:space="preserve">. Она равна количеству продукта, потребляемого одним потребителем в единицу времени.</w:t>
      </w:r>
    </w:p>
    <w:p>
      <w:pPr>
        <w:pStyle w:val="BodyText"/>
      </w:pPr>
      <w:r>
        <w:t xml:space="preserve">Функцию спроса товаров долговременного использования часто представляют в простейшей форме: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</w:t>
      </w:r>
      <w:r>
        <w:t xml:space="preserve"> </w:t>
      </w:r>
      <w:r>
        <w:t xml:space="preserve">Эта функция падает с ростом цены и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(критическая стоимость продукта) потребители отказываются от приобретения товара. Величина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S</m:t>
        </m:r>
        <m:r>
          <m:t>q</m:t>
        </m:r>
        <m:r>
          <m:rPr>
            <m:sty m:val="p"/>
          </m:rPr>
          <m:t>/</m:t>
        </m:r>
        <m:r>
          <m:t>k</m:t>
        </m:r>
      </m:oMath>
      <w:r>
        <w:t xml:space="preserve">. 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 цене. Таким образом, функция спроса является пороговой (то есть,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Уравнение для рыночной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представим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r>
            <m:rPr>
              <m:sty m:val="p"/>
            </m:rPr>
            <m:t>(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</w:t>
      </w:r>
      <w:r>
        <w:t xml:space="preserve"> </w:t>
      </w:r>
      <w:r>
        <w:t xml:space="preserve">Параметр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зависит от скорости оборота товаров на рынке. Как правило, время торгового оборота существенно меньше времени производственного цикла</w:t>
      </w:r>
      <w:r>
        <w:t xml:space="preserve"> </w:t>
      </w:r>
      <m:oMath>
        <m:r>
          <m:t>τ</m:t>
        </m:r>
      </m:oMath>
      <w:r>
        <w:t xml:space="preserve">. При заданном M уравнение описывает быстрое стремление цены к равновесному значению цены, которое устойчиво.</w:t>
      </w:r>
    </w:p>
    <w:p>
      <w:pPr>
        <w:pStyle w:val="BodyText"/>
      </w:pPr>
      <w:r>
        <w:t xml:space="preserve">В этом случае уравнение можно заменить алгебраическим соотношением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равновесное значение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равно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Тогда уравнения динамики оборотных средств приобретает вид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sSup>
            <m:e>
              <m:r>
                <m:rPr>
                  <m:sty m:val="p"/>
                </m:rPr>
                <m:t>)</m:t>
              </m:r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Это уравнение имеет два стационарных решения, соответствующих условию</w:t>
      </w:r>
      <w:r>
        <w:t xml:space="preserve"> 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</m:sub>
              </m:sSub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a</m:t>
          </m:r>
          <m:r>
            <m:rPr>
              <m:sty m:val="p"/>
            </m:rPr>
            <m:t>±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−</m:t>
              </m:r>
              <m:r>
                <m:t>b</m:t>
              </m:r>
            </m:e>
          </m:ra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r>
            <m:t>k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rPr>
                  <m:sty m:val="p"/>
                </m:rPr>
                <m:t>(</m:t>
              </m:r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sSup>
                <m:e>
                  <m:r>
                    <m:t>δ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Получается, что при больших постоянных издержках (в случае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4</m:t>
        </m:r>
        <m:r>
          <m:t>b</m:t>
        </m:r>
      </m:oMath>
      <w:r>
        <w:t xml:space="preserve">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 (то есть,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) и играют роль, только в случае, когда оборотные средства малы.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r>
          <m:t>a</m:t>
        </m:r>
      </m:oMath>
      <w:r>
        <w:t xml:space="preserve"> </w:t>
      </w:r>
      <w:r>
        <w:t xml:space="preserve">стационарные значения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равны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+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acc>
            <m:accPr>
              <m:chr m:val="̃"/>
            </m:accPr>
            <m:e>
              <m:r>
                <m:t>p</m:t>
              </m:r>
            </m:e>
          </m:acc>
          <m:r>
            <m:rPr>
              <m:sty m:val="p"/>
            </m:rPr>
            <m:t>,</m:t>
          </m:r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−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k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  <m:r>
                <m:rPr>
                  <m:sty m:val="p"/>
                </m:rPr>
                <m:t>(</m:t>
              </m:r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rPr>
                  <m:sty m:val="p"/>
                </m:rPr>
                <m:t>)</m:t>
              </m:r>
            </m:den>
          </m:f>
        </m:oMath>
      </m:oMathPara>
    </w:p>
    <w:p>
      <w:pPr>
        <w:pStyle w:val="FirstParagraph"/>
      </w:pPr>
      <w:r>
        <w:t xml:space="preserve">Первое состояние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+</m:t>
                </m:r>
              </m:sub>
            </m:sSub>
          </m:e>
        </m:acc>
      </m:oMath>
      <w:r>
        <w:t xml:space="preserve"> </w:t>
      </w:r>
      <w:r>
        <w:t xml:space="preserve">устойчиво и соответствует стабильному функционированию предприятия. Второе состояние \widetilde{M_{-} неустойчиво, так, что при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оборотные средства падают (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&lt;</m:t>
        </m:r>
        <m:r>
          <m:t>0</m:t>
        </m:r>
      </m:oMath>
      <w:r>
        <w:t xml:space="preserve">), то есть, фирма идет к банкротству. По смыслу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соответствует начальному капиталу, необходимому для входа в рынок.</w:t>
      </w:r>
    </w:p>
    <w:p>
      <w:pPr>
        <w:pStyle w:val="BodyText"/>
      </w:pPr>
      <w:r>
        <w:t xml:space="preserve">В обсуждаемой модели параметр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</m:t>
        </m:r>
      </m:oMath>
      <w:r>
        <w:t xml:space="preserve">, а 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 цикла, с учётом сказанного.</w:t>
      </w:r>
    </w:p>
    <w:bookmarkEnd w:id="22"/>
    <w:bookmarkStart w:id="27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Случай 1</w:t>
      </w:r>
    </w:p>
    <w:p>
      <w:pPr>
        <w:pStyle w:val="BodyText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</w:p>
    <w:p>
      <w:pPr>
        <w:pStyle w:val="BodyText"/>
      </w:pPr>
      <w:r>
        <w:t xml:space="preserve">Случай 2</w:t>
      </w:r>
    </w:p>
    <w:p>
      <w:pPr>
        <w:pStyle w:val="BodyText"/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+</m:t>
          </m:r>
          <m:r>
            <m:t>0.00014</m:t>
          </m:r>
          <m:r>
            <m:rPr>
              <m:sty m:val="p"/>
            </m:rPr>
            <m:t>)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Для обоих случаев рассмотрим задачу со следующими начальными условиями и параметрами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6.7</m:t>
          </m:r>
          <m:r>
            <m:t> </m:t>
          </m:r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5.9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35</m:t>
          </m:r>
          <m:r>
            <m:t> </m:t>
          </m:r>
          <m:r>
            <m:t>N</m:t>
          </m:r>
          <m:r>
            <m:rPr>
              <m:sty m:val="p"/>
            </m:rPr>
            <m:t>=</m:t>
          </m:r>
          <m:r>
            <m:t>25</m:t>
          </m:r>
          <m:r>
            <m:t> </m:t>
          </m:r>
          <m:r>
            <m:t>q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17</m:t>
          </m:r>
          <m:r>
            <m:t> 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21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10.5</m:t>
          </m:r>
          <m:r>
            <m:t> </m:t>
          </m:r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8.6</m:t>
          </m:r>
        </m:oMath>
      </m:oMathPara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p_cr = 35;</w:t>
      </w:r>
      <w:r>
        <w:br/>
      </w:r>
      <w:r>
        <w:rPr>
          <w:rStyle w:val="VerbatimChar"/>
        </w:rPr>
        <w:t xml:space="preserve">  parameter  Real N = 25;</w:t>
      </w:r>
      <w:r>
        <w:br/>
      </w:r>
      <w:r>
        <w:rPr>
          <w:rStyle w:val="VerbatimChar"/>
        </w:rPr>
        <w:t xml:space="preserve">  parameter  Real q = 1;</w:t>
      </w:r>
      <w:r>
        <w:br/>
      </w:r>
      <w:r>
        <w:br/>
      </w:r>
      <w:r>
        <w:rPr>
          <w:rStyle w:val="VerbatimChar"/>
        </w:rPr>
        <w:t xml:space="preserve">  parameter  Real tau1 = 17;</w:t>
      </w:r>
      <w:r>
        <w:br/>
      </w:r>
      <w:r>
        <w:rPr>
          <w:rStyle w:val="VerbatimChar"/>
        </w:rPr>
        <w:t xml:space="preserve">  parameter  Real tau2 = 21;</w:t>
      </w:r>
      <w:r>
        <w:br/>
      </w:r>
      <w:r>
        <w:br/>
      </w:r>
      <w:r>
        <w:rPr>
          <w:rStyle w:val="VerbatimChar"/>
        </w:rPr>
        <w:t xml:space="preserve">  parameter  Real p1 = 10.5;</w:t>
      </w:r>
      <w:r>
        <w:br/>
      </w:r>
      <w:r>
        <w:rPr>
          <w:rStyle w:val="VerbatimChar"/>
        </w:rPr>
        <w:t xml:space="preserve">  parameter  Real p2 = 8.6;</w:t>
      </w:r>
      <w:r>
        <w:br/>
      </w:r>
      <w:r>
        <w:br/>
      </w:r>
      <w:r>
        <w:rPr>
          <w:rStyle w:val="VerbatimChar"/>
        </w:rPr>
        <w:t xml:space="preserve">  parameter  Real d = 0.00066;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parameter  Real a1 = p_cr/(tau1*tau1*p1*p1*N*q);</w:t>
      </w:r>
      <w:r>
        <w:br/>
      </w:r>
      <w:r>
        <w:rPr>
          <w:rStyle w:val="VerbatimChar"/>
        </w:rPr>
        <w:t xml:space="preserve">  parameter  Real a2 = p_cr/(tau2*tau2*p2*p2*N*q);</w:t>
      </w:r>
      <w:r>
        <w:br/>
      </w:r>
      <w:r>
        <w:rPr>
          <w:rStyle w:val="VerbatimChar"/>
        </w:rPr>
        <w:t xml:space="preserve">  parameter  Real  b = p_cr/(tau1*tau1*tau2*tau2*p1*p1*p2*p2*N*q);</w:t>
      </w:r>
      <w:r>
        <w:br/>
      </w:r>
      <w:r>
        <w:rPr>
          <w:rStyle w:val="VerbatimChar"/>
        </w:rPr>
        <w:t xml:space="preserve">  parameter  Real c1 = (p_cr-p1)/(tau1*p1);</w:t>
      </w:r>
      <w:r>
        <w:br/>
      </w:r>
      <w:r>
        <w:rPr>
          <w:rStyle w:val="VerbatimChar"/>
        </w:rPr>
        <w:t xml:space="preserve">  parameter  Real c2 = (p_cr-p2)/(tau2*p2);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Real M1_1(start=6.7);</w:t>
      </w:r>
      <w:r>
        <w:br/>
      </w:r>
      <w:r>
        <w:rPr>
          <w:rStyle w:val="VerbatimChar"/>
        </w:rPr>
        <w:t xml:space="preserve">  Real M2_1(start=5.9);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M1_2(start=6.7);</w:t>
      </w:r>
      <w:r>
        <w:br/>
      </w:r>
      <w:r>
        <w:rPr>
          <w:rStyle w:val="VerbatimChar"/>
        </w:rPr>
        <w:t xml:space="preserve">  Real M2_2(start=5.9);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der(M1_1) =  M1_1 - (a1/c1)*M1_1*M1_1 - (b/c1)*M1_1*M2_1;</w:t>
      </w:r>
      <w:r>
        <w:br/>
      </w:r>
      <w:r>
        <w:rPr>
          <w:rStyle w:val="VerbatimChar"/>
        </w:rPr>
        <w:t xml:space="preserve">    der(M2_1) =  (c2/c1)*M2_1 - (a2/c1)*M2_1*M2_1 - (b/c1)*M1_1*M2_1;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der(M1_2) =  M1_2 - (a1/c1)*M1_2*M1_2 - (b/c1)*M1_2*M2_2;</w:t>
      </w:r>
      <w:r>
        <w:br/>
      </w:r>
      <w:r>
        <w:rPr>
          <w:rStyle w:val="VerbatimChar"/>
        </w:rPr>
        <w:t xml:space="preserve">    der(M2_2) =  (c2/c1)*M2_2 - (a2/c1)*M2_2*M2_2 - (b/c1+d)*M1_2*M2_2;</w:t>
      </w:r>
      <w:r>
        <w:br/>
      </w:r>
      <w:r>
        <w:br/>
      </w:r>
      <w:r>
        <w:rPr>
          <w:rStyle w:val="VerbatimChar"/>
        </w:rPr>
        <w:t xml:space="preserve">  annotation(experiment(StartTime=0, StopTime=20,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24" w:name="fig:001"/>
      <w:r>
        <w:drawing>
          <wp:inline>
            <wp:extent cx="5334000" cy="2238722"/>
            <wp:effectExtent b="0" l="0" r="0" t="0"/>
            <wp:docPr descr="Figure 1: График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8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для случая 1</w:t>
      </w:r>
    </w:p>
    <w:p>
      <w:pPr>
        <w:pStyle w:val="CaptionedFigure"/>
      </w:pPr>
      <w:bookmarkStart w:id="26" w:name="fig:002"/>
      <w:r>
        <w:drawing>
          <wp:inline>
            <wp:extent cx="5334000" cy="2238722"/>
            <wp:effectExtent b="0" l="0" r="0" t="0"/>
            <wp:docPr descr="Figure 2: График для случая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8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 для случая 2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конкуренции и построены графики.</w:t>
      </w:r>
    </w:p>
    <w:bookmarkEnd w:id="29"/>
    <w:bookmarkStart w:id="3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Математические модели конкурентной среды</w:t>
        </w:r>
      </w:hyperlink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Разработка математических моделей конкурентных процессов</w:t>
        </w:r>
      </w:hyperlink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hyperlink" Id="rId30" Target="https://dspace.spbu.ru/bitstream/11701/12019/1/Gorynya_2018.pdf" TargetMode="External" /><Relationship Type="http://schemas.openxmlformats.org/officeDocument/2006/relationships/hyperlink" Id="rId31" Target="https://www.academia.edu/9284004/&#1053;&#1072;&#1091;&#1084;&#1077;&#1081;&#1082;&#1086;_&#1056;&#1040;&#1047;&#1056;&#1040;&#1041;&#1054;&#1058;&#1050;&#1040;_&#1052;&#1040;&#1058;&#1045;&#1052;&#1040;&#1058;&#1048;&#1063;&#1045;&#1057;&#1050;&#1054;&#1049;_&#1052;&#1054;&#1044;&#1045;&#1051;&#1048;_&#1050;&#1054;&#1053;&#1050;&#1059;&#1056;&#1045;&#1053;&#1058;&#1053;&#1067;&#1061;_&#1055;&#1056;&#1054;&#1062;&#1045;&#1057;&#1057;&#1054;&#1042;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dspace.spbu.ru/bitstream/11701/12019/1/Gorynya_2018.pdf" TargetMode="External" /><Relationship Type="http://schemas.openxmlformats.org/officeDocument/2006/relationships/hyperlink" Id="rId31" Target="https://www.academia.edu/9284004/&#1053;&#1072;&#1091;&#1084;&#1077;&#1081;&#1082;&#1086;_&#1056;&#1040;&#1047;&#1056;&#1040;&#1041;&#1054;&#1058;&#1050;&#1040;_&#1052;&#1040;&#1058;&#1045;&#1052;&#1040;&#1058;&#1048;&#1063;&#1045;&#1057;&#1050;&#1054;&#1049;_&#1052;&#1054;&#1044;&#1045;&#1051;&#1048;_&#1050;&#1054;&#1053;&#1050;&#1059;&#1056;&#1045;&#1053;&#1058;&#1053;&#1067;&#1061;_&#1055;&#1056;&#1054;&#1062;&#1045;&#1057;&#1057;&#1054;&#104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Стаменкович Огнен НПИбд-02-19</dc:creator>
  <dc:language>ru-RU</dc:language>
  <cp:keywords/>
  <dcterms:created xsi:type="dcterms:W3CDTF">2022-03-28T06:58:37Z</dcterms:created>
  <dcterms:modified xsi:type="dcterms:W3CDTF">2022-03-28T06:58:37Z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конкуренции двух фирм - вариант 66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