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320" w:after="0"/>
        <w:jc w:val="center"/>
      </w:pPr>
      <w:r>
        <w:rPr>
          <w:b w:val="0"/>
          <w:sz w:val="22"/>
        </w:rPr>
        <w:t>Универзитет „Св. Кирил и Методиј“ во Скопје</w:t>
      </w:r>
    </w:p>
    <w:p>
      <w:pPr>
        <w:spacing w:line="276" w:lineRule="auto" w:before="0" w:after="0"/>
        <w:jc w:val="center"/>
      </w:pPr>
      <w:r>
        <w:rPr>
          <w:b w:val="0"/>
          <w:sz w:val="22"/>
        </w:rPr>
        <w:t>Факултет за информатички науки и компјутерско инженерство</w:t>
      </w:r>
    </w:p>
    <w:p>
      <w:pPr>
        <w:spacing w:line="276" w:lineRule="auto" w:before="1560" w:after="200"/>
        <w:jc w:val="center"/>
      </w:pPr>
      <w:r>
        <w:rPr>
          <w:b w:val="0"/>
          <w:sz w:val="24"/>
        </w:rPr>
        <w:t>Дипломска работа — работен нацрт</w:t>
      </w:r>
    </w:p>
    <w:p>
      <w:pPr>
        <w:spacing w:line="276" w:lineRule="auto" w:before="0" w:after="180"/>
        <w:jc w:val="center"/>
      </w:pPr>
      <w:r>
        <w:rPr>
          <w:b w:val="0"/>
          <w:sz w:val="40"/>
        </w:rPr>
        <w:t>ARIES: Дизајн и евалуација на интелигентен агентски систем за Linux базиран на големи јазични модели</w:t>
      </w:r>
    </w:p>
    <w:p>
      <w:pPr>
        <w:spacing w:line="276" w:lineRule="auto" w:before="0" w:after="0"/>
        <w:jc w:val="center"/>
      </w:pPr>
      <w:r>
        <w:rPr>
          <w:b w:val="0"/>
          <w:sz w:val="24"/>
        </w:rPr>
        <w:t>Што смее агентот да тврди за себе: одлуки за дејствување, појаснување и одбивање</w:t>
      </w:r>
    </w:p>
    <w:p>
      <w:pPr>
        <w:spacing w:after="1300"/>
      </w:pPr>
    </w:p>
    <w:tbl>
      <w:tblPr>
        <w:tblW w:type="auto" w:w="0"/>
        <w:jc w:val="center"/>
        <w:tblLayout w:type="fixed"/>
        <w:tblLook w:firstColumn="1" w:firstRow="1" w:lastColumn="0" w:lastRow="0" w:noHBand="0" w:noVBand="1" w:val="04A0"/>
      </w:tblPr>
      <w:tblGrid>
        <w:gridCol w:w="2268"/>
        <w:gridCol w:w="5102"/>
      </w:tblGrid>
      <w:tr>
        <w:tc>
          <w:tcPr>
            <w:tcW w:type="dxa" w:w="2268"/>
          </w:tcPr>
          <w:p>
            <w:pPr>
              <w:spacing w:after="40" w:line="276" w:lineRule="auto"/>
              <w:jc w:val="left"/>
            </w:pPr>
            <w:r>
              <w:t>Ментор</w:t>
            </w:r>
          </w:p>
        </w:tc>
        <w:tc>
          <w:tcPr>
            <w:tcW w:type="dxa" w:w="5102"/>
          </w:tcPr>
          <w:p>
            <w:pPr>
              <w:spacing w:after="40" w:line="276" w:lineRule="auto"/>
              <w:jc w:val="left"/>
            </w:pPr>
            <w:r>
              <w:t>проф. Соња Гиевска</w:t>
            </w:r>
          </w:p>
        </w:tc>
      </w:tr>
      <w:tr>
        <w:tc>
          <w:tcPr>
            <w:tcW w:type="dxa" w:w="2268"/>
          </w:tcPr>
          <w:p>
            <w:pPr>
              <w:spacing w:after="40" w:line="276" w:lineRule="auto"/>
              <w:jc w:val="left"/>
            </w:pPr>
            <w:r>
              <w:t>Кандидат</w:t>
            </w:r>
          </w:p>
        </w:tc>
        <w:tc>
          <w:tcPr>
            <w:tcW w:type="dxa" w:w="5102"/>
          </w:tcPr>
          <w:p>
            <w:pPr>
              <w:spacing w:after="40" w:line="276" w:lineRule="auto"/>
              <w:jc w:val="left"/>
            </w:pPr>
            <w:r>
              <w:t>Мартин Стаменов</w:t>
            </w:r>
          </w:p>
        </w:tc>
      </w:tr>
      <w:tr>
        <w:tc>
          <w:tcPr>
            <w:tcW w:type="dxa" w:w="2268"/>
          </w:tcPr>
          <w:p>
            <w:pPr>
              <w:spacing w:after="40" w:line="276" w:lineRule="auto"/>
              <w:jc w:val="left"/>
            </w:pPr>
            <w:r/>
          </w:p>
        </w:tc>
        <w:tc>
          <w:tcPr>
            <w:tcW w:type="dxa" w:w="5102"/>
          </w:tcPr>
          <w:p>
            <w:pPr>
              <w:spacing w:after="40" w:line="276" w:lineRule="auto"/>
              <w:jc w:val="left"/>
            </w:pPr>
            <w:r>
              <w:t>226051</w:t>
            </w:r>
          </w:p>
        </w:tc>
      </w:tr>
    </w:tbl>
    <w:p>
      <w:pPr>
        <w:spacing w:line="276" w:lineRule="auto" w:before="900" w:after="0"/>
        <w:jc w:val="center"/>
      </w:pPr>
      <w:r>
        <w:rPr>
          <w:b w:val="0"/>
          <w:sz w:val="24"/>
        </w:rPr>
        <w:t>Скопје, октомври 2026</w:t>
      </w:r>
    </w:p>
    <w:p>
      <w:r>
        <w:br w:type="page"/>
      </w:r>
    </w:p>
    <w:p>
      <w:pPr>
        <w:pStyle w:val="ARIESIndexHeading"/>
        <w:keepNext/>
      </w:pPr>
      <w:r>
        <w:t>Содржина</w:t>
      </w:r>
    </w:p>
    <w:p>
      <w:pPr>
        <w:spacing w:after="0"/>
      </w:pPr>
      <w:r>
        <w:fldChar w:fldCharType="begin" w:dirty="true"/>
      </w:r>
      <w:r>
        <w:instrText xml:space="preserve"> TOC \o "1-2" \h \z \u </w:instrText>
      </w:r>
      <w:r>
        <w:fldChar w:fldCharType="separate"/>
      </w:r>
    </w:p>
    <w:p>
      <w:pPr>
        <w:pStyle w:val="TOC1"/>
      </w:pPr>
      <w:hyperlink w:anchor="aries_heading_0" w:history="1">
        <w:r>
          <w:t>Апстракт</w:t>
        </w:r>
      </w:hyperlink>
    </w:p>
    <w:p>
      <w:pPr>
        <w:pStyle w:val="TOC1"/>
      </w:pPr>
      <w:hyperlink w:anchor="aries_heading_7" w:history="1">
        <w:r>
          <w:t>Вовед</w:t>
        </w:r>
      </w:hyperlink>
    </w:p>
    <w:p>
      <w:pPr>
        <w:pStyle w:val="TOC2"/>
      </w:pPr>
      <w:hyperlink w:anchor="aries_heading_8" w:history="1">
        <w:r>
          <w:t>Проблем и истражувачко прашање</w:t>
        </w:r>
      </w:hyperlink>
    </w:p>
    <w:p>
      <w:pPr>
        <w:pStyle w:val="TOC2"/>
      </w:pPr>
      <w:hyperlink w:anchor="aries_heading_12" w:history="1">
        <w:r>
          <w:t>Развиениот прототип</w:t>
        </w:r>
      </w:hyperlink>
    </w:p>
    <w:p>
      <w:pPr>
        <w:pStyle w:val="TOC2"/>
      </w:pPr>
      <w:hyperlink w:anchor="aries_heading_19" w:history="1">
        <w:r>
          <w:t>Придонес и опсег</w:t>
        </w:r>
      </w:hyperlink>
    </w:p>
    <w:p>
      <w:pPr>
        <w:pStyle w:val="TOC2"/>
      </w:pPr>
      <w:hyperlink w:anchor="aries_heading_26" w:history="1">
        <w:r>
          <w:t>Структура</w:t>
        </w:r>
      </w:hyperlink>
    </w:p>
    <w:p>
      <w:pPr>
        <w:pStyle w:val="TOC1"/>
      </w:pPr>
      <w:hyperlink w:anchor="aries_heading_28" w:history="1">
        <w:r>
          <w:t>Сродни истражувања</w:t>
        </w:r>
      </w:hyperlink>
    </w:p>
    <w:p>
      <w:pPr>
        <w:pStyle w:val="TOC2"/>
      </w:pPr>
      <w:hyperlink w:anchor="aries_heading_29" w:history="1">
        <w:r>
          <w:t>Лажен успех како појава</w:t>
        </w:r>
      </w:hyperlink>
    </w:p>
    <w:p>
      <w:pPr>
        <w:pStyle w:val="TOC2"/>
      </w:pPr>
      <w:hyperlink w:anchor="aries_heading_31" w:history="1">
        <w:r>
          <w:t>Интервенција пред дејството</w:t>
        </w:r>
      </w:hyperlink>
    </w:p>
    <w:p>
      <w:pPr>
        <w:pStyle w:val="TOC2"/>
      </w:pPr>
      <w:hyperlink w:anchor="aries_heading_33" w:history="1">
        <w:r>
          <w:t>Следење на исходи и опоравување</w:t>
        </w:r>
      </w:hyperlink>
    </w:p>
    <w:p>
      <w:pPr>
        <w:pStyle w:val="TOC2"/>
      </w:pPr>
      <w:hyperlink w:anchor="aries_heading_35" w:history="1">
        <w:r>
          <w:t>Верификација како архитектонски слој</w:t>
        </w:r>
      </w:hyperlink>
    </w:p>
    <w:p>
      <w:pPr>
        <w:pStyle w:val="TOC2"/>
      </w:pPr>
      <w:hyperlink w:anchor="aries_heading_37" w:history="1">
        <w:r>
          <w:t>Позиција на трудот</w:t>
        </w:r>
      </w:hyperlink>
    </w:p>
    <w:p>
      <w:pPr>
        <w:pStyle w:val="TOC1"/>
      </w:pPr>
      <w:hyperlink w:anchor="aries_heading_39" w:history="1">
        <w:r>
          <w:t>Методологија</w:t>
        </w:r>
      </w:hyperlink>
    </w:p>
    <w:p>
      <w:pPr>
        <w:pStyle w:val="TOC2"/>
      </w:pPr>
      <w:hyperlink w:anchor="aries_heading_40" w:history="1">
        <w:r>
          <w:t>Архитектура, онолку колку што е потребна</w:t>
        </w:r>
      </w:hyperlink>
    </w:p>
    <w:p>
      <w:pPr>
        <w:pStyle w:val="TOC2"/>
      </w:pPr>
      <w:hyperlink w:anchor="aries_heading_48" w:history="1">
        <w:r>
          <w:t>Дефиниции на метриките</w:t>
        </w:r>
      </w:hyperlink>
    </w:p>
    <w:p>
      <w:pPr>
        <w:pStyle w:val="TOC2"/>
      </w:pPr>
      <w:hyperlink w:anchor="aries_heading_56" w:history="1">
        <w:r>
          <w:t>Контроли, и зошто постојат</w:t>
        </w:r>
      </w:hyperlink>
    </w:p>
    <w:p>
      <w:pPr>
        <w:pStyle w:val="TOC2"/>
      </w:pPr>
      <w:hyperlink w:anchor="aries_heading_61" w:history="1">
        <w:r>
          <w:t>Експерименти и потекло на податоците</w:t>
        </w:r>
      </w:hyperlink>
    </w:p>
    <w:p>
      <w:pPr>
        <w:pStyle w:val="TOC2"/>
      </w:pPr>
      <w:hyperlink w:anchor="aries_heading_66" w:history="1">
        <w:r>
          <w:t>Визуелна операционализација на истражувањето</w:t>
        </w:r>
      </w:hyperlink>
    </w:p>
    <w:p>
      <w:pPr>
        <w:pStyle w:val="TOC1"/>
      </w:pPr>
      <w:hyperlink w:anchor="aries_heading_70" w:history="1">
        <w:r>
          <w:t>Историски резултат 1: доверливоста како ограничен сигнал</w:t>
        </w:r>
      </w:hyperlink>
    </w:p>
    <w:p>
      <w:pPr>
        <w:pStyle w:val="TOC1"/>
      </w:pPr>
      <w:hyperlink w:anchor="aries_heading_78" w:history="1">
        <w:r>
          <w:t>Историски резултат 2: аблацијата</w:t>
        </w:r>
      </w:hyperlink>
    </w:p>
    <w:p>
      <w:pPr>
        <w:pStyle w:val="TOC2"/>
      </w:pPr>
      <w:hyperlink w:anchor="aries_heading_82" w:history="1">
        <w:r>
          <w:t>Заедничко читање на метриките</w:t>
        </w:r>
      </w:hyperlink>
    </w:p>
    <w:p>
      <w:pPr>
        <w:pStyle w:val="TOC2"/>
      </w:pPr>
      <w:hyperlink w:anchor="aries_heading_86" w:history="1">
        <w:r>
          <w:t>Матрици на одлуки и грешки</w:t>
        </w:r>
      </w:hyperlink>
    </w:p>
    <w:p>
      <w:pPr>
        <w:pStyle w:val="TOC2"/>
      </w:pPr>
      <w:hyperlink w:anchor="aries_heading_91" w:history="1">
        <w:r>
          <w:t>Споредба на истите барања меѓу A1 и A3</w:t>
        </w:r>
      </w:hyperlink>
    </w:p>
    <w:p>
      <w:pPr>
        <w:pStyle w:val="TOC2"/>
      </w:pPr>
      <w:hyperlink w:anchor="aries_heading_96" w:history="1">
        <w:r>
          <w:t>Првичниот критериум и подоцнежното образложение</w:t>
        </w:r>
      </w:hyperlink>
    </w:p>
    <w:p>
      <w:pPr>
        <w:pStyle w:val="TOC2"/>
      </w:pPr>
      <w:hyperlink w:anchor="aries_heading_98" w:history="1">
        <w:r>
          <w:t>Истата манипулација на друга фикстура</w:t>
        </w:r>
      </w:hyperlink>
    </w:p>
    <w:p>
      <w:pPr>
        <w:pStyle w:val="TOC1"/>
      </w:pPr>
      <w:hyperlink w:anchor="aries_heading_100" w:history="1">
        <w:r>
          <w:t>Историски резултат 3: агентско извршување и изолирани способности</w:t>
        </w:r>
      </w:hyperlink>
    </w:p>
    <w:p>
      <w:pPr>
        <w:pStyle w:val="TOC2"/>
      </w:pPr>
      <w:hyperlink w:anchor="aries_heading_107" w:history="1">
        <w:r>
          <w:t>Проверка на двата спорни случаи</w:t>
        </w:r>
      </w:hyperlink>
    </w:p>
    <w:p>
      <w:pPr>
        <w:pStyle w:val="TOC1"/>
      </w:pPr>
      <w:hyperlink w:anchor="aries_heading_115" w:history="1">
        <w:r>
          <w:t>Историски резултат 4: што значи „верификувано“</w:t>
        </w:r>
      </w:hyperlink>
    </w:p>
    <w:p>
      <w:pPr>
        <w:pStyle w:val="TOC2"/>
      </w:pPr>
      <w:hyperlink w:anchor="aries_heading_118" w:history="1">
        <w:r>
          <w:t>Класификацијата</w:t>
        </w:r>
      </w:hyperlink>
    </w:p>
    <w:p>
      <w:pPr>
        <w:pStyle w:val="TOC2"/>
      </w:pPr>
      <w:hyperlink w:anchor="aries_heading_122" w:history="1">
        <w:r>
          <w:t>Споено со дневникот</w:t>
        </w:r>
      </w:hyperlink>
    </w:p>
    <w:p>
      <w:pPr>
        <w:pStyle w:val="TOC2"/>
      </w:pPr>
      <w:hyperlink w:anchor="aries_heading_125" w:history="1">
        <w:r>
          <w:t>Именителот</w:t>
        </w:r>
      </w:hyperlink>
    </w:p>
    <w:p>
      <w:pPr>
        <w:pStyle w:val="TOC2"/>
      </w:pPr>
      <w:hyperlink w:anchor="aries_heading_132" w:history="1">
        <w:r>
          <w:t>Двете објаснувања</w:t>
        </w:r>
      </w:hyperlink>
    </w:p>
    <w:p>
      <w:pPr>
        <w:pStyle w:val="TOC1"/>
      </w:pPr>
      <w:hyperlink w:anchor="aries_heading_136" w:history="1">
        <w:r>
          <w:t>Контролирана завршна евалуација — 6 октомври 2026</w:t>
        </w:r>
      </w:hyperlink>
    </w:p>
    <w:p>
      <w:pPr>
        <w:pStyle w:val="TOC2"/>
      </w:pPr>
      <w:hyperlink w:anchor="aries_heading_138" w:history="1">
        <w:r>
          <w:t>Протокол и контроли</w:t>
        </w:r>
      </w:hyperlink>
    </w:p>
    <w:p>
      <w:pPr>
        <w:pStyle w:val="TOC2"/>
      </w:pPr>
      <w:hyperlink w:anchor="aries_heading_144" w:history="1">
        <w:r>
          <w:t>Повторени резултати и однапред зададен критериум</w:t>
        </w:r>
      </w:hyperlink>
    </w:p>
    <w:p>
      <w:pPr>
        <w:pStyle w:val="TOC2"/>
      </w:pPr>
      <w:hyperlink w:anchor="aries_heading_149" w:history="1">
        <w:r>
          <w:t>Семантика и грешки по класа</w:t>
        </w:r>
      </w:hyperlink>
    </w:p>
    <w:p>
      <w:pPr>
        <w:pStyle w:val="TOC2"/>
      </w:pPr>
      <w:hyperlink w:anchor="aries_heading_160" w:history="1">
        <w:r>
          <w:t>Планер: точна способност и аргументи</w:t>
        </w:r>
      </w:hyperlink>
    </w:p>
    <w:p>
      <w:pPr>
        <w:pStyle w:val="TOC2"/>
      </w:pPr>
      <w:hyperlink w:anchor="aries_heading_164" w:history="1">
        <w:r>
          <w:t>Испробана демонстрација со независни исходни проверки</w:t>
        </w:r>
      </w:hyperlink>
    </w:p>
    <w:p>
      <w:pPr>
        <w:pStyle w:val="TOC2"/>
      </w:pPr>
      <w:hyperlink w:anchor="aries_heading_168" w:history="1">
        <w:r>
          <w:t>Што дозволуваат новите докази</w:t>
        </w:r>
      </w:hyperlink>
    </w:p>
    <w:p>
      <w:pPr>
        <w:pStyle w:val="TOC1"/>
      </w:pPr>
      <w:hyperlink w:anchor="aries_heading_171" w:history="1">
        <w:r>
          <w:t>Закани по валидноста</w:t>
        </w:r>
      </w:hyperlink>
    </w:p>
    <w:p>
      <w:pPr>
        <w:pStyle w:val="TOC2"/>
      </w:pPr>
      <w:hyperlink w:anchor="aries_heading_172" w:history="1">
        <w:r>
          <w:t>Авторски податоци, една машина и ограничени повторувања</w:t>
        </w:r>
      </w:hyperlink>
    </w:p>
    <w:p>
      <w:pPr>
        <w:pStyle w:val="TOC2"/>
      </w:pPr>
      <w:hyperlink w:anchor="aries_heading_178" w:history="1">
        <w:r>
          <w:t>Што воопшто не е измерено</w:t>
        </w:r>
      </w:hyperlink>
    </w:p>
    <w:p>
      <w:pPr>
        <w:pStyle w:val="TOC2"/>
      </w:pPr>
      <w:hyperlink w:anchor="aries_heading_182" w:history="1">
        <w:r>
          <w:t>Граница на архитектонските тврдења</w:t>
        </w:r>
      </w:hyperlink>
    </w:p>
    <w:p>
      <w:pPr>
        <w:pStyle w:val="TOC1"/>
      </w:pPr>
      <w:hyperlink w:anchor="aries_heading_187" w:history="1">
        <w:r>
          <w:t>Заклучок</w:t>
        </w:r>
      </w:hyperlink>
    </w:p>
    <w:p>
      <w:pPr>
        <w:pStyle w:val="TOC2"/>
      </w:pPr>
      <w:hyperlink w:anchor="aries_heading_188" w:history="1">
        <w:r>
          <w:t>Изградено, испитано и ограничено</w:t>
        </w:r>
      </w:hyperlink>
    </w:p>
    <w:p>
      <w:pPr>
        <w:pStyle w:val="TOC2"/>
      </w:pPr>
      <w:hyperlink w:anchor="aries_heading_194" w:history="1">
        <w:r>
          <w:t>Подготовка за одбрана и понатамошна работа</w:t>
        </w:r>
      </w:hyperlink>
    </w:p>
    <w:p>
      <w:pPr>
        <w:pStyle w:val="TOC1"/>
      </w:pPr>
      <w:hyperlink w:anchor="aries_heading_197" w:history="1">
        <w:r>
          <w:t>Библиографија</w:t>
        </w:r>
      </w:hyperlink>
    </w:p>
    <w:p>
      <w:pPr>
        <w:pStyle w:val="TOC1"/>
      </w:pPr>
      <w:hyperlink w:anchor="aries_heading_206" w:history="1">
        <w:r>
          <w:t>Прилог: визуелен преглед на интерфејсот</w:t>
        </w:r>
      </w:hyperlink>
    </w:p>
    <w:p>
      <w:pPr>
        <w:pStyle w:val="TOC1"/>
      </w:pPr>
      <w:hyperlink w:anchor="aries_heading_209" w:history="1">
        <w:r>
          <w:t>Прилог: преглед со втор AI-агент</w:t>
        </w:r>
      </w:hyperlink>
    </w:p>
    <w:p>
      <w:pPr>
        <w:pStyle w:val="TOC2"/>
      </w:pPr>
      <w:hyperlink w:anchor="aries_heading_214" w:history="1">
        <w:r>
          <w:t>Инструментот беше измерен пред да биде употребен</w:t>
        </w:r>
      </w:hyperlink>
    </w:p>
    <w:p>
      <w:pPr>
        <w:spacing w:after="0"/>
      </w:pPr>
      <w:r>
        <w:fldChar w:fldCharType="end"/>
      </w:r>
    </w:p>
    <w:p>
      <w:r>
        <w:br w:type="page"/>
      </w:r>
    </w:p>
    <w:p>
      <w:pPr>
        <w:pStyle w:val="ARIESIndexHeading"/>
        <w:keepNext/>
      </w:pPr>
      <w:r>
        <w:t>Преглед на сликите</w:t>
      </w:r>
    </w:p>
    <w:p>
      <w:pPr>
        <w:spacing w:after="0"/>
      </w:pPr>
      <w:r>
        <w:fldChar w:fldCharType="begin" w:dirty="true"/>
      </w:r>
      <w:r>
        <w:instrText xml:space="preserve"> TOC \c "Figure" \h \z </w:instrText>
      </w:r>
      <w:r>
        <w:fldChar w:fldCharType="separate"/>
      </w:r>
    </w:p>
    <w:p>
      <w:pPr>
        <w:pStyle w:val="ARIESFigureIndex"/>
      </w:pPr>
      <w:hyperlink w:anchor="aries_figure_1" w:history="1">
        <w:r>
          <w:t>Слика 1. Слоеви на евалуација</w:t>
        </w:r>
      </w:hyperlink>
    </w:p>
    <w:p>
      <w:pPr>
        <w:pStyle w:val="ARIESFigureIndex"/>
      </w:pPr>
      <w:hyperlink w:anchor="aries_figure_2" w:history="1">
        <w:r>
          <w:t>Слика 2. Архитектура на високо ниво</w:t>
        </w:r>
      </w:hyperlink>
    </w:p>
    <w:p>
      <w:pPr>
        <w:pStyle w:val="ARIESFigureIndex"/>
      </w:pPr>
      <w:hyperlink w:anchor="aries_figure_3" w:history="1">
        <w:r>
          <w:t>Слика 3. Компонентна архитектура</w:t>
        </w:r>
      </w:hyperlink>
    </w:p>
    <w:p>
      <w:pPr>
        <w:pStyle w:val="ARIESFigureIndex"/>
      </w:pPr>
      <w:hyperlink w:anchor="aries_figure_4" w:history="1">
        <w:r>
          <w:t>Слика 4. Договор на една способност</w:t>
        </w:r>
      </w:hyperlink>
    </w:p>
    <w:p>
      <w:pPr>
        <w:pStyle w:val="ARIESFigureIndex"/>
      </w:pPr>
      <w:hyperlink w:anchor="aries_figure_5" w:history="1">
        <w:r>
          <w:t>Слика 5. Агентско планирање по еден чекор</w:t>
        </w:r>
      </w:hyperlink>
    </w:p>
    <w:p>
      <w:pPr>
        <w:pStyle w:val="ARIESFigureIndex"/>
      </w:pPr>
      <w:hyperlink w:anchor="aries_figure_6" w:history="1">
        <w:r>
          <w:t>Слика 6. Секвенца на извршување на ниско ниво</w:t>
        </w:r>
      </w:hyperlink>
    </w:p>
    <w:p>
      <w:pPr>
        <w:pStyle w:val="ARIESFigureIndex"/>
      </w:pPr>
      <w:hyperlink w:anchor="aries_figure_7" w:history="1">
        <w:r>
          <w:t>Слика 7. Четиригранков дизајн</w:t>
        </w:r>
      </w:hyperlink>
    </w:p>
    <w:p>
      <w:pPr>
        <w:pStyle w:val="ARIESFigureIndex"/>
      </w:pPr>
      <w:hyperlink w:anchor="aries_figure_8" w:history="1">
        <w:r>
          <w:t>Слика 8. Дистрибуции на доверливост и ROC</w:t>
        </w:r>
      </w:hyperlink>
    </w:p>
    <w:p>
      <w:pPr>
        <w:pStyle w:val="ARIESFigureIndex"/>
      </w:pPr>
      <w:hyperlink w:anchor="aries_figure_9" w:history="1">
        <w:r>
          <w:t>Слика 9. Четири метрики на аблацијата</w:t>
        </w:r>
      </w:hyperlink>
    </w:p>
    <w:p>
      <w:pPr>
        <w:pStyle w:val="ARIESFigureIndex"/>
      </w:pPr>
      <w:hyperlink w:anchor="aries_figure_10" w:history="1">
        <w:r>
          <w:t>Слика 10. Бинарни матрици на одлуки за A0–A3</w:t>
        </w:r>
      </w:hyperlink>
    </w:p>
    <w:p>
      <w:pPr>
        <w:pStyle w:val="ARIESFigureIndex"/>
      </w:pPr>
      <w:hyperlink w:anchor="aries_figure_11" w:history="1">
        <w:r>
          <w:t>Слика 11. Распределба по вистинска класа во A3</w:t>
        </w:r>
      </w:hyperlink>
    </w:p>
    <w:p>
      <w:pPr>
        <w:pStyle w:val="ARIESFigureIndex"/>
      </w:pPr>
      <w:hyperlink w:anchor="aries_figure_12" w:history="1">
        <w:r>
          <w:t>Слика 12. Спарена анализа A1→A3</w:t>
        </w:r>
      </w:hyperlink>
    </w:p>
    <w:p>
      <w:pPr>
        <w:pStyle w:val="ARIESFigureIndex"/>
      </w:pPr>
      <w:hyperlink w:anchor="aries_figure_13" w:history="1">
        <w:r>
          <w:t>Слика 13. Поединечни спарени примери</w:t>
        </w:r>
      </w:hyperlink>
    </w:p>
    <w:p>
      <w:pPr>
        <w:pStyle w:val="ARIESFigureIndex"/>
      </w:pPr>
      <w:hyperlink w:anchor="aries_figure_14" w:history="1">
        <w:r>
          <w:t>Слика 14. Историските оценки на 90 мешани случаи: 75 агентски задачи преку HTTP и 15 изолирани тестови на способности</w:t>
        </w:r>
      </w:hyperlink>
    </w:p>
    <w:p>
      <w:pPr>
        <w:pStyle w:val="ARIESFigureIndex"/>
      </w:pPr>
      <w:hyperlink w:anchor="aries_figure_15" w:history="1">
        <w:r>
          <w:t>Слика 15. Распределба на времињата по мерна патека</w:t>
        </w:r>
      </w:hyperlink>
    </w:p>
    <w:p>
      <w:pPr>
        <w:pStyle w:val="ARIESFigureIndex"/>
      </w:pPr>
      <w:hyperlink w:anchor="aries_figure_16" w:history="1">
        <w:r>
          <w:t>Слика 16. Анализа на oo-02</w:t>
        </w:r>
      </w:hyperlink>
    </w:p>
    <w:p>
      <w:pPr>
        <w:pStyle w:val="ARIESFigureIndex"/>
      </w:pPr>
      <w:hyperlink w:anchor="aries_figure_17" w:history="1">
        <w:r>
          <w:t>Слика 17. Анализа на ra-05</w:t>
        </w:r>
      </w:hyperlink>
    </w:p>
    <w:p>
      <w:pPr>
        <w:pStyle w:val="ARIESFigureIndex"/>
      </w:pPr>
      <w:hyperlink w:anchor="aries_figure_18" w:history="1">
        <w:r>
          <w:t>Слика 18. Историска класификација на 58 верификатори, 57 со извршен доказ</w:t>
        </w:r>
      </w:hyperlink>
    </w:p>
    <w:p>
      <w:pPr>
        <w:pStyle w:val="ARIESFigureIndex"/>
      </w:pPr>
      <w:hyperlink w:anchor="aries_figure_19" w:history="1">
        <w:r>
          <w:t>Слика 19. Покриеност и класи на верификација</w:t>
        </w:r>
      </w:hyperlink>
    </w:p>
    <w:p>
      <w:pPr>
        <w:pStyle w:val="ARIESFigureIndex"/>
      </w:pPr>
      <w:hyperlink w:anchor="aries_figure_20" w:history="1">
        <w:r>
          <w:t>Слика 20. Дизајн на новата евалуација</w:t>
        </w:r>
      </w:hyperlink>
    </w:p>
    <w:p>
      <w:pPr>
        <w:pStyle w:val="ARIESFigureIndex"/>
      </w:pPr>
      <w:hyperlink w:anchor="aries_figure_21" w:history="1">
        <w:r>
          <w:t>Слика 21. Три повторувања по гранка</w:t>
        </w:r>
      </w:hyperlink>
    </w:p>
    <w:p>
      <w:pPr>
        <w:pStyle w:val="ARIESFigureIndex"/>
      </w:pPr>
      <w:hyperlink w:anchor="aries_figure_22" w:history="1">
        <w:r>
          <w:t>Слика 22. Споредба на бинарната и семантичката точност</w:t>
        </w:r>
      </w:hyperlink>
    </w:p>
    <w:p>
      <w:pPr>
        <w:pStyle w:val="ARIESFigureIndex"/>
      </w:pPr>
      <w:hyperlink w:anchor="aries_figure_23" w:history="1">
        <w:r>
          <w:t>Слика 23. A3: распределба на одговорите по класа</w:t>
        </w:r>
      </w:hyperlink>
    </w:p>
    <w:p>
      <w:pPr>
        <w:pStyle w:val="ARIESFigureIndex"/>
      </w:pPr>
      <w:hyperlink w:anchor="aries_figure_24" w:history="1">
        <w:r>
          <w:t>Слика 24. Одделен тест на вистинскиот планер</w:t>
        </w:r>
      </w:hyperlink>
    </w:p>
    <w:p>
      <w:pPr>
        <w:pStyle w:val="ARIESFigureIndex"/>
      </w:pPr>
      <w:hyperlink w:anchor="aries_figure_25" w:history="1">
        <w:r>
          <w:t>Слика 25. Три реално испробани исходи во изолиран процес</w:t>
        </w:r>
      </w:hyperlink>
    </w:p>
    <w:p>
      <w:pPr>
        <w:pStyle w:val="ARIESFigureIndex"/>
      </w:pPr>
      <w:hyperlink w:anchor="aries_figure_26" w:history="1">
        <w:r>
          <w:t>Слика 26. Карта на валидноста</w:t>
        </w:r>
      </w:hyperlink>
    </w:p>
    <w:p>
      <w:pPr>
        <w:pStyle w:val="ARIESFigureIndex"/>
      </w:pPr>
      <w:hyperlink w:anchor="aries_figure_27" w:history="1">
        <w:r>
          <w:t>Слика 27. Историски приказ на преглед на задача</w:t>
        </w:r>
      </w:hyperlink>
    </w:p>
    <w:p>
      <w:pPr>
        <w:pStyle w:val="ARIESFigureIndex"/>
      </w:pPr>
      <w:hyperlink w:anchor="aries_figure_28" w:history="1">
        <w:r>
          <w:t>Слика 28. Што најде независниот преглед, и што обори</w:t>
        </w:r>
      </w:hyperlink>
    </w:p>
    <w:p>
      <w:pPr>
        <w:spacing w:after="0"/>
      </w:pPr>
      <w:r>
        <w:fldChar w:fldCharType="end"/>
      </w:r>
    </w:p>
    <w:p>
      <w:r>
        <w:br w:type="page"/>
      </w:r>
    </w:p>
    <w:p>
      <w:bookmarkStart w:id="1" w:name="aries_heading_0"/>
      <w:pPr>
        <w:pStyle w:val="Heading1"/>
      </w:pPr>
      <w:r>
        <w:t>Апстракт</w:t>
      </w:r>
      <w:bookmarkEnd w:id="1"/>
    </w:p>
    <w:p>
      <w:pPr/>
      <w:r>
        <w:rPr>
          <w:b/>
        </w:rPr>
        <w:t>Работен нацрт со контролирана евалуација и материјали за одбрана.</w:t>
      </w:r>
      <w:r>
        <w:t xml:space="preserve"> ARIES е прототип на интелигентен агентски систем за Linux базиран на големи јазични модели. Трудот испитува како описот на способности и контекстот за ограничувањата влијаат врз одлуката да се дејствува, да се побара појаснување или да се одбие. Локалниот qwen2.5:7b се комбинира со правила, структурирано планирање, валидирани способности и проверка на исходот.</w:t>
      </w:r>
    </w:p>
    <w:p>
      <w:pPr/>
      <w:r>
        <w:t xml:space="preserve">Контролираната евалуација користи замрзнат код, исти 225 барања, четири конфигурации и три повторувања. A1 и A3 имаат иста просечна бинарна точност, 68,6%, разлика 0,0 процентни поени. Описниот 95% интервал од спареното преземање примероци по случај е [-5,6; 6,1] процентни поени. Однапред зададениот заеднички критериум </w:t>
      </w:r>
      <w:r>
        <w:rPr>
          <w:b/>
        </w:rPr>
        <w:t>не е исполнет</w:t>
      </w:r>
      <w:r>
        <w:t>. Протоколот и ознаките се зачувани пред новата инференција.</w:t>
      </w:r>
    </w:p>
    <w:p>
      <w:pPr/>
      <w:r>
        <w:t>Во одделен тест на планерот, 72/72 одговори се структурно валидни и 68/72 точно се совпаѓаат со однапред зададената способност и аргументи. Четирите несовпаѓања користат веројатна соодветна алтернатива, што открива ограничување на строгиот еталон. Одделната демонстрација помина со три од три сценарија во изолирана локална конфигурација со исклучен рутер; првата проба со SQLite-блокада е зачувана и објаснета.</w:t>
      </w:r>
    </w:p>
    <w:p>
      <w:pPr/>
      <w:r>
        <w:t>Историските мерења се одделени од новиот пакет: 75 HTTP-задачи, 15 директни проверки со дефекти и дневник со 1.010 од 8.285 чекори што стигнале до верификатор. Историски независни се 35 од 58 проверки; 47/48 е прецизност на воздржување, а не точност на целиот систем.</w:t>
      </w:r>
    </w:p>
    <w:p>
      <w:pPr/>
      <w:r>
        <w:t>Ограничувања се една машина и еден модел, повторно користена авторска фикстура, AI-означување без втор човечки оценувач и неизмерена целосна говорна патека. Придонесот е проверлив агентски прототип и контролирана анализа на неговото одлучување.</w:t>
      </w:r>
    </w:p>
    <w:p>
      <w:pPr/>
      <w:r>
        <w:rPr>
          <w:b/>
        </w:rPr>
        <w:t>Клучни зборови:</w:t>
      </w:r>
      <w:r>
        <w:t xml:space="preserve"> интелигентни агенти, големи јазични модели, планирање, воздржување, верификација, повторена евалуација</w:t>
      </w:r>
    </w:p>
    <w:p>
      <w:bookmarkStart w:id="8" w:name="aries_heading_7"/>
      <w:pPr>
        <w:pStyle w:val="Heading1"/>
      </w:pPr>
      <w:r>
        <w:t>Вовед</w:t>
      </w:r>
      <w:bookmarkEnd w:id="8"/>
    </w:p>
    <w:p>
      <w:bookmarkStart w:id="9" w:name="aries_heading_8"/>
      <w:pPr>
        <w:pStyle w:val="Heading2"/>
      </w:pPr>
      <w:r>
        <w:t>Проблем и истражувачко прашање</w:t>
      </w:r>
      <w:bookmarkEnd w:id="9"/>
    </w:p>
    <w:p>
      <w:pPr/>
      <w:r>
        <w:t>LLM што добива пристап до алатки треба да одлучи дали барањето е изводливо, која способност да ја избере и дали собраните докази го оправдуваат пријавениот исход. Разбирањето на реченицата не е доволно: задача може да биде јасна, но да бара непостоечка способност, недостапен уред или појаснување од корисникот.</w:t>
      </w:r>
    </w:p>
    <w:p>
      <w:pPr/>
      <w:r>
        <w:t xml:space="preserve">Затоа дипломската го проучува влијанието на </w:t>
      </w:r>
      <w:r>
        <w:rPr>
          <w:b/>
        </w:rPr>
        <w:t>описот на достапни способности и тековната состојба на компјутерот врз одлучувањето на агентот</w:t>
      </w:r>
      <w:r>
        <w:t>. Прашањето „Што смее агентот да тврди за себе?“ ја поврзува одлуката пред дејството со доказот по извршувањето.</w:t>
      </w:r>
    </w:p>
    <w:p>
      <w:pPr>
        <w:keepNext/>
        <w:spacing w:before="160" w:after="60"/>
        <w:jc w:val="center"/>
      </w:pPr>
      <w:r>
        <w:drawing>
          <wp:inline xmlns:a="http://schemas.openxmlformats.org/drawingml/2006/main" xmlns:pic="http://schemas.openxmlformats.org/drawingml/2006/picture">
            <wp:extent cx="5760000" cy="4662857"/>
            <wp:docPr id="1" name="Picture 1" descr="Слоеви на евалуација. Одлуката, агентското извршување, директната способност и говорната патека имаат различни именители." title="measurement_layers"/>
            <wp:cNvGraphicFramePr>
              <a:graphicFrameLocks noChangeAspect="1"/>
            </wp:cNvGraphicFramePr>
            <a:graphic>
              <a:graphicData uri="http://schemas.openxmlformats.org/drawingml/2006/picture">
                <pic:pic>
                  <pic:nvPicPr>
                    <pic:cNvPr id="0" name="measurement_layers.png"/>
                    <pic:cNvPicPr/>
                  </pic:nvPicPr>
                  <pic:blipFill>
                    <a:blip r:embed="rId10"/>
                    <a:stretch>
                      <a:fillRect/>
                    </a:stretch>
                  </pic:blipFill>
                  <pic:spPr>
                    <a:xfrm>
                      <a:off x="0" y="0"/>
                      <a:ext cx="5760000" cy="4662857"/>
                    </a:xfrm>
                    <a:prstGeom prst="rect"/>
                  </pic:spPr>
                </pic:pic>
              </a:graphicData>
            </a:graphic>
          </wp:inline>
        </w:drawing>
      </w:r>
    </w:p>
    <w:p>
      <w:bookmarkStart w:id="10001" w:name="aries_figure_1"/>
      <w:pPr>
        <w:pStyle w:val="Caption"/>
      </w:pPr>
      <w:bookmarkEnd w:id="10001"/>
      <w:r>
        <w:rPr>
          <w:b/>
        </w:rPr>
        <w:t xml:space="preserve">Слика </w:t>
      </w:r>
      <w:r>
        <w:fldChar w:fldCharType="begin" w:dirty="true"/>
      </w:r>
      <w:r>
        <w:instrText xml:space="preserve"> SEQ Figure \* ARABIC </w:instrText>
      </w:r>
      <w:r>
        <w:fldChar w:fldCharType="separate"/>
      </w:r>
      <w:r>
        <w:t>1</w:t>
      </w:r>
      <w:r>
        <w:fldChar w:fldCharType="end"/>
      </w:r>
      <w:r>
        <w:rPr>
          <w:b/>
        </w:rPr>
        <w:t xml:space="preserve">. </w:t>
      </w:r>
      <w:r>
        <w:t>Слоеви на евалуација. Одлуката, агентското извршување, директната способност и говорната патека имаат различни именители.</w:t>
      </w:r>
    </w:p>
    <w:p>
      <w:bookmarkStart w:id="13" w:name="aries_heading_12"/>
      <w:pPr>
        <w:pStyle w:val="Heading2"/>
      </w:pPr>
      <w:r>
        <w:t>Развиениот прототип</w:t>
      </w:r>
      <w:bookmarkEnd w:id="13"/>
    </w:p>
    <w:p>
      <w:pPr/>
      <w:r>
        <w:t>ARIES прима цели на природен јазик за Ubuntu со GNOME. Рутирањето ги комбинира детерминистичките правила со локален LLM. Планерот предлага по еден структуриран чекор, чии аргументи се валидираат пред повикувањето на способноста. Набљудувањето по чекорот влегува во следната одлука; типизираните грешки и буџетите ја ограничуваат јамката.</w:t>
      </w:r>
    </w:p>
    <w:p>
      <w:pPr>
        <w:keepNext/>
        <w:spacing w:before="160" w:after="60"/>
        <w:jc w:val="center"/>
      </w:pPr>
      <w:r>
        <w:drawing>
          <wp:inline xmlns:a="http://schemas.openxmlformats.org/drawingml/2006/main" xmlns:pic="http://schemas.openxmlformats.org/drawingml/2006/picture">
            <wp:extent cx="5760000" cy="5081905"/>
            <wp:docPr id="2" name="Picture 2" descr="Архитектура на високо ниво. Човекот, локалниот ARIES, моделите и Linux-околината се разделени со експлицитни граници." title="arch_context"/>
            <wp:cNvGraphicFramePr>
              <a:graphicFrameLocks noChangeAspect="1"/>
            </wp:cNvGraphicFramePr>
            <a:graphic>
              <a:graphicData uri="http://schemas.openxmlformats.org/drawingml/2006/picture">
                <pic:pic>
                  <pic:nvPicPr>
                    <pic:cNvPr id="0" name="arch_context.png"/>
                    <pic:cNvPicPr/>
                  </pic:nvPicPr>
                  <pic:blipFill>
                    <a:blip r:embed="rId11"/>
                    <a:stretch>
                      <a:fillRect/>
                    </a:stretch>
                  </pic:blipFill>
                  <pic:spPr>
                    <a:xfrm>
                      <a:off x="0" y="0"/>
                      <a:ext cx="5760000" cy="5081905"/>
                    </a:xfrm>
                    <a:prstGeom prst="rect"/>
                  </pic:spPr>
                </pic:pic>
              </a:graphicData>
            </a:graphic>
          </wp:inline>
        </w:drawing>
      </w:r>
    </w:p>
    <w:p>
      <w:bookmarkStart w:id="10002" w:name="aries_figure_2"/>
      <w:pPr>
        <w:pStyle w:val="Caption"/>
      </w:pPr>
      <w:bookmarkEnd w:id="10002"/>
      <w:r>
        <w:rPr>
          <w:b/>
        </w:rPr>
        <w:t xml:space="preserve">Слика </w:t>
      </w:r>
      <w:r>
        <w:fldChar w:fldCharType="begin" w:dirty="true"/>
      </w:r>
      <w:r>
        <w:instrText xml:space="preserve"> SEQ Figure \* ARABIC </w:instrText>
      </w:r>
      <w:r>
        <w:fldChar w:fldCharType="separate"/>
      </w:r>
      <w:r>
        <w:t>2</w:t>
      </w:r>
      <w:r>
        <w:fldChar w:fldCharType="end"/>
      </w:r>
      <w:r>
        <w:rPr>
          <w:b/>
        </w:rPr>
        <w:t xml:space="preserve">. </w:t>
      </w:r>
      <w:r>
        <w:t>Архитектура на високо ниво. Човекот, локалниот ARIES, моделите и Linux-околината се разделени со експлицитни граници.</w:t>
      </w:r>
    </w:p>
    <w:p>
      <w:pPr/>
      <w:r>
        <w:t xml:space="preserve">Историскиот инвентар содржи 58 регистрирани способности. Секоја има шема на аргументи, деклариран ефект, извршител и договор за проверка. </w:t>
      </w:r>
      <w:r>
        <w:rPr>
          <w:b/>
        </w:rPr>
        <w:t>Посебна функција за проверка не значи автоматски независен доказ.</w:t>
      </w:r>
      <w:r>
        <w:t xml:space="preserve"> На пример, читањето на </w:t>
      </w:r>
      <w:r>
        <w:rPr>
          <w:rFonts w:ascii="DejaVu Sans Mono" w:hAnsi="DejaVu Sans Mono"/>
          <w:sz w:val="19"/>
        </w:rPr>
        <w:t>InvocationID</w:t>
      </w:r>
      <w:r>
        <w:t xml:space="preserve"> пред и по рестарт на сервис е посилно од повторување на успешниот излезен статус на извршителот.</w:t>
      </w:r>
    </w:p>
    <w:p>
      <w:pPr/>
      <w:r>
        <w:t>Инсталацијата, systemd, базата, гласовниот интерфејс и дијагностиката се инфраструктура. Нивната детална документација е издвоена во ARIES_01_Tehnicka.pdf и ARIES_02_Dokumentacija.pdf.</w:t>
      </w:r>
    </w:p>
    <w:p>
      <w:pPr>
        <w:keepNext/>
        <w:spacing w:before="160" w:after="60"/>
        <w:jc w:val="center"/>
      </w:pPr>
      <w:r>
        <w:drawing>
          <wp:inline xmlns:a="http://schemas.openxmlformats.org/drawingml/2006/main" xmlns:pic="http://schemas.openxmlformats.org/drawingml/2006/picture">
            <wp:extent cx="5760000" cy="5207619"/>
            <wp:docPr id="3" name="Picture 3" descr="Компонентна архитектура. Локалниот модел предлага одлуки; валидаторите, политиката и извршувачите ја спроведуваат дозволената акција." title="arch_containers"/>
            <wp:cNvGraphicFramePr>
              <a:graphicFrameLocks noChangeAspect="1"/>
            </wp:cNvGraphicFramePr>
            <a:graphic>
              <a:graphicData uri="http://schemas.openxmlformats.org/drawingml/2006/picture">
                <pic:pic>
                  <pic:nvPicPr>
                    <pic:cNvPr id="0" name="arch_containers.png"/>
                    <pic:cNvPicPr/>
                  </pic:nvPicPr>
                  <pic:blipFill>
                    <a:blip r:embed="rId12"/>
                    <a:stretch>
                      <a:fillRect/>
                    </a:stretch>
                  </pic:blipFill>
                  <pic:spPr>
                    <a:xfrm>
                      <a:off x="0" y="0"/>
                      <a:ext cx="5760000" cy="5207619"/>
                    </a:xfrm>
                    <a:prstGeom prst="rect"/>
                  </pic:spPr>
                </pic:pic>
              </a:graphicData>
            </a:graphic>
          </wp:inline>
        </w:drawing>
      </w:r>
    </w:p>
    <w:p>
      <w:bookmarkStart w:id="10003" w:name="aries_figure_3"/>
      <w:pPr>
        <w:pStyle w:val="Caption"/>
      </w:pPr>
      <w:bookmarkEnd w:id="10003"/>
      <w:r>
        <w:rPr>
          <w:b/>
        </w:rPr>
        <w:t xml:space="preserve">Слика </w:t>
      </w:r>
      <w:r>
        <w:fldChar w:fldCharType="begin" w:dirty="true"/>
      </w:r>
      <w:r>
        <w:instrText xml:space="preserve"> SEQ Figure \* ARABIC </w:instrText>
      </w:r>
      <w:r>
        <w:fldChar w:fldCharType="separate"/>
      </w:r>
      <w:r>
        <w:t>3</w:t>
      </w:r>
      <w:r>
        <w:fldChar w:fldCharType="end"/>
      </w:r>
      <w:r>
        <w:rPr>
          <w:b/>
        </w:rPr>
        <w:t xml:space="preserve">. </w:t>
      </w:r>
      <w:r>
        <w:t>Компонентна архитектура. Локалниот модел предлага одлуки; валидаторите, политиката и извршувачите ја спроведуваат дозволената акција.</w:t>
      </w:r>
    </w:p>
    <w:p>
      <w:pPr>
        <w:pStyle w:val="ARIESAnalysis"/>
      </w:pPr>
      <w:r>
        <w:rPr>
          <w:b/>
        </w:rPr>
        <w:t>Архитектурен заклучок.</w:t>
      </w:r>
      <w:r>
        <w:t xml:space="preserve"> Интелигентното одлучување и фактичкото дејство се различни одговорности. Стрелката до моделот носи контекст и предлог; стрелката до Linux носи веќе проверен повик. Овој приказ е реконструкција од кодот, а не временски запис на еден експеримент.</w:t>
      </w:r>
    </w:p>
    <w:p>
      <w:bookmarkStart w:id="20" w:name="aries_heading_19"/>
      <w:pPr>
        <w:pStyle w:val="Heading2"/>
      </w:pPr>
      <w:r>
        <w:t>Придонес и опсег</w:t>
      </w:r>
      <w:bookmarkEnd w:id="20"/>
    </w:p>
    <w:p>
      <w:pPr/>
      <w:r>
        <w:t>Придонесот на ARIES е дизајн, имплементација и евалуација на агентски прототип што го поврзува јазичното толкување со ограничено извршување и проверка на конкретен исход. Користен е постоечки локален јазичен модел; не се тврди тренирање сопствен основен модел, нова невронска архитектура или reinforcement learning.</w:t>
      </w:r>
    </w:p>
    <w:p>
      <w:pPr/>
      <w:r>
        <w:t>Првиот придонес е одлучување со експлицитен контекст за можностите на системот. Во aries/intelligence/router.py се комбинираат правила и локален модел; capability_surface() го составува описот од каталогот, а machine_limits() додава текст за ограничувањата. Текстот содржи и сонди и рачно зададени тврдења и се кешира во процесот. Затоа експериментот ја мери користа на конкретно замрзнат контекст, а не гаранција дека агентот секогаш располага со независно проверена тековна состојба.</w:t>
      </w:r>
    </w:p>
    <w:p>
      <w:pPr/>
      <w:r>
        <w:t>Вториот придонес е агентска јамка со јасна граница меѓу предлог и овластено дејство. Во aries/workspace/agent_planner.py моделот предлага структуриран следен чекор, способност и аргументи. Во agent.py и registry.py кодот ги проверува шемата, политиката, одобрувањето и преостанатиот буџет, го повикува извршителот и го запишува набљудувањето. Правилниот JSON докажува структурна усогласеност, но не и семантички правилна способност. Затоа одлучувањето на рутерот и точниот избор на способност од планерот се различни предмети на евалуација.</w:t>
      </w:r>
    </w:p>
    <w:p>
      <w:pPr/>
      <w:r>
        <w:t>Третиот придонес е следлив договор за исходот. contracts.py ги поврзува барањата на поддржаната цел со чекорите и доказите. agent.completion() бара постоечки проверени референци и свежо потврдување на релевантниот исход. WorkspaceGoal го зачувува текот како JSON со чекори и докази во SQL-ред. Одделна verifier-функција не е автоматски независна имплементација: file.read, на пример, повторно чита и споредува патека и SHA-256, но користи ист I/O-помошник. Неговиот доказ е за согласување на прочитаните бајти, не за вистинитоста на текстот.</w:t>
      </w:r>
    </w:p>
    <w:p>
      <w:pPr/>
      <w:r>
        <w:t>Четвртиот придонес е проверлива експериментална постапка: замрзнати извори и поставки, однапред зачувани ознаки, сурови одлуки, одделни именители за секоја мерка и повторени проби. Бинарната одлука, семантичкиот proxy на рутерот, точната способност и аргументи на планерот, и исходот од демонстрацијата не се собираат во еден процент на „целосен успех“. Неуспешен однапред поставен критериум останува пријавен како таков.</w:t>
      </w:r>
    </w:p>
    <w:p>
      <w:pPr/>
      <w:r>
        <w:t>Развојот и подготовката на материјалите се AI-потпомогнати. Описот на проектниот придонес не потврдува дека студентот лично ја напишал секоја линија код. На одбраната сопствената улога во поставувањето на проблемот, изборот на дизајн, интеграцијата, проверките и толкувањето треба да се наведе точно и да се поткрепи со разбирање на конкретните артефакти. Втор AI-агент што проверува ознаки или код не се претставува како независен човечки оценувач.</w:t>
      </w:r>
    </w:p>
    <w:p>
      <w:bookmarkStart w:id="27" w:name="aries_heading_26"/>
      <w:pPr>
        <w:pStyle w:val="Heading2"/>
      </w:pPr>
      <w:r>
        <w:t>Структура</w:t>
      </w:r>
      <w:bookmarkEnd w:id="27"/>
    </w:p>
    <w:p>
      <w:pPr/>
      <w:r>
        <w:t>По сродните истражувања следуваат архитектурата потребна за експериментите, дефинициите на метриките, резултатите за одлучување и извршување, анализата на верификаторите и ограничувањата. Новото поглавје ја прикажува контролираната евалуација; заклучокот ги разделува постигнатите резултати од преостанатите ограничувања. Прилогот го документира одделниот AI-преглед.</w:t>
      </w:r>
    </w:p>
    <w:p>
      <w:bookmarkStart w:id="29" w:name="aries_heading_28"/>
      <w:pPr>
        <w:pStyle w:val="Heading1"/>
      </w:pPr>
      <w:r>
        <w:t>Сродни истражувања</w:t>
      </w:r>
      <w:bookmarkEnd w:id="29"/>
    </w:p>
    <w:p>
      <w:bookmarkStart w:id="30" w:name="aries_heading_29"/>
      <w:pPr>
        <w:pStyle w:val="Heading2"/>
      </w:pPr>
      <w:r>
        <w:t>Лажен успех како појава</w:t>
      </w:r>
      <w:bookmarkEnd w:id="30"/>
    </w:p>
    <w:p>
      <w:pPr/>
      <w:r>
        <w:t>Laksh Advani [1] анализира лажен успех: агентот пријавува завршување без постигнат побаран исход. Тоа ја мотивира проверката на крајната состојба во ARIES; самопријавениот успех е недоволен како единствен доказ. Оракулот исто така мора да се провери, особено кога бараниот исход бил исполнет уште пред задачата.</w:t>
      </w:r>
    </w:p>
    <w:p>
      <w:bookmarkStart w:id="32" w:name="aries_heading_31"/>
      <w:pPr>
        <w:pStyle w:val="Heading2"/>
      </w:pPr>
      <w:r>
        <w:t>Интервенција пред дејството</w:t>
      </w:r>
      <w:bookmarkEnd w:id="32"/>
    </w:p>
    <w:p>
      <w:pPr/>
      <w:r>
        <w:t xml:space="preserve">Vikas Reddy, Sumanth Reddy Challaram и Abhishek Basu [3] испитуваат детерминистички порти пред дејства што менуваат состојба, со тековната околина и предложениот повик како влез. Во главниот експеримент пријавуваат 74/250 наспроти 105/250 успешни случаи. ARIES испитува друго место на интервенција: описот на способности и ограничувањата се контекст за </w:t>
      </w:r>
      <w:r>
        <w:rPr>
          <w:b/>
        </w:rPr>
        <w:t>LLM-одлуката</w:t>
      </w:r>
      <w:r>
        <w:t>. Не се тврди дека само ARIES користи живи факти за околината.</w:t>
      </w:r>
    </w:p>
    <w:p>
      <w:bookmarkStart w:id="34" w:name="aries_heading_33"/>
      <w:pPr>
        <w:pStyle w:val="Heading2"/>
      </w:pPr>
      <w:r>
        <w:t>Следење на исходи и опоравување</w:t>
      </w:r>
      <w:bookmarkEnd w:id="34"/>
    </w:p>
    <w:p>
      <w:pPr/>
      <w:r>
        <w:t>Sugam Panthi и Rabab Abdelfattah [2] проверуваат резултати од поединечни алатки според инваријанти и враќаат необврзувачки извештаи со веќе достапни алатки за опоравување. Нивните контроли не утврдуваат дополнителна корист од дијагностиката над понуденото опоравување. Ова не е проверка на секое конечно агентско тврдење, ниту доказ дека дијагностиката општо е бескорисна.</w:t>
      </w:r>
    </w:p>
    <w:p>
      <w:bookmarkStart w:id="36" w:name="aries_heading_35"/>
      <w:pPr>
        <w:pStyle w:val="Heading2"/>
      </w:pPr>
      <w:r>
        <w:t>Верификација како архитектонски слој</w:t>
      </w:r>
      <w:bookmarkEnd w:id="36"/>
    </w:p>
    <w:p>
      <w:pPr/>
      <w:r>
        <w:t xml:space="preserve">Ali Afoud и Jie JW Wu [4] предлагаат V-модел и пилот за неговото детерминистичко јадро, со спарени проверки на единици и прифаќање; интеграцискиот пар не е вклучен во пилотот. Раздвојувањето </w:t>
      </w:r>
      <w:r>
        <w:rPr>
          <w:rFonts w:ascii="DejaVu Sans Mono" w:hAnsi="DejaVu Sans Mono"/>
          <w:sz w:val="19"/>
        </w:rPr>
        <w:t>executed</w:t>
      </w:r>
      <w:r>
        <w:t>/</w:t>
      </w:r>
      <w:r>
        <w:rPr>
          <w:rFonts w:ascii="DejaVu Sans Mono" w:hAnsi="DejaVu Sans Mono"/>
          <w:sz w:val="19"/>
        </w:rPr>
        <w:t>verified</w:t>
      </w:r>
      <w:r>
        <w:t xml:space="preserve"> во ARIES е во согласност со овој образец. Овде се анализира колку имплементираните проверки навистина обезбедуваат независен доказ.</w:t>
      </w:r>
    </w:p>
    <w:p>
      <w:bookmarkStart w:id="38" w:name="aries_heading_37"/>
      <w:pPr>
        <w:pStyle w:val="Heading2"/>
      </w:pPr>
      <w:r>
        <w:t>Позиција на трудот</w:t>
      </w:r>
      <w:bookmarkEnd w:id="38"/>
    </w:p>
    <w:p>
      <w:pPr/>
      <w:r>
        <w:t>Придонесот е ограничен на одлучувањето на прототипот со генериран опис на способности и измерени ограничувања на домаќинот. Динамичкото генерирање го намалува ризикот од застарен рачно одржуван опис, но не гарантира целосна или секогаш точна претстава за можностите. Не е спроведен систематски преглед на литературата и не се тврди апсолутна новина на механизмот.</w:t>
      </w:r>
    </w:p>
    <w:p>
      <w:bookmarkStart w:id="40" w:name="aries_heading_39"/>
      <w:pPr>
        <w:pStyle w:val="Heading1"/>
      </w:pPr>
      <w:r>
        <w:t>Методологија</w:t>
      </w:r>
      <w:bookmarkEnd w:id="40"/>
    </w:p>
    <w:p>
      <w:bookmarkStart w:id="41" w:name="aries_heading_40"/>
      <w:pPr>
        <w:pStyle w:val="Heading2"/>
      </w:pPr>
      <w:r>
        <w:t>Архитектура, онолку колку што е потребна</w:t>
      </w:r>
      <w:bookmarkEnd w:id="41"/>
    </w:p>
    <w:p>
      <w:pPr>
        <w:keepNext/>
        <w:spacing w:before="160" w:after="60"/>
        <w:jc w:val="center"/>
      </w:pPr>
      <w:r>
        <w:drawing>
          <wp:inline xmlns:a="http://schemas.openxmlformats.org/drawingml/2006/main" xmlns:pic="http://schemas.openxmlformats.org/drawingml/2006/picture">
            <wp:extent cx="5760000" cy="5245714"/>
            <wp:docPr id="4" name="Picture 4" descr="Договор на една способност. Аргументите, ефектот, извршувачот и верификаторот имаат различни улоги во проверливиот повик." title="arch_contract"/>
            <wp:cNvGraphicFramePr>
              <a:graphicFrameLocks noChangeAspect="1"/>
            </wp:cNvGraphicFramePr>
            <a:graphic>
              <a:graphicData uri="http://schemas.openxmlformats.org/drawingml/2006/picture">
                <pic:pic>
                  <pic:nvPicPr>
                    <pic:cNvPr id="0" name="arch_contract.png"/>
                    <pic:cNvPicPr/>
                  </pic:nvPicPr>
                  <pic:blipFill>
                    <a:blip r:embed="rId13"/>
                    <a:stretch>
                      <a:fillRect/>
                    </a:stretch>
                  </pic:blipFill>
                  <pic:spPr>
                    <a:xfrm>
                      <a:off x="0" y="0"/>
                      <a:ext cx="5760000" cy="5245714"/>
                    </a:xfrm>
                    <a:prstGeom prst="rect"/>
                  </pic:spPr>
                </pic:pic>
              </a:graphicData>
            </a:graphic>
          </wp:inline>
        </w:drawing>
      </w:r>
    </w:p>
    <w:p>
      <w:bookmarkStart w:id="10004" w:name="aries_figure_4"/>
      <w:pPr>
        <w:pStyle w:val="Caption"/>
      </w:pPr>
      <w:bookmarkEnd w:id="10004"/>
      <w:r>
        <w:rPr>
          <w:b/>
        </w:rPr>
        <w:t xml:space="preserve">Слика </w:t>
      </w:r>
      <w:r>
        <w:fldChar w:fldCharType="begin" w:dirty="true"/>
      </w:r>
      <w:r>
        <w:instrText xml:space="preserve"> SEQ Figure \* ARABIC </w:instrText>
      </w:r>
      <w:r>
        <w:fldChar w:fldCharType="separate"/>
      </w:r>
      <w:r>
        <w:t>4</w:t>
      </w:r>
      <w:r>
        <w:fldChar w:fldCharType="end"/>
      </w:r>
      <w:r>
        <w:rPr>
          <w:b/>
        </w:rPr>
        <w:t xml:space="preserve">. </w:t>
      </w:r>
      <w:r>
        <w:t>Договор на една способност. Аргументите, ефектот, извршувачот и верификаторот имаат различни улоги во проверливиот повик.</w:t>
      </w:r>
    </w:p>
    <w:p>
      <w:pPr/>
      <w:r>
        <w:t>Регистарот држи 58 способности: 29 читаат, 29 менуваат состојба, 12 бараат изречно одобрување, а 17 немаат статична ознака за задолжително одобрување во декларацијата; други правила на политиката сепак може да побараат одобрување. Десет различни класи на ефект се разликуваат, зашто „отвора прозорец“ и „пишува датотека“ не носат ист ризик.</w:t>
      </w:r>
    </w:p>
    <w:p>
      <w:pPr>
        <w:keepNext/>
        <w:spacing w:before="160" w:after="60"/>
        <w:jc w:val="center"/>
      </w:pPr>
      <w:r>
        <w:drawing>
          <wp:inline xmlns:a="http://schemas.openxmlformats.org/drawingml/2006/main" xmlns:pic="http://schemas.openxmlformats.org/drawingml/2006/picture">
            <wp:extent cx="5760000" cy="5272381"/>
            <wp:docPr id="5" name="Picture 5" descr="Агентско планирање по еден чекор. Контекстот и набљудувањето ја хранат следната одлука, а валидацијата и буџетите ја ограничуваат јамката." title="arch_planner"/>
            <wp:cNvGraphicFramePr>
              <a:graphicFrameLocks noChangeAspect="1"/>
            </wp:cNvGraphicFramePr>
            <a:graphic>
              <a:graphicData uri="http://schemas.openxmlformats.org/drawingml/2006/picture">
                <pic:pic>
                  <pic:nvPicPr>
                    <pic:cNvPr id="0" name="arch_planner.png"/>
                    <pic:cNvPicPr/>
                  </pic:nvPicPr>
                  <pic:blipFill>
                    <a:blip r:embed="rId14"/>
                    <a:stretch>
                      <a:fillRect/>
                    </a:stretch>
                  </pic:blipFill>
                  <pic:spPr>
                    <a:xfrm>
                      <a:off x="0" y="0"/>
                      <a:ext cx="5760000" cy="5272381"/>
                    </a:xfrm>
                    <a:prstGeom prst="rect"/>
                  </pic:spPr>
                </pic:pic>
              </a:graphicData>
            </a:graphic>
          </wp:inline>
        </w:drawing>
      </w:r>
    </w:p>
    <w:p>
      <w:bookmarkStart w:id="10005" w:name="aries_figure_5"/>
      <w:pPr>
        <w:pStyle w:val="Caption"/>
      </w:pPr>
      <w:bookmarkEnd w:id="10005"/>
      <w:r>
        <w:rPr>
          <w:b/>
        </w:rPr>
        <w:t xml:space="preserve">Слика </w:t>
      </w:r>
      <w:r>
        <w:fldChar w:fldCharType="begin" w:dirty="true"/>
      </w:r>
      <w:r>
        <w:instrText xml:space="preserve"> SEQ Figure \* ARABIC </w:instrText>
      </w:r>
      <w:r>
        <w:fldChar w:fldCharType="separate"/>
      </w:r>
      <w:r>
        <w:t>5</w:t>
      </w:r>
      <w:r>
        <w:fldChar w:fldCharType="end"/>
      </w:r>
      <w:r>
        <w:rPr>
          <w:b/>
        </w:rPr>
        <w:t xml:space="preserve">. </w:t>
      </w:r>
      <w:r>
        <w:t>Агентско планирање по еден чекор. Контекстот и набљудувањето ја хранат следната одлука, а валидацијата и буџетите ја ограничуваат јамката.</w:t>
      </w:r>
    </w:p>
    <w:p>
      <w:pPr/>
      <w:r>
        <w:t xml:space="preserve">Контекстот за одлуката содржи опис на можности и ограничувања на домаќинот. Во прегледаната имплементација </w:t>
      </w:r>
      <w:r>
        <w:rPr>
          <w:rFonts w:ascii="DejaVu Sans Mono" w:hAnsi="DejaVu Sans Mono"/>
          <w:sz w:val="19"/>
        </w:rPr>
        <w:t>capability_surface()</w:t>
      </w:r>
      <w:r>
        <w:t xml:space="preserve"> чита </w:t>
      </w:r>
      <w:r>
        <w:rPr>
          <w:rFonts w:ascii="DejaVu Sans Mono" w:hAnsi="DejaVu Sans Mono"/>
          <w:sz w:val="19"/>
        </w:rPr>
        <w:t>catalogue()</w:t>
      </w:r>
      <w:r>
        <w:t xml:space="preserve"> со 54 ставки, додека извршниот регистар во историскиот инвентар има 58 способности. Тоа се различни структури. Описот се кешира во </w:t>
      </w:r>
      <w:r>
        <w:rPr>
          <w:rFonts w:ascii="DejaVu Sans Mono" w:hAnsi="DejaVu Sans Mono"/>
          <w:sz w:val="19"/>
        </w:rPr>
        <w:t>_SURFACE</w:t>
      </w:r>
      <w:r>
        <w:t xml:space="preserve">, а резултатот од </w:t>
      </w:r>
      <w:r>
        <w:rPr>
          <w:rFonts w:ascii="DejaVu Sans Mono" w:hAnsi="DejaVu Sans Mono"/>
          <w:sz w:val="19"/>
        </w:rPr>
        <w:t>introspection.limits()</w:t>
      </w:r>
      <w:r>
        <w:t xml:space="preserve"> во </w:t>
      </w:r>
      <w:r>
        <w:rPr>
          <w:rFonts w:ascii="DejaVu Sans Mono" w:hAnsi="DejaVu Sans Mono"/>
          <w:sz w:val="19"/>
        </w:rPr>
        <w:t>_LIMITS</w:t>
      </w:r>
      <w:r>
        <w:t>, до повторно вчитување на процесот. Нема повторна сонда за секое барање.</w:t>
      </w:r>
    </w:p>
    <w:p>
      <w:pPr/>
      <w:r>
        <w:t xml:space="preserve">Разликата меѓу </w:t>
      </w:r>
      <w:r>
        <w:rPr>
          <w:b/>
        </w:rPr>
        <w:t>декларирана можност</w:t>
      </w:r>
      <w:r>
        <w:t xml:space="preserve">, </w:t>
      </w:r>
      <w:r>
        <w:rPr>
          <w:b/>
        </w:rPr>
        <w:t>набљудувана достапност</w:t>
      </w:r>
      <w:r>
        <w:t xml:space="preserve"> и </w:t>
      </w:r>
      <w:r>
        <w:rPr>
          <w:b/>
        </w:rPr>
        <w:t>свежина на набљудувањето</w:t>
      </w:r>
      <w:r>
        <w:t xml:space="preserve"> е важна за толкувањето на експериментот. Додаден контекст може да ја подобри одлуката во тестот, а застарен контекст да ја влоши во изменета околина. Архитектурната слика го покажува ова како одделна граница, не како гаранција за свежина.</w:t>
      </w:r>
    </w:p>
    <w:p>
      <w:pPr>
        <w:keepNext/>
        <w:spacing w:before="160" w:after="60"/>
        <w:jc w:val="center"/>
      </w:pPr>
      <w:r>
        <w:drawing>
          <wp:inline xmlns:a="http://schemas.openxmlformats.org/drawingml/2006/main" xmlns:pic="http://schemas.openxmlformats.org/drawingml/2006/picture">
            <wp:extent cx="5760000" cy="5310476"/>
            <wp:docPr id="6" name="Picture 6" descr="Секвенца на извршување на ниско ниво. Појаснувањето, одобрувањето и негативната проверка се посебни гранки, не успешни дејства." title="arch_sequence"/>
            <wp:cNvGraphicFramePr>
              <a:graphicFrameLocks noChangeAspect="1"/>
            </wp:cNvGraphicFramePr>
            <a:graphic>
              <a:graphicData uri="http://schemas.openxmlformats.org/drawingml/2006/picture">
                <pic:pic>
                  <pic:nvPicPr>
                    <pic:cNvPr id="0" name="arch_sequence.png"/>
                    <pic:cNvPicPr/>
                  </pic:nvPicPr>
                  <pic:blipFill>
                    <a:blip r:embed="rId15"/>
                    <a:stretch>
                      <a:fillRect/>
                    </a:stretch>
                  </pic:blipFill>
                  <pic:spPr>
                    <a:xfrm>
                      <a:off x="0" y="0"/>
                      <a:ext cx="5760000" cy="5310476"/>
                    </a:xfrm>
                    <a:prstGeom prst="rect"/>
                  </pic:spPr>
                </pic:pic>
              </a:graphicData>
            </a:graphic>
          </wp:inline>
        </w:drawing>
      </w:r>
    </w:p>
    <w:p>
      <w:bookmarkStart w:id="10006" w:name="aries_figure_6"/>
      <w:pPr>
        <w:pStyle w:val="Caption"/>
      </w:pPr>
      <w:bookmarkEnd w:id="10006"/>
      <w:r>
        <w:rPr>
          <w:b/>
        </w:rPr>
        <w:t xml:space="preserve">Слика </w:t>
      </w:r>
      <w:r>
        <w:fldChar w:fldCharType="begin" w:dirty="true"/>
      </w:r>
      <w:r>
        <w:instrText xml:space="preserve"> SEQ Figure \* ARABIC </w:instrText>
      </w:r>
      <w:r>
        <w:fldChar w:fldCharType="separate"/>
      </w:r>
      <w:r>
        <w:t>6</w:t>
      </w:r>
      <w:r>
        <w:fldChar w:fldCharType="end"/>
      </w:r>
      <w:r>
        <w:rPr>
          <w:b/>
        </w:rPr>
        <w:t xml:space="preserve">. </w:t>
      </w:r>
      <w:r>
        <w:t>Секвенца на извршување на ниско ниво. Појаснувањето, одобрувањето и негативната проверка се посебни гранки, не успешни дејства.</w:t>
      </w:r>
    </w:p>
    <w:p>
      <w:pPr>
        <w:pStyle w:val="ARIESAnalysis"/>
      </w:pPr>
      <w:r>
        <w:rPr>
          <w:b/>
        </w:rPr>
        <w:t>Читање на секвенцата.</w:t>
      </w:r>
      <w:r>
        <w:t xml:space="preserve"> Коректен JSON не е доказ за правилно избрана способност. Успешен излез од алатка не е доказ за постигната цел. Затоа евалуацијата подолу ги разделува изборот на дејство, извршениот ефект и независноста на проверката.</w:t>
      </w:r>
    </w:p>
    <w:p>
      <w:bookmarkStart w:id="49" w:name="aries_heading_48"/>
      <w:pPr>
        <w:pStyle w:val="Heading2"/>
      </w:pPr>
      <w:r>
        <w:t>Дефиниции на метриките</w:t>
      </w:r>
      <w:bookmarkEnd w:id="49"/>
    </w:p>
    <w:p>
      <w:pPr/>
      <w:r>
        <w:t>Дефинициите се дадени целосно, зашто двосмисленост во дефиниција не е презентациски проблем. Во текот на овој проект три анализи извлекоа различни заклучоци од истите податоци затоа што еден именител тивко се сменил.</w:t>
      </w:r>
    </w:p>
    <w:p>
      <w:pPr/>
      <w:r>
        <w:rPr>
          <w:b/>
        </w:rPr>
        <w:t>Бинарна точност: дејствувај или не дејствувај.</w:t>
      </w:r>
      <w:r>
        <w:t xml:space="preserve"> Нека </w:t>
      </w:r>
      <w:r>
        <w:rPr>
          <w:rFonts w:ascii="DejaVu Sans Mono" w:hAnsi="DejaVu Sans Mono"/>
          <w:sz w:val="19"/>
        </w:rPr>
        <w:t>HOLD = {ASK, OUT_OF_SCOPE}</w:t>
      </w:r>
      <w:r>
        <w:t xml:space="preserve">. Се смета дека рутерот избрал дејствување кога намерата не е во </w:t>
      </w:r>
      <w:r>
        <w:rPr>
          <w:rFonts w:ascii="DejaVu Sans Mono" w:hAnsi="DejaVu Sans Mono"/>
          <w:sz w:val="19"/>
        </w:rPr>
        <w:t>HOLD</w:t>
      </w:r>
      <w:r>
        <w:t xml:space="preserve"> и не е </w:t>
      </w:r>
      <w:r>
        <w:rPr>
          <w:rFonts w:ascii="DejaVu Sans Mono" w:hAnsi="DejaVu Sans Mono"/>
          <w:sz w:val="19"/>
        </w:rPr>
        <w:t>UNKNOWN</w:t>
      </w:r>
      <w:r>
        <w:t xml:space="preserve">. Точни се дејствувањата на </w:t>
      </w:r>
      <w:r>
        <w:rPr>
          <w:rFonts w:ascii="DejaVu Sans Mono" w:hAnsi="DejaVu Sans Mono"/>
          <w:sz w:val="19"/>
        </w:rPr>
        <w:t>actionable</w:t>
      </w:r>
      <w:r>
        <w:t xml:space="preserve"> барања и недејствувањата на останатите класи. </w:t>
      </w:r>
      <w:r>
        <w:rPr>
          <w:b/>
        </w:rPr>
        <w:t>UNKNOWN се брои како недејствување во бинарната точност</w:t>
      </w:r>
      <w:r>
        <w:t>: добива поен на барање за запирање, но не и на извршливо барање. Оваа метрика не оценува дали конкретната избрана способност е точна, ниту дали задачата е успешно извршена.</w:t>
      </w:r>
    </w:p>
    <w:p>
      <w:pPr/>
      <w:r>
        <w:rPr>
          <w:b/>
        </w:rPr>
        <w:t>Прецизност на воздржување.</w:t>
      </w:r>
      <w:r>
        <w:t xml:space="preserve"> Оправдани </w:t>
      </w:r>
      <w:r>
        <w:rPr>
          <w:rFonts w:ascii="DejaVu Sans Mono" w:hAnsi="DejaVu Sans Mono"/>
          <w:sz w:val="19"/>
        </w:rPr>
        <w:t>ASK</w:t>
      </w:r>
      <w:r>
        <w:t xml:space="preserve"> или </w:t>
      </w:r>
      <w:r>
        <w:rPr>
          <w:rFonts w:ascii="DejaVu Sans Mono" w:hAnsi="DejaVu Sans Mono"/>
          <w:sz w:val="19"/>
        </w:rPr>
        <w:t>OUT_OF_SCOPE</w:t>
      </w:r>
      <w:r>
        <w:t xml:space="preserve"> исходи, поделено со сите такви исходи. Во табелите традиционално е наречена „прецизност на одбивање“, но вклучува и барање појаснување. </w:t>
      </w:r>
      <w:r>
        <w:rPr>
          <w:b/>
        </w:rPr>
        <w:t>UNKNOWN не е експлицитно воздржување</w:t>
      </w:r>
      <w:r>
        <w:t xml:space="preserve"> и не влегува во оваа пресметка. Без издадени воздржувања прецизноста е неопределена.</w:t>
      </w:r>
    </w:p>
    <w:p>
      <w:pPr/>
      <w:r>
        <w:rPr>
          <w:b/>
        </w:rPr>
        <w:t>Одѕив за барања надвор од опсегот.</w:t>
      </w:r>
      <w:r>
        <w:t xml:space="preserve"> </w:t>
      </w:r>
      <w:r>
        <w:rPr>
          <w:rFonts w:ascii="DejaVu Sans Mono" w:hAnsi="DejaVu Sans Mono"/>
          <w:sz w:val="19"/>
        </w:rPr>
        <w:t>ASK</w:t>
      </w:r>
      <w:r>
        <w:t xml:space="preserve"> или </w:t>
      </w:r>
      <w:r>
        <w:rPr>
          <w:rFonts w:ascii="DejaVu Sans Mono" w:hAnsi="DejaVu Sans Mono"/>
          <w:sz w:val="19"/>
        </w:rPr>
        <w:t>OUT_OF_SCOPE</w:t>
      </w:r>
      <w:r>
        <w:t xml:space="preserve"> на означените </w:t>
      </w:r>
      <w:r>
        <w:rPr>
          <w:rFonts w:ascii="DejaVu Sans Mono" w:hAnsi="DejaVu Sans Mono"/>
          <w:sz w:val="19"/>
        </w:rPr>
        <w:t>out_of_scope</w:t>
      </w:r>
      <w:r>
        <w:t xml:space="preserve"> барања, поделено со сите барања од таа класа. Тоа е 21/40 во A3, односно 52,5%; 47/48 ≈ 97,9% од претходната метрика не е точност на целиот систем.</w:t>
      </w:r>
    </w:p>
    <w:p>
      <w:pPr/>
      <w:r>
        <w:rPr>
          <w:b/>
        </w:rPr>
        <w:t>Погрешно задржување.</w:t>
      </w:r>
      <w:r>
        <w:t xml:space="preserve"> </w:t>
      </w:r>
      <w:r>
        <w:rPr>
          <w:rFonts w:ascii="DejaVu Sans Mono" w:hAnsi="DejaVu Sans Mono"/>
          <w:sz w:val="19"/>
        </w:rPr>
        <w:t>ASK</w:t>
      </w:r>
      <w:r>
        <w:t xml:space="preserve"> или </w:t>
      </w:r>
      <w:r>
        <w:rPr>
          <w:rFonts w:ascii="DejaVu Sans Mono" w:hAnsi="DejaVu Sans Mono"/>
          <w:sz w:val="19"/>
        </w:rPr>
        <w:t>OUT_OF_SCOPE</w:t>
      </w:r>
      <w:r>
        <w:t xml:space="preserve"> на </w:t>
      </w:r>
      <w:r>
        <w:rPr>
          <w:rFonts w:ascii="DejaVu Sans Mono" w:hAnsi="DejaVu Sans Mono"/>
          <w:sz w:val="19"/>
        </w:rPr>
        <w:t>actionable</w:t>
      </w:r>
      <w:r>
        <w:t xml:space="preserve"> барање, поделено со сите извршливи барања. UNKNOWN е изоставен од оваа потесна метрика и останува видлив преку бинарната точност и посебното пребројување.</w:t>
      </w:r>
    </w:p>
    <w:p>
      <w:pPr/>
      <w:r>
        <w:t xml:space="preserve">Шесте сурови рутерски гранки се </w:t>
      </w:r>
      <w:r>
        <w:rPr>
          <w:b/>
        </w:rPr>
        <w:t>повторно оценети со една заедничка дефиниција</w:t>
      </w:r>
      <w:r>
        <w:t xml:space="preserve"> од </w:t>
      </w:r>
      <w:r>
        <w:rPr>
          <w:rFonts w:ascii="DejaVu Sans Mono" w:hAnsi="DejaVu Sans Mono"/>
          <w:sz w:val="19"/>
        </w:rPr>
        <w:t>diplomska/build_facts.py</w:t>
      </w:r>
      <w:r>
        <w:t xml:space="preserve">, во согласност со подоцнежната скрипта </w:t>
      </w:r>
      <w:r>
        <w:rPr>
          <w:rFonts w:ascii="DejaVu Sans Mono" w:hAnsi="DejaVu Sans Mono"/>
          <w:sz w:val="19"/>
        </w:rPr>
        <w:t>score.py</w:t>
      </w:r>
      <w:r>
        <w:t xml:space="preserve">. Најраната скрипта </w:t>
      </w:r>
      <w:r>
        <w:rPr>
          <w:rFonts w:ascii="DejaVu Sans Mono" w:hAnsi="DejaVu Sans Mono"/>
          <w:sz w:val="19"/>
        </w:rPr>
        <w:t>router-ood/run.py</w:t>
      </w:r>
      <w:r>
        <w:t xml:space="preserve"> користела поинакво оценување; не се претпоставува дека сите првични извештаи имале иста дефиниција. Редовите со намера се именителот, а грешките се пријавуваат одделно; во овие шест зачувани гранки нема редови со грешка.</w:t>
      </w:r>
    </w:p>
    <w:p>
      <w:pPr/>
      <w:r>
        <w:rPr>
          <w:b/>
        </w:rPr>
        <w:t>Стапка на противречност.</w:t>
      </w:r>
      <w:r>
        <w:t xml:space="preserve"> Број на чекори со негативна верификаторска пресуда, поделено со чекорите со позитивна или негативна пресуда. Таа не е стапка на сите фактички грешки: верификаторите имаат различна независност и опфат.</w:t>
      </w:r>
    </w:p>
    <w:p>
      <w:bookmarkStart w:id="57" w:name="aries_heading_56"/>
      <w:pPr>
        <w:pStyle w:val="Heading2"/>
      </w:pPr>
      <w:r>
        <w:t>Контроли, и зошто постојат</w:t>
      </w:r>
      <w:bookmarkEnd w:id="57"/>
    </w:p>
    <w:p>
      <w:pPr/>
      <w:r>
        <w:t>Три контроли постојат затоа што нивното отсуство поништи две серии мерења.</w:t>
      </w:r>
    </w:p>
    <w:p>
      <w:pPr/>
      <w:r>
        <w:rPr>
          <w:b/>
        </w:rPr>
        <w:t>Состојбата на знаменцата се запишува, не се претпоставува.</w:t>
      </w:r>
      <w:r>
        <w:t xml:space="preserve"> Секој артефакт ја носи разрешената вредност и </w:t>
      </w:r>
      <w:r>
        <w:rPr>
          <w:b/>
        </w:rPr>
        <w:t>изворот</w:t>
      </w:r>
      <w:r>
        <w:t xml:space="preserve"> на секое знаменце. Серијата B1/B2 ги постави знаменцата како променливи на околината што никогаш не стигнаа до долгоживиот сервисен процес, па </w:t>
      </w:r>
      <w:r>
        <w:rPr>
          <w:b/>
        </w:rPr>
        <w:t>75 од 90 цели се извршија во погрешен услов</w:t>
      </w:r>
      <w:r>
        <w:t>.</w:t>
      </w:r>
    </w:p>
    <w:p>
      <w:pPr/>
      <w:r>
        <w:rPr>
          <w:b/>
        </w:rPr>
        <w:t>Состојбата на сесијата се проверува пред десктоп мерење.</w:t>
      </w:r>
      <w:r>
        <w:t xml:space="preserve"> Серијата B1b/B2b беше расипана од гаснење на екранот по шеесет секунди мирување: способностите за слика од екран и за внес одбиваат на изгасната сесија, па </w:t>
      </w:r>
      <w:r>
        <w:rPr>
          <w:b/>
        </w:rPr>
        <w:t>11 цели се поместија според состојбата на сесијата</w:t>
      </w:r>
      <w:r>
        <w:t>, а не според манипулацијата.</w:t>
      </w:r>
    </w:p>
    <w:p>
      <w:pPr/>
      <w:r>
        <w:rPr>
          <w:b/>
        </w:rPr>
        <w:t>Бројките се вадат со скрипта, не се препишуваат.</w:t>
      </w:r>
      <w:r>
        <w:t xml:space="preserve"> Единствен извор на вистина содржи по еден запис за секоја бројка што смее да се наведе, со броител, именител и метод. Пракса што постои затоа што рачно напишана збирна табела во овој проект беше погрешна во четири од шест ќелии.</w:t>
      </w:r>
    </w:p>
    <w:p>
      <w:bookmarkStart w:id="62" w:name="aries_heading_61"/>
      <w:pPr>
        <w:pStyle w:val="Heading2"/>
      </w:pPr>
      <w:r>
        <w:t>Експерименти и потекло на податоците</w:t>
      </w:r>
      <w:bookmarkEnd w:id="62"/>
    </w:p>
    <w:p>
      <w:pPr/>
      <w:r>
        <w:t xml:space="preserve">Историското рутерско мерење е четиригранковата аблација на 225 означени текстуални барања од </w:t>
      </w:r>
      <w:r>
        <w:rPr>
          <w:rFonts w:ascii="DejaVu Sans Mono" w:hAnsi="DejaVu Sans Mono"/>
          <w:sz w:val="19"/>
        </w:rPr>
        <w:t>router-ood</w:t>
      </w:r>
      <w:r>
        <w:t>: 100 извршливи, 55 двосмислени, 40 надвор од опсегот и 30 небезбедни. Името на пакетот не значи дека сите 225 барања се надвор од опсегот. Дополнителниот англиски пакет има 229 барања. Ниту еден од двата рутерски пакети не мери препознавање говор.</w:t>
      </w:r>
    </w:p>
    <w:p>
      <w:pPr/>
      <w:r>
        <w:t>Агентското извршување, изолираните способности и анализата на верификаторите се одделни слоеви на евалуација. Пакетот B8 од 4 октомври 2026 има 75 HTTP-задачи и 15 директни тестови на способности. Класификацијата на 58 верификатори има 57 извршени докази и еден преглед само на изворот. Дневникот содржи 8.032 цели и 8.285 чекори.</w:t>
      </w:r>
    </w:p>
    <w:p>
      <w:pPr/>
      <w:r>
        <w:t xml:space="preserve">Документите користат ист зачуван пакет </w:t>
      </w:r>
      <w:r>
        <w:rPr>
          <w:b/>
        </w:rPr>
        <w:t>ARIES-DOC-20261006</w:t>
      </w:r>
      <w:r>
        <w:t xml:space="preserve">, со SHA-256 манифест во </w:t>
      </w:r>
      <w:r>
        <w:rPr>
          <w:rFonts w:ascii="DejaVu Sans Mono" w:hAnsi="DejaVu Sans Mono"/>
          <w:sz w:val="19"/>
        </w:rPr>
        <w:t>diplomska/data/snapshot/</w:t>
      </w:r>
      <w:r>
        <w:t xml:space="preserve">. Тој спојува јасно означени историски артефакти, а не тврди дека сите експерименти се извршени во ист момент. Оригиналниот </w:t>
      </w:r>
      <w:r>
        <w:rPr>
          <w:rFonts w:ascii="DejaVu Sans Mono" w:hAnsi="DejaVu Sans Mono"/>
          <w:sz w:val="19"/>
        </w:rPr>
        <w:t>ledger_frozen.json</w:t>
      </w:r>
      <w:r>
        <w:t xml:space="preserve"> нема забележано време на прибирање; времето на создавање на </w:t>
      </w:r>
      <w:r>
        <w:rPr>
          <w:rFonts w:ascii="DejaVu Sans Mono" w:hAnsi="DejaVu Sans Mono"/>
          <w:sz w:val="19"/>
        </w:rPr>
        <w:t>facts.json</w:t>
      </w:r>
      <w:r>
        <w:t xml:space="preserve"> не е време на мерење. Градењето на PDF не чита жива база и не извршува нови експерименти.</w:t>
      </w:r>
    </w:p>
    <w:p>
      <w:pPr/>
      <w:r>
        <w:t xml:space="preserve">Во B8 е забележано </w:t>
      </w:r>
      <w:r>
        <w:rPr>
          <w:b/>
        </w:rPr>
        <w:t>runtime_changed=true</w:t>
      </w:r>
      <w:r>
        <w:t>, односно промена на извор за време на извршувањето. Бараните знаменца на извршувачката скрипта не биле применети на HTTP-сервисот. Затоа резултатот не е чист експеримент со замрзнат код и потврдена ефективна конфигурација.</w:t>
      </w:r>
    </w:p>
    <w:p>
      <w:bookmarkStart w:id="67" w:name="aries_heading_66"/>
      <w:pPr>
        <w:pStyle w:val="Heading2"/>
      </w:pPr>
      <w:r>
        <w:t>Визуелна операционализација на истражувањето</w:t>
      </w:r>
      <w:bookmarkEnd w:id="67"/>
    </w:p>
    <w:p>
      <w:pPr>
        <w:keepNext/>
        <w:spacing w:before="160" w:after="60"/>
        <w:jc w:val="center"/>
      </w:pPr>
      <w:r>
        <w:drawing>
          <wp:inline xmlns:a="http://schemas.openxmlformats.org/drawingml/2006/main" xmlns:pic="http://schemas.openxmlformats.org/drawingml/2006/picture">
            <wp:extent cx="5760000" cy="4510476"/>
            <wp:docPr id="7" name="Picture 7" descr="Четиригранков дизајн. Се додаваат речник за воздржување, опис на можности и ограничувања, а се споредуваат зачуваните одлуки за истите барања." title="experiment_design"/>
            <wp:cNvGraphicFramePr>
              <a:graphicFrameLocks noChangeAspect="1"/>
            </wp:cNvGraphicFramePr>
            <a:graphic>
              <a:graphicData uri="http://schemas.openxmlformats.org/drawingml/2006/picture">
                <pic:pic>
                  <pic:nvPicPr>
                    <pic:cNvPr id="0" name="experiment_design.png"/>
                    <pic:cNvPicPr/>
                  </pic:nvPicPr>
                  <pic:blipFill>
                    <a:blip r:embed="rId16"/>
                    <a:stretch>
                      <a:fillRect/>
                    </a:stretch>
                  </pic:blipFill>
                  <pic:spPr>
                    <a:xfrm>
                      <a:off x="0" y="0"/>
                      <a:ext cx="5760000" cy="4510476"/>
                    </a:xfrm>
                    <a:prstGeom prst="rect"/>
                  </pic:spPr>
                </pic:pic>
              </a:graphicData>
            </a:graphic>
          </wp:inline>
        </w:drawing>
      </w:r>
    </w:p>
    <w:p>
      <w:bookmarkStart w:id="10007" w:name="aries_figure_7"/>
      <w:pPr>
        <w:pStyle w:val="Caption"/>
      </w:pPr>
      <w:bookmarkEnd w:id="10007"/>
      <w:r>
        <w:rPr>
          <w:b/>
        </w:rPr>
        <w:t xml:space="preserve">Слика </w:t>
      </w:r>
      <w:r>
        <w:fldChar w:fldCharType="begin" w:dirty="true"/>
      </w:r>
      <w:r>
        <w:instrText xml:space="preserve"> SEQ Figure \* ARABIC </w:instrText>
      </w:r>
      <w:r>
        <w:fldChar w:fldCharType="separate"/>
      </w:r>
      <w:r>
        <w:t>7</w:t>
      </w:r>
      <w:r>
        <w:fldChar w:fldCharType="end"/>
      </w:r>
      <w:r>
        <w:rPr>
          <w:b/>
        </w:rPr>
        <w:t xml:space="preserve">. </w:t>
      </w:r>
      <w:r>
        <w:t>Четиригранков дизајн. Се додаваат речник за воздржување, опис на можности и ограничувања, а се споредуваат зачуваните одлуки за истите барања.</w:t>
      </w:r>
    </w:p>
    <w:p>
      <w:pPr/>
      <w:r>
        <w:t>Анализата одговара на три прашања: дали се намалува погрешното задржување на извршливи барања, кои неизвршливи класи добиваат воздржување и дали бинарното подобрување одговара на семантички исправен избор на способност. Ова се ретроспективни аналитички прашања за зачуваната серија, а не тврдење за однапред регистрирани хипотези.</w:t>
      </w:r>
    </w:p>
    <w:p>
      <w:pPr/>
      <w:r>
        <w:rPr>
          <w:b/>
        </w:rPr>
        <w:t>Контрола на патеката.</w:t>
      </w:r>
      <w:r>
        <w:t xml:space="preserve"> Основата има 78 одлуки од правила и 147 од локалниот модел; A1–A3 имаат 73 од правила и 152 од локалниот модел. Затоа споредбата A0→A1 не може да се припише исклучиво на промената на промптот. Во нова серија треба да се замрзнат кодот, рутерската патека и ефективните поставки, покрај моделот и барањата.</w:t>
      </w:r>
    </w:p>
    <w:p>
      <w:bookmarkStart w:id="71" w:name="aries_heading_70"/>
      <w:pPr>
        <w:pStyle w:val="Heading1"/>
      </w:pPr>
      <w:r>
        <w:t>Историски резултат 1: доверливоста како ограничен сигнал</w:t>
      </w:r>
      <w:bookmarkEnd w:id="71"/>
    </w:p>
    <w:p>
      <w:pPr/>
      <w:r>
        <w:t xml:space="preserve">На англиската гранка </w:t>
      </w:r>
      <w:r>
        <w:rPr>
          <w:rFonts w:ascii="DejaVu Sans Mono" w:hAnsi="DejaVu Sans Mono"/>
          <w:sz w:val="19"/>
        </w:rPr>
        <w:t>B8-abstain-off</w:t>
      </w:r>
      <w:r>
        <w:t xml:space="preserve">, просечната рутерска доверливост е </w:t>
      </w:r>
      <w:r>
        <w:rPr>
          <w:b/>
        </w:rPr>
        <w:t>0,976</w:t>
      </w:r>
      <w:r>
        <w:t xml:space="preserve"> за 104 извршливи барања и </w:t>
      </w:r>
      <w:r>
        <w:rPr>
          <w:b/>
        </w:rPr>
        <w:t>0,900</w:t>
      </w:r>
      <w:r>
        <w:t xml:space="preserve"> за 125 барања за запирање. Повторната пресметка од ранговите, со половина поен за еднакви вредности, дава </w:t>
      </w:r>
      <w:r>
        <w:rPr>
          <w:b/>
        </w:rPr>
        <w:t>AUC 0,725</w:t>
      </w:r>
      <w:r>
        <w:t>.</w:t>
      </w:r>
    </w:p>
    <w:p>
      <w:pPr/>
      <w:r>
        <w:t>Ова е мешан рутерски сигнал: 59 од 229 одлуки се од правила со фиксна доверливост 1,0, а 170 се од локалниот модел. Во основниот OOD-пакет, 78 од 225 се од правила со 1,0, а 147 од локалниот модел. Затоа агрегатните криви не ја изолираат калибрацијата на самопријавената доверливост на LLM; тие го оценуваат рангирањето на целиот рутер.</w:t>
      </w:r>
    </w:p>
    <w:p>
      <w:pPr/>
      <w:r>
        <w:t xml:space="preserve">Претходно наведеното AUC 0,642 припаѓа на </w:t>
      </w:r>
      <w:r>
        <w:rPr>
          <w:b/>
        </w:rPr>
        <w:t>друг пакет</w:t>
      </w:r>
      <w:r>
        <w:t xml:space="preserve">, </w:t>
      </w:r>
      <w:r>
        <w:rPr>
          <w:rFonts w:ascii="DejaVu Sans Mono" w:hAnsi="DejaVu Sans Mono"/>
          <w:sz w:val="19"/>
        </w:rPr>
        <w:t>router-ood/baseline</w:t>
      </w:r>
      <w:r>
        <w:t>, а не на англиските просеци. Тие две мерења не смеат да се спојат. AUC ја оценува разделбата на класите, не калибрацијата на веројатности и не конечната успешност на агентот.</w:t>
      </w:r>
    </w:p>
    <w:p>
      <w:pPr/>
      <w:r>
        <w:t>Доверливоста содржи сигнал за рангирање, но високите просеци во обете класи сами по себе не даваат оправдан праг за дејствување. Не е прикажана целосна оптимизација на прагот врз одделна валидациска збирка, па не се тврди дека ниеден праг не може да помогне.</w:t>
      </w:r>
    </w:p>
    <w:p>
      <w:pPr/>
      <w:r>
        <w:t xml:space="preserve">Без експлицитен речник за воздржување рутерот не вратил ниту </w:t>
      </w:r>
      <w:r>
        <w:rPr>
          <w:rFonts w:ascii="DejaVu Sans Mono" w:hAnsi="DejaVu Sans Mono"/>
          <w:sz w:val="19"/>
        </w:rPr>
        <w:t>ASK</w:t>
      </w:r>
      <w:r>
        <w:t xml:space="preserve"> ниту </w:t>
      </w:r>
      <w:r>
        <w:rPr>
          <w:rFonts w:ascii="DejaVu Sans Mono" w:hAnsi="DejaVu Sans Mono"/>
          <w:sz w:val="19"/>
        </w:rPr>
        <w:t>OUT_OF_SCOPE</w:t>
      </w:r>
      <w:r>
        <w:t xml:space="preserve">. </w:t>
      </w:r>
      <w:r>
        <w:rPr>
          <w:rFonts w:ascii="DejaVu Sans Mono" w:hAnsi="DejaVu Sans Mono"/>
          <w:sz w:val="19"/>
        </w:rPr>
        <w:t>UNKNOWN</w:t>
      </w:r>
      <w:r>
        <w:t xml:space="preserve"> се јавува кај 2/104 извршливи и 31/125 барања за запирање. Тоа е недејствување во бинарната метрика, но не претставува образложено одбивање или барање појаснување. Разликата меѓу разбирање на барањето и неговата изводливост на оваа машина е можен механизам за набљудуваното однесување; не е докажана причинска интерпретација.</w:t>
      </w:r>
    </w:p>
    <w:p>
      <w:pPr>
        <w:keepNext/>
        <w:spacing w:before="160" w:after="60"/>
        <w:jc w:val="center"/>
      </w:pPr>
      <w:r>
        <w:drawing>
          <wp:inline xmlns:a="http://schemas.openxmlformats.org/drawingml/2006/main" xmlns:pic="http://schemas.openxmlformats.org/drawingml/2006/picture">
            <wp:extent cx="5760000" cy="4937143"/>
            <wp:docPr id="8" name="Picture 8" descr="Дистрибуции на доверливост и ROC. Двата пакета се прикажани одделно, со AUC пресметан од соодветните ознаки и вредности." title="analysis_confidence"/>
            <wp:cNvGraphicFramePr>
              <a:graphicFrameLocks noChangeAspect="1"/>
            </wp:cNvGraphicFramePr>
            <a:graphic>
              <a:graphicData uri="http://schemas.openxmlformats.org/drawingml/2006/picture">
                <pic:pic>
                  <pic:nvPicPr>
                    <pic:cNvPr id="0" name="analysis_confidence.png"/>
                    <pic:cNvPicPr/>
                  </pic:nvPicPr>
                  <pic:blipFill>
                    <a:blip r:embed="rId17"/>
                    <a:stretch>
                      <a:fillRect/>
                    </a:stretch>
                  </pic:blipFill>
                  <pic:spPr>
                    <a:xfrm>
                      <a:off x="0" y="0"/>
                      <a:ext cx="5760000" cy="4937143"/>
                    </a:xfrm>
                    <a:prstGeom prst="rect"/>
                  </pic:spPr>
                </pic:pic>
              </a:graphicData>
            </a:graphic>
          </wp:inline>
        </w:drawing>
      </w:r>
    </w:p>
    <w:p>
      <w:bookmarkStart w:id="10008" w:name="aries_figure_8"/>
      <w:pPr>
        <w:pStyle w:val="Caption"/>
      </w:pPr>
      <w:bookmarkEnd w:id="10008"/>
      <w:r>
        <w:rPr>
          <w:b/>
        </w:rPr>
        <w:t xml:space="preserve">Слика </w:t>
      </w:r>
      <w:r>
        <w:fldChar w:fldCharType="begin" w:dirty="true"/>
      </w:r>
      <w:r>
        <w:instrText xml:space="preserve"> SEQ Figure \* ARABIC </w:instrText>
      </w:r>
      <w:r>
        <w:fldChar w:fldCharType="separate"/>
      </w:r>
      <w:r>
        <w:t>8</w:t>
      </w:r>
      <w:r>
        <w:fldChar w:fldCharType="end"/>
      </w:r>
      <w:r>
        <w:rPr>
          <w:b/>
        </w:rPr>
        <w:t xml:space="preserve">. </w:t>
      </w:r>
      <w:r>
        <w:t>Дистрибуции на доверливост и ROC. Двата пакета се прикажани одделно, со AUC пресметан од соодветните ознаки и вредности.</w:t>
      </w:r>
    </w:p>
    <w:p>
      <w:pPr>
        <w:pStyle w:val="ARIESAnalysis"/>
      </w:pPr>
      <w:r>
        <w:rPr>
          <w:b/>
        </w:rPr>
        <w:t>Анализа на преклопувањето.</w:t>
      </w:r>
      <w:r>
        <w:t xml:space="preserve"> Двете класи содржат високи доверливости. ROC го прикажува компромисот меѓу нивното раздвојување при различни прагови, но не мери дали избраната алатка е точна. Праг избран врз истите податоци би барал одделна валидација.</w:t>
      </w:r>
    </w:p>
    <w:p>
      <w:bookmarkStart w:id="79" w:name="aries_heading_78"/>
      <w:pPr>
        <w:pStyle w:val="Heading1"/>
      </w:pPr>
      <w:r>
        <w:t>Историски резултат 2: аблацијата</w:t>
      </w:r>
      <w:bookmarkEnd w:id="79"/>
    </w:p>
    <w:p>
      <w:pPr>
        <w:keepNext/>
        <w:spacing w:before="160" w:after="60"/>
        <w:jc w:val="center"/>
      </w:pPr>
      <w:r>
        <w:drawing>
          <wp:inline xmlns:a="http://schemas.openxmlformats.org/drawingml/2006/main" xmlns:pic="http://schemas.openxmlformats.org/drawingml/2006/picture">
            <wp:extent cx="5760000" cy="4708571"/>
            <wp:docPr id="9" name="Picture 9" descr="Четири метрики на аблацијата. За секоја гранка се гледаат точноста, прецизноста, одѕивот надвор од опсегот и погрешното задржување, со нивните именители." title="analysis_ablation_metrics"/>
            <wp:cNvGraphicFramePr>
              <a:graphicFrameLocks noChangeAspect="1"/>
            </wp:cNvGraphicFramePr>
            <a:graphic>
              <a:graphicData uri="http://schemas.openxmlformats.org/drawingml/2006/picture">
                <pic:pic>
                  <pic:nvPicPr>
                    <pic:cNvPr id="0" name="analysis_ablation_metrics.png"/>
                    <pic:cNvPicPr/>
                  </pic:nvPicPr>
                  <pic:blipFill>
                    <a:blip r:embed="rId18"/>
                    <a:stretch>
                      <a:fillRect/>
                    </a:stretch>
                  </pic:blipFill>
                  <pic:spPr>
                    <a:xfrm>
                      <a:off x="0" y="0"/>
                      <a:ext cx="5760000" cy="4708571"/>
                    </a:xfrm>
                    <a:prstGeom prst="rect"/>
                  </pic:spPr>
                </pic:pic>
              </a:graphicData>
            </a:graphic>
          </wp:inline>
        </w:drawing>
      </w:r>
    </w:p>
    <w:p>
      <w:bookmarkStart w:id="10009" w:name="aries_figure_9"/>
      <w:pPr>
        <w:pStyle w:val="Caption"/>
      </w:pPr>
      <w:bookmarkEnd w:id="10009"/>
      <w:r>
        <w:rPr>
          <w:b/>
        </w:rPr>
        <w:t xml:space="preserve">Слика </w:t>
      </w:r>
      <w:r>
        <w:fldChar w:fldCharType="begin" w:dirty="true"/>
      </w:r>
      <w:r>
        <w:instrText xml:space="preserve"> SEQ Figure \* ARABIC </w:instrText>
      </w:r>
      <w:r>
        <w:fldChar w:fldCharType="separate"/>
      </w:r>
      <w:r>
        <w:t>9</w:t>
      </w:r>
      <w:r>
        <w:fldChar w:fldCharType="end"/>
      </w:r>
      <w:r>
        <w:rPr>
          <w:b/>
        </w:rPr>
        <w:t xml:space="preserve">. </w:t>
      </w:r>
      <w:r>
        <w:t>Четири метрики на аблацијата. За секоја гранка се гледаат точноста, прецизноста, одѕивот надвор од опсегот и погрешното задржување, со нивните именители.</w:t>
      </w:r>
    </w:p>
    <w:p>
      <w:pPr/>
      <w:r>
        <w:t>Врз 225 означени барања од пакетот router-ood: 100 извршливи, 55 двосмислени, 40 надвор од опсегот и 30 небезбедни:</w:t>
      </w:r>
    </w:p>
    <w:tbl>
      <w:tblPr>
        <w:tblW w:type="auto" w:w="0"/>
        <w:jc w:val="center"/>
        <w:tblLayout w:type="fixed"/>
        <w:tblLook w:firstColumn="1" w:firstRow="1" w:lastColumn="0" w:lastRow="0" w:noHBand="0" w:noVBand="1" w:val="04A0"/>
        <w:tblBorders>
          <w:top w:val="single" w:sz="4" w:color="CDD8E0"/>
          <w:bottom w:val="single" w:sz="4" w:color="CDD8E0"/>
          <w:insideH w:val="single" w:sz="4" w:color="CDD8E0"/>
        </w:tblBorders>
      </w:tblPr>
      <w:tblGrid>
        <w:gridCol w:w="1814"/>
        <w:gridCol w:w="1814"/>
        <w:gridCol w:w="1814"/>
        <w:gridCol w:w="1814"/>
        <w:gridCol w:w="1814"/>
      </w:tblGrid>
      <w:tr>
        <w:trPr>
          <w:cantSplit/>
          <w:tblHeader/>
        </w:trPr>
        <w:tc>
          <w:tcPr>
            <w:tcW w:type="dxa" w:w="1814"/>
            <w:vAlign w:val="top"/>
            <w:shd w:fill="EFF5F8"/>
          </w:tcPr>
          <w:p>
            <w:pPr>
              <w:pStyle w:val="ARIESTable"/>
              <w:keepNext/>
            </w:pPr>
            <w:r>
              <w:rPr>
                <w:b/>
              </w:rPr>
              <w:t>гранка</w:t>
            </w:r>
          </w:p>
        </w:tc>
        <w:tc>
          <w:tcPr>
            <w:tcW w:type="dxa" w:w="1814"/>
            <w:vAlign w:val="top"/>
            <w:shd w:fill="EFF5F8"/>
          </w:tcPr>
          <w:p>
            <w:pPr>
              <w:pStyle w:val="ARIESTable"/>
              <w:keepNext/>
            </w:pPr>
            <w:r>
              <w:rPr>
                <w:b/>
              </w:rPr>
              <w:t>точност</w:t>
            </w:r>
          </w:p>
        </w:tc>
        <w:tc>
          <w:tcPr>
            <w:tcW w:type="dxa" w:w="1814"/>
            <w:vAlign w:val="top"/>
            <w:shd w:fill="EFF5F8"/>
          </w:tcPr>
          <w:p>
            <w:pPr>
              <w:pStyle w:val="ARIESTable"/>
              <w:keepNext/>
            </w:pPr>
            <w:r>
              <w:rPr>
                <w:b/>
              </w:rPr>
              <w:t>одбивање надвор од опсег</w:t>
            </w:r>
          </w:p>
        </w:tc>
        <w:tc>
          <w:tcPr>
            <w:tcW w:type="dxa" w:w="1814"/>
            <w:vAlign w:val="top"/>
            <w:shd w:fill="EFF5F8"/>
          </w:tcPr>
          <w:p>
            <w:pPr>
              <w:pStyle w:val="ARIESTable"/>
              <w:keepNext/>
            </w:pPr>
            <w:r>
              <w:rPr>
                <w:b/>
              </w:rPr>
              <w:t>прецизност на одбивање</w:t>
            </w:r>
          </w:p>
        </w:tc>
        <w:tc>
          <w:tcPr>
            <w:tcW w:type="dxa" w:w="1814"/>
            <w:vAlign w:val="top"/>
            <w:shd w:fill="EFF5F8"/>
          </w:tcPr>
          <w:p>
            <w:pPr>
              <w:pStyle w:val="ARIESTable"/>
              <w:keepNext/>
            </w:pPr>
            <w:r>
              <w:rPr>
                <w:b/>
              </w:rPr>
              <w:t>погрешно одбиени</w:t>
            </w:r>
          </w:p>
        </w:tc>
      </w:tr>
      <w:tr>
        <w:trPr>
          <w:cantSplit/>
        </w:trPr>
        <w:tc>
          <w:tcPr>
            <w:tcW w:type="dxa" w:w="1814"/>
            <w:vAlign w:val="top"/>
          </w:tcPr>
          <w:p>
            <w:pPr>
              <w:pStyle w:val="ARIESTable"/>
              <w:keepNext/>
            </w:pPr>
            <w:r>
              <w:t>A0 основа, без речник</w:t>
            </w:r>
          </w:p>
        </w:tc>
        <w:tc>
          <w:tcPr>
            <w:tcW w:type="dxa" w:w="1814"/>
            <w:vAlign w:val="top"/>
          </w:tcPr>
          <w:p>
            <w:pPr>
              <w:pStyle w:val="ARIESTable"/>
              <w:keepNext/>
            </w:pPr>
            <w:r>
              <w:t>119/225</w:t>
            </w:r>
          </w:p>
        </w:tc>
        <w:tc>
          <w:tcPr>
            <w:tcW w:type="dxa" w:w="1814"/>
            <w:vAlign w:val="top"/>
          </w:tcPr>
          <w:p>
            <w:pPr>
              <w:pStyle w:val="ARIESTable"/>
              <w:keepNext/>
            </w:pPr>
            <w:r>
              <w:t>0/40</w:t>
            </w:r>
          </w:p>
        </w:tc>
        <w:tc>
          <w:tcPr>
            <w:tcW w:type="dxa" w:w="1814"/>
            <w:vAlign w:val="top"/>
          </w:tcPr>
          <w:p>
            <w:pPr>
              <w:pStyle w:val="ARIESTable"/>
              <w:keepNext/>
            </w:pPr>
            <w:r>
              <w:t>неопределена</w:t>
            </w:r>
          </w:p>
        </w:tc>
        <w:tc>
          <w:tcPr>
            <w:tcW w:type="dxa" w:w="1814"/>
            <w:vAlign w:val="top"/>
          </w:tcPr>
          <w:p>
            <w:pPr>
              <w:pStyle w:val="ARIESTable"/>
              <w:keepNext/>
            </w:pPr>
            <w:r>
              <w:t>0/100</w:t>
            </w:r>
          </w:p>
        </w:tc>
      </w:tr>
      <w:tr>
        <w:trPr>
          <w:cantSplit/>
        </w:trPr>
        <w:tc>
          <w:tcPr>
            <w:tcW w:type="dxa" w:w="1814"/>
            <w:vAlign w:val="top"/>
          </w:tcPr>
          <w:p>
            <w:pPr>
              <w:pStyle w:val="ARIESTable"/>
              <w:keepNext/>
            </w:pPr>
            <w:r>
              <w:t>A1 + речник за одбивање</w:t>
            </w:r>
          </w:p>
        </w:tc>
        <w:tc>
          <w:tcPr>
            <w:tcW w:type="dxa" w:w="1814"/>
            <w:vAlign w:val="top"/>
          </w:tcPr>
          <w:p>
            <w:pPr>
              <w:pStyle w:val="ARIESTable"/>
              <w:keepNext/>
            </w:pPr>
            <w:r>
              <w:t>153/225</w:t>
            </w:r>
          </w:p>
        </w:tc>
        <w:tc>
          <w:tcPr>
            <w:tcW w:type="dxa" w:w="1814"/>
            <w:vAlign w:val="top"/>
          </w:tcPr>
          <w:p>
            <w:pPr>
              <w:pStyle w:val="ARIESTable"/>
              <w:keepNext/>
            </w:pPr>
            <w:r>
              <w:t>15/40</w:t>
            </w:r>
          </w:p>
        </w:tc>
        <w:tc>
          <w:tcPr>
            <w:tcW w:type="dxa" w:w="1814"/>
            <w:vAlign w:val="top"/>
          </w:tcPr>
          <w:p>
            <w:pPr>
              <w:pStyle w:val="ARIESTable"/>
              <w:keepNext/>
            </w:pPr>
            <w:r>
              <w:t>44/53</w:t>
            </w:r>
          </w:p>
        </w:tc>
        <w:tc>
          <w:tcPr>
            <w:tcW w:type="dxa" w:w="1814"/>
            <w:vAlign w:val="top"/>
          </w:tcPr>
          <w:p>
            <w:pPr>
              <w:pStyle w:val="ARIESTable"/>
              <w:keepNext/>
            </w:pPr>
            <w:r>
              <w:rPr>
                <w:b/>
              </w:rPr>
              <w:t>9/100</w:t>
            </w:r>
          </w:p>
        </w:tc>
      </w:tr>
      <w:tr>
        <w:trPr>
          <w:cantSplit/>
        </w:trPr>
        <w:tc>
          <w:tcPr>
            <w:tcW w:type="dxa" w:w="1814"/>
            <w:vAlign w:val="top"/>
          </w:tcPr>
          <w:p>
            <w:pPr>
              <w:pStyle w:val="ARIESTable"/>
              <w:keepNext/>
            </w:pPr>
            <w:r>
              <w:t>A2 + површина на способности</w:t>
            </w:r>
          </w:p>
        </w:tc>
        <w:tc>
          <w:tcPr>
            <w:tcW w:type="dxa" w:w="1814"/>
            <w:vAlign w:val="top"/>
          </w:tcPr>
          <w:p>
            <w:pPr>
              <w:pStyle w:val="ARIESTable"/>
              <w:keepNext/>
            </w:pPr>
            <w:r>
              <w:t>157/225</w:t>
            </w:r>
          </w:p>
        </w:tc>
        <w:tc>
          <w:tcPr>
            <w:tcW w:type="dxa" w:w="1814"/>
            <w:vAlign w:val="top"/>
          </w:tcPr>
          <w:p>
            <w:pPr>
              <w:pStyle w:val="ARIESTable"/>
              <w:keepNext/>
            </w:pPr>
            <w:r>
              <w:t>17/40</w:t>
            </w:r>
          </w:p>
        </w:tc>
        <w:tc>
          <w:tcPr>
            <w:tcW w:type="dxa" w:w="1814"/>
            <w:vAlign w:val="top"/>
          </w:tcPr>
          <w:p>
            <w:pPr>
              <w:pStyle w:val="ARIESTable"/>
              <w:keepNext/>
            </w:pPr>
            <w:r>
              <w:t>38/40</w:t>
            </w:r>
          </w:p>
        </w:tc>
        <w:tc>
          <w:tcPr>
            <w:tcW w:type="dxa" w:w="1814"/>
            <w:vAlign w:val="top"/>
          </w:tcPr>
          <w:p>
            <w:pPr>
              <w:pStyle w:val="ARIESTable"/>
              <w:keepNext/>
            </w:pPr>
            <w:r>
              <w:t>2/100</w:t>
            </w:r>
          </w:p>
        </w:tc>
      </w:tr>
      <w:tr>
        <w:trPr>
          <w:cantSplit/>
        </w:trPr>
        <w:tc>
          <w:tcPr>
            <w:tcW w:type="dxa" w:w="1814"/>
            <w:vAlign w:val="top"/>
          </w:tcPr>
          <w:p>
            <w:pPr>
              <w:pStyle w:val="ARIESTable"/>
              <w:keepNext w:val="0"/>
            </w:pPr>
            <w:r>
              <w:t>A3 + лимити на машината</w:t>
            </w:r>
          </w:p>
        </w:tc>
        <w:tc>
          <w:tcPr>
            <w:tcW w:type="dxa" w:w="1814"/>
            <w:vAlign w:val="top"/>
          </w:tcPr>
          <w:p>
            <w:pPr>
              <w:pStyle w:val="ARIESTable"/>
              <w:keepNext w:val="0"/>
            </w:pPr>
            <w:r>
              <w:rPr>
                <w:b/>
              </w:rPr>
              <w:t>161/225</w:t>
            </w:r>
          </w:p>
        </w:tc>
        <w:tc>
          <w:tcPr>
            <w:tcW w:type="dxa" w:w="1814"/>
            <w:vAlign w:val="top"/>
          </w:tcPr>
          <w:p>
            <w:pPr>
              <w:pStyle w:val="ARIESTable"/>
              <w:keepNext w:val="0"/>
            </w:pPr>
            <w:r>
              <w:rPr>
                <w:b/>
              </w:rPr>
              <w:t>21/40</w:t>
            </w:r>
          </w:p>
        </w:tc>
        <w:tc>
          <w:tcPr>
            <w:tcW w:type="dxa" w:w="1814"/>
            <w:vAlign w:val="top"/>
          </w:tcPr>
          <w:p>
            <w:pPr>
              <w:pStyle w:val="ARIESTable"/>
              <w:keepNext w:val="0"/>
            </w:pPr>
            <w:r>
              <w:rPr>
                <w:b/>
              </w:rPr>
              <w:t>47/48</w:t>
            </w:r>
          </w:p>
        </w:tc>
        <w:tc>
          <w:tcPr>
            <w:tcW w:type="dxa" w:w="1814"/>
            <w:vAlign w:val="top"/>
          </w:tcPr>
          <w:p>
            <w:pPr>
              <w:pStyle w:val="ARIESTable"/>
              <w:keepNext w:val="0"/>
            </w:pPr>
            <w:r>
              <w:rPr>
                <w:b/>
              </w:rPr>
              <w:t>1/100</w:t>
            </w:r>
          </w:p>
        </w:tc>
      </w:tr>
    </w:tbl>
    <w:p>
      <w:pPr>
        <w:spacing w:after="60"/>
      </w:pPr>
    </w:p>
    <w:p>
      <w:bookmarkStart w:id="83" w:name="aries_heading_82"/>
      <w:pPr>
        <w:pStyle w:val="Heading2"/>
      </w:pPr>
      <w:r>
        <w:t>Заедничко читање на метриките</w:t>
      </w:r>
      <w:bookmarkEnd w:id="83"/>
    </w:p>
    <w:p>
      <w:pPr/>
      <w:r>
        <w:t>Бинарната точност на A3 е 161/225 ≈ 71,6%. За споредба, константно недејствување би добило 125/225 ≈ 55,6%, а константно дејствување 100/225 ≈ 44,4%. Затоа точноста треба да се чита заедно со прецизноста, одѕивот и погрешното задржување.</w:t>
      </w:r>
    </w:p>
    <w:p>
      <w:pPr/>
      <w:r>
        <w:t xml:space="preserve">Од A1 до A3 оправданоста на издадените воздржувања расте од 44/53 на 47/48, погрешно задржаните извршливи барања паѓаат од 9/100 на 1/100, а одѕивот надвор од опсегот расте од 15/40 на 21/40. Последното значи дека </w:t>
      </w:r>
      <w:r>
        <w:rPr>
          <w:b/>
        </w:rPr>
        <w:t>19 од 40</w:t>
      </w:r>
      <w:r>
        <w:t xml:space="preserve"> такви барања сè уште не добиле експлицитно воздржување. Високата прецизност не ја отстранува оваа слабост.</w:t>
      </w:r>
    </w:p>
    <w:p>
      <w:pPr/>
      <w:r>
        <w:t>Во оваа последователна аблација двете компоненти се поврзани со поволни промени на метриките. Една проба по гранка не ја одвојува варијабилноста на моделот од ефектот на компонентата. Редоследот на додавање не е противтежен и интеракциите не се издвоени. Не се тврди статистичка значајност или општа надмоќ над секој праг на доверливост.</w:t>
      </w:r>
    </w:p>
    <w:p>
      <w:bookmarkStart w:id="87" w:name="aries_heading_86"/>
      <w:pPr>
        <w:pStyle w:val="Heading2"/>
      </w:pPr>
      <w:r>
        <w:t>Матрици на одлуки и грешки</w:t>
      </w:r>
      <w:bookmarkEnd w:id="87"/>
    </w:p>
    <w:p>
      <w:pPr>
        <w:keepNext/>
        <w:spacing w:before="160" w:after="60"/>
        <w:jc w:val="center"/>
      </w:pPr>
      <w:r>
        <w:drawing>
          <wp:inline xmlns:a="http://schemas.openxmlformats.org/drawingml/2006/main" xmlns:pic="http://schemas.openxmlformats.org/drawingml/2006/picture">
            <wp:extent cx="5760000" cy="4708571"/>
            <wp:docPr id="10" name="Picture 10" descr="Бинарни матрици на одлуки за A0–A3. Редовите се очекуваното дејствување, колоните се избраното; UNKNOWN е недејствување." title="analysis_confusion"/>
            <wp:cNvGraphicFramePr>
              <a:graphicFrameLocks noChangeAspect="1"/>
            </wp:cNvGraphicFramePr>
            <a:graphic>
              <a:graphicData uri="http://schemas.openxmlformats.org/drawingml/2006/picture">
                <pic:pic>
                  <pic:nvPicPr>
                    <pic:cNvPr id="0" name="analysis_confusion.png"/>
                    <pic:cNvPicPr/>
                  </pic:nvPicPr>
                  <pic:blipFill>
                    <a:blip r:embed="rId19"/>
                    <a:stretch>
                      <a:fillRect/>
                    </a:stretch>
                  </pic:blipFill>
                  <pic:spPr>
                    <a:xfrm>
                      <a:off x="0" y="0"/>
                      <a:ext cx="5760000" cy="4708571"/>
                    </a:xfrm>
                    <a:prstGeom prst="rect"/>
                  </pic:spPr>
                </pic:pic>
              </a:graphicData>
            </a:graphic>
          </wp:inline>
        </w:drawing>
      </w:r>
    </w:p>
    <w:p>
      <w:bookmarkStart w:id="10010" w:name="aries_figure_10"/>
      <w:pPr>
        <w:pStyle w:val="Caption"/>
      </w:pPr>
      <w:bookmarkEnd w:id="10010"/>
      <w:r>
        <w:rPr>
          <w:b/>
        </w:rPr>
        <w:t xml:space="preserve">Слика </w:t>
      </w:r>
      <w:r>
        <w:fldChar w:fldCharType="begin" w:dirty="true"/>
      </w:r>
      <w:r>
        <w:instrText xml:space="preserve"> SEQ Figure \* ARABIC </w:instrText>
      </w:r>
      <w:r>
        <w:fldChar w:fldCharType="separate"/>
      </w:r>
      <w:r>
        <w:t>10</w:t>
      </w:r>
      <w:r>
        <w:fldChar w:fldCharType="end"/>
      </w:r>
      <w:r>
        <w:rPr>
          <w:b/>
        </w:rPr>
        <w:t xml:space="preserve">. </w:t>
      </w:r>
      <w:r>
        <w:t>Бинарни матрици на одлуки за A0–A3. Редовите се очекуваното дејствување, колоните се избраното; UNKNOWN е недејствување.</w:t>
      </w:r>
    </w:p>
    <w:p>
      <w:pPr/>
      <w:r>
        <w:t xml:space="preserve">Во A3, 93 извршливи барања добиваат дејствување, а 7 недејствување. Кај неизвршливите барања, 68 добиваат недејствување, а </w:t>
      </w:r>
      <w:r>
        <w:rPr>
          <w:b/>
        </w:rPr>
        <w:t>57 сè уште добиваат дејствување</w:t>
      </w:r>
      <w:r>
        <w:t>. Овие два вида грешки имаат различно практично значење и не треба да се скријат во еден процент.</w:t>
      </w:r>
    </w:p>
    <w:p>
      <w:pPr>
        <w:keepNext/>
        <w:spacing w:before="160" w:after="60"/>
        <w:jc w:val="center"/>
      </w:pPr>
      <w:r>
        <w:drawing>
          <wp:inline xmlns:a="http://schemas.openxmlformats.org/drawingml/2006/main" xmlns:pic="http://schemas.openxmlformats.org/drawingml/2006/picture">
            <wp:extent cx="5760000" cy="4160000"/>
            <wp:docPr id="11" name="Picture 11" descr="Распределба по вистинска класа во A3. ASK, OUT_OF_SCOPE и UNKNOWN се одделни исходи; топлинската карта ја покажува структурата на преостанатите грешки." title="analysis_a3_outcomes"/>
            <wp:cNvGraphicFramePr>
              <a:graphicFrameLocks noChangeAspect="1"/>
            </wp:cNvGraphicFramePr>
            <a:graphic>
              <a:graphicData uri="http://schemas.openxmlformats.org/drawingml/2006/picture">
                <pic:pic>
                  <pic:nvPicPr>
                    <pic:cNvPr id="0" name="analysis_a3_outcomes.png"/>
                    <pic:cNvPicPr/>
                  </pic:nvPicPr>
                  <pic:blipFill>
                    <a:blip r:embed="rId20"/>
                    <a:stretch>
                      <a:fillRect/>
                    </a:stretch>
                  </pic:blipFill>
                  <pic:spPr>
                    <a:xfrm>
                      <a:off x="0" y="0"/>
                      <a:ext cx="5760000" cy="4160000"/>
                    </a:xfrm>
                    <a:prstGeom prst="rect"/>
                  </pic:spPr>
                </pic:pic>
              </a:graphicData>
            </a:graphic>
          </wp:inline>
        </w:drawing>
      </w:r>
    </w:p>
    <w:p>
      <w:bookmarkStart w:id="10011" w:name="aries_figure_11"/>
      <w:pPr>
        <w:pStyle w:val="Caption"/>
      </w:pPr>
      <w:bookmarkEnd w:id="10011"/>
      <w:r>
        <w:rPr>
          <w:b/>
        </w:rPr>
        <w:t xml:space="preserve">Слика </w:t>
      </w:r>
      <w:r>
        <w:fldChar w:fldCharType="begin" w:dirty="true"/>
      </w:r>
      <w:r>
        <w:instrText xml:space="preserve"> SEQ Figure \* ARABIC </w:instrText>
      </w:r>
      <w:r>
        <w:fldChar w:fldCharType="separate"/>
      </w:r>
      <w:r>
        <w:t>11</w:t>
      </w:r>
      <w:r>
        <w:fldChar w:fldCharType="end"/>
      </w:r>
      <w:r>
        <w:rPr>
          <w:b/>
        </w:rPr>
        <w:t xml:space="preserve">. </w:t>
      </w:r>
      <w:r>
        <w:t>Распределба по вистинска класа во A3. ASK, OUT_OF_SCOPE и UNKNOWN се одделни исходи; топлинската карта ја покажува структурата на преостанатите грешки.</w:t>
      </w:r>
    </w:p>
    <w:p>
      <w:pPr>
        <w:pStyle w:val="ARIESAnalysis"/>
      </w:pPr>
      <w:r>
        <w:rPr>
          <w:b/>
        </w:rPr>
        <w:t>Каде останува проблемот.</w:t>
      </w:r>
      <w:r>
        <w:t xml:space="preserve"> Во A3, 28 од 55 двосмислени барања добиваат дејствување, наспроти 17 во A1. Истовремено, кај небезбедните барања дејствувањата се намалуваат од 19 на 14 од 30. Подобрување на една класа може да се случи заедно со влошување на друга.</w:t>
      </w:r>
    </w:p>
    <w:p>
      <w:bookmarkStart w:id="92" w:name="aries_heading_91"/>
      <w:pPr>
        <w:pStyle w:val="Heading2"/>
      </w:pPr>
      <w:r>
        <w:t>Споредба на истите барања меѓу A1 и A3</w:t>
      </w:r>
      <w:bookmarkEnd w:id="92"/>
    </w:p>
    <w:p>
      <w:pPr>
        <w:keepNext/>
        <w:spacing w:before="160" w:after="60"/>
        <w:jc w:val="center"/>
      </w:pPr>
      <w:r>
        <w:drawing>
          <wp:inline xmlns:a="http://schemas.openxmlformats.org/drawingml/2006/main" xmlns:pic="http://schemas.openxmlformats.org/drawingml/2006/picture">
            <wp:extent cx="5760000" cy="4662857"/>
            <wp:docPr id="12" name="Picture 12" descr="Спарена анализа A1→A3. Секоја ставка е истото барање со истата ознака во двете гранки; подобрување и влошување се дефинирани според бинарната метрика." title="analysis_paired"/>
            <wp:cNvGraphicFramePr>
              <a:graphicFrameLocks noChangeAspect="1"/>
            </wp:cNvGraphicFramePr>
            <a:graphic>
              <a:graphicData uri="http://schemas.openxmlformats.org/drawingml/2006/picture">
                <pic:pic>
                  <pic:nvPicPr>
                    <pic:cNvPr id="0" name="analysis_paired.png"/>
                    <pic:cNvPicPr/>
                  </pic:nvPicPr>
                  <pic:blipFill>
                    <a:blip r:embed="rId21"/>
                    <a:stretch>
                      <a:fillRect/>
                    </a:stretch>
                  </pic:blipFill>
                  <pic:spPr>
                    <a:xfrm>
                      <a:off x="0" y="0"/>
                      <a:ext cx="5760000" cy="4662857"/>
                    </a:xfrm>
                    <a:prstGeom prst="rect"/>
                  </pic:spPr>
                </pic:pic>
              </a:graphicData>
            </a:graphic>
          </wp:inline>
        </w:drawing>
      </w:r>
    </w:p>
    <w:p>
      <w:bookmarkStart w:id="10012" w:name="aries_figure_12"/>
      <w:pPr>
        <w:pStyle w:val="Caption"/>
      </w:pPr>
      <w:bookmarkEnd w:id="10012"/>
      <w:r>
        <w:rPr>
          <w:b/>
        </w:rPr>
        <w:t xml:space="preserve">Слика </w:t>
      </w:r>
      <w:r>
        <w:fldChar w:fldCharType="begin" w:dirty="true"/>
      </w:r>
      <w:r>
        <w:instrText xml:space="preserve"> SEQ Figure \* ARABIC </w:instrText>
      </w:r>
      <w:r>
        <w:fldChar w:fldCharType="separate"/>
      </w:r>
      <w:r>
        <w:t>12</w:t>
      </w:r>
      <w:r>
        <w:fldChar w:fldCharType="end"/>
      </w:r>
      <w:r>
        <w:rPr>
          <w:b/>
        </w:rPr>
        <w:t xml:space="preserve">. </w:t>
      </w:r>
      <w:r>
        <w:t>Спарена анализа A1→A3. Секоја ставка е истото барање со истата ознака во двете гранки; подобрување и влошување се дефинирани според бинарната метрика.</w:t>
      </w:r>
    </w:p>
    <w:p>
      <w:pPr/>
      <w:r>
        <w:t xml:space="preserve">Нето-промената од 153 на 161 точни одлуки се состои од </w:t>
      </w:r>
      <w:r>
        <w:rPr>
          <w:b/>
        </w:rPr>
        <w:t>25 бинарни подобрувања и 17 влошувања</w:t>
      </w:r>
      <w:r>
        <w:t>. Уште 136 барања се точни во двете гранки, а 47 се погрешни во двете. Збирот од осум дополнителни поени ја крие оваа двонасочна промена. Едно повторување по гранка не дозволува таа да се припише само на додадениот контекст.</w:t>
      </w:r>
    </w:p>
    <w:p>
      <w:pPr>
        <w:keepNext/>
        <w:spacing w:before="160" w:after="60"/>
        <w:jc w:val="center"/>
      </w:pPr>
      <w:r>
        <w:drawing>
          <wp:inline xmlns:a="http://schemas.openxmlformats.org/drawingml/2006/main" xmlns:pic="http://schemas.openxmlformats.org/drawingml/2006/picture">
            <wp:extent cx="5760000" cy="4845714"/>
            <wp:docPr id="13" name="Picture 13" descr="Поединечни спарени примери. Промената на бинарниот поен се споредува со содржината на барањето и со избраната намера." title="analysis_semantic_cases"/>
            <wp:cNvGraphicFramePr>
              <a:graphicFrameLocks noChangeAspect="1"/>
            </wp:cNvGraphicFramePr>
            <a:graphic>
              <a:graphicData uri="http://schemas.openxmlformats.org/drawingml/2006/picture">
                <pic:pic>
                  <pic:nvPicPr>
                    <pic:cNvPr id="0" name="analysis_semantic_cases.png"/>
                    <pic:cNvPicPr/>
                  </pic:nvPicPr>
                  <pic:blipFill>
                    <a:blip r:embed="rId22"/>
                    <a:stretch>
                      <a:fillRect/>
                    </a:stretch>
                  </pic:blipFill>
                  <pic:spPr>
                    <a:xfrm>
                      <a:off x="0" y="0"/>
                      <a:ext cx="5760000" cy="4845714"/>
                    </a:xfrm>
                    <a:prstGeom prst="rect"/>
                  </pic:spPr>
                </pic:pic>
              </a:graphicData>
            </a:graphic>
          </wp:inline>
        </w:drawing>
      </w:r>
    </w:p>
    <w:p>
      <w:bookmarkStart w:id="10013" w:name="aries_figure_13"/>
      <w:pPr>
        <w:pStyle w:val="Caption"/>
      </w:pPr>
      <w:bookmarkEnd w:id="10013"/>
      <w:r>
        <w:rPr>
          <w:b/>
        </w:rPr>
        <w:t xml:space="preserve">Слика </w:t>
      </w:r>
      <w:r>
        <w:fldChar w:fldCharType="begin" w:dirty="true"/>
      </w:r>
      <w:r>
        <w:instrText xml:space="preserve"> SEQ Figure \* ARABIC </w:instrText>
      </w:r>
      <w:r>
        <w:fldChar w:fldCharType="separate"/>
      </w:r>
      <w:r>
        <w:t>13</w:t>
      </w:r>
      <w:r>
        <w:fldChar w:fldCharType="end"/>
      </w:r>
      <w:r>
        <w:rPr>
          <w:b/>
        </w:rPr>
        <w:t xml:space="preserve">. </w:t>
      </w:r>
      <w:r>
        <w:t>Поединечни спарени примери. Промената на бинарниот поен се споредува со содржината на барањето и со избраната намера.</w:t>
      </w:r>
    </w:p>
    <w:p>
      <w:pPr>
        <w:pStyle w:val="ARIESAnalysis"/>
      </w:pPr>
      <w:r>
        <w:rPr>
          <w:b/>
        </w:rPr>
        <w:t>Поен не значи точна алатка.</w:t>
      </w:r>
      <w:r>
        <w:t xml:space="preserve"> За „stop the music“, преминот UNKNOWN→SEND_EMAIL добива бинарен поен бидејќи барањето е извршливо. Сепак, испраќање е-пошта не ја исполнува задачата. Ова е конкретен доказ дека бинарната точност мора да се надополни со оценување на намерата, аргументите и крајниот исход; примерот не е целосна семантичка реевалуација на пакетот.</w:t>
      </w:r>
    </w:p>
    <w:p>
      <w:bookmarkStart w:id="97" w:name="aries_heading_96"/>
      <w:pPr>
        <w:pStyle w:val="Heading2"/>
      </w:pPr>
      <w:r>
        <w:t>Првичниот критериум и подоцнежното образложение</w:t>
      </w:r>
      <w:bookmarkEnd w:id="97"/>
    </w:p>
    <w:p>
      <w:pPr/>
      <w:r>
        <w:t>Претходна развојна споредба не го исполнила однапред поставениот критериум. Задржувањето на промената било образложено подоцна со други својства на воздржувањето. Ова е постхок одлука и не претставува исполнет првичен критериум. Заедничкото повторно оценување на зачуваните гранки погоре не ја менува историјата на таа одлука. Следната евалуација мора однапред да ги определи мерките, критериумот и правилата за невалидни извршувања.</w:t>
      </w:r>
    </w:p>
    <w:p>
      <w:bookmarkStart w:id="99" w:name="aries_heading_98"/>
      <w:pPr>
        <w:pStyle w:val="Heading2"/>
      </w:pPr>
      <w:r>
        <w:t>Истата манипулација на друга фикстура</w:t>
      </w:r>
      <w:bookmarkEnd w:id="99"/>
    </w:p>
    <w:p>
      <w:pPr/>
      <w:r>
        <w:t xml:space="preserve">Врз 229 англиски реченици, со речник вклучен наспроти исклучен, точноста расте од 133/229 на 159/229, одбивањето надвор од опсегот од 0/46 на 8/46, прецизноста на одбивање е </w:t>
      </w:r>
      <w:r>
        <w:rPr>
          <w:b/>
        </w:rPr>
        <w:t>27/27</w:t>
      </w:r>
      <w:r>
        <w:t xml:space="preserve">, а погрешните одбивања остануваат </w:t>
      </w:r>
      <w:r>
        <w:rPr>
          <w:b/>
        </w:rPr>
        <w:t>0/104</w:t>
      </w:r>
      <w:r>
        <w:t>. Во оваа проба не е забележано погрешно експлицитно воздржување; тоа не е гаранција за идни барања или за други распределби.</w:t>
      </w:r>
    </w:p>
    <w:p>
      <w:bookmarkStart w:id="101" w:name="aries_heading_100"/>
      <w:pPr>
        <w:pStyle w:val="Heading1"/>
      </w:pPr>
      <w:r>
        <w:t>Историски резултат 3: агентско извршување и изолирани способности</w:t>
      </w:r>
      <w:bookmarkEnd w:id="101"/>
    </w:p>
    <w:p>
      <w:pPr>
        <w:keepNext/>
        <w:spacing w:before="160" w:after="60"/>
        <w:jc w:val="center"/>
      </w:pPr>
      <w:r>
        <w:drawing>
          <wp:inline xmlns:a="http://schemas.openxmlformats.org/drawingml/2006/main" xmlns:pic="http://schemas.openxmlformats.org/drawingml/2006/picture">
            <wp:extent cx="5760000" cy="3817143"/>
            <wp:docPr id="14" name="Picture 14" descr="Историските оценки на 90 мешани случаи: 75 агентски задачи преку HTTP и 15 изолирани тестови на способности. Двата исхода false_success се првични оценки на оракулот." title="suite"/>
            <wp:cNvGraphicFramePr>
              <a:graphicFrameLocks noChangeAspect="1"/>
            </wp:cNvGraphicFramePr>
            <a:graphic>
              <a:graphicData uri="http://schemas.openxmlformats.org/drawingml/2006/picture">
                <pic:pic>
                  <pic:nvPicPr>
                    <pic:cNvPr id="0" name="suite.png"/>
                    <pic:cNvPicPr/>
                  </pic:nvPicPr>
                  <pic:blipFill>
                    <a:blip r:embed="rId23"/>
                    <a:stretch>
                      <a:fillRect/>
                    </a:stretch>
                  </pic:blipFill>
                  <pic:spPr>
                    <a:xfrm>
                      <a:off x="0" y="0"/>
                      <a:ext cx="5760000" cy="3817143"/>
                    </a:xfrm>
                    <a:prstGeom prst="rect"/>
                  </pic:spPr>
                </pic:pic>
              </a:graphicData>
            </a:graphic>
          </wp:inline>
        </w:drawing>
      </w:r>
    </w:p>
    <w:p>
      <w:bookmarkStart w:id="10014" w:name="aries_figure_14"/>
      <w:pPr>
        <w:pStyle w:val="Caption"/>
      </w:pPr>
      <w:bookmarkEnd w:id="10014"/>
      <w:r>
        <w:rPr>
          <w:b/>
        </w:rPr>
        <w:t xml:space="preserve">Слика </w:t>
      </w:r>
      <w:r>
        <w:fldChar w:fldCharType="begin" w:dirty="true"/>
      </w:r>
      <w:r>
        <w:instrText xml:space="preserve"> SEQ Figure \* ARABIC </w:instrText>
      </w:r>
      <w:r>
        <w:fldChar w:fldCharType="separate"/>
      </w:r>
      <w:r>
        <w:t>14</w:t>
      </w:r>
      <w:r>
        <w:fldChar w:fldCharType="end"/>
      </w:r>
      <w:r>
        <w:rPr>
          <w:b/>
        </w:rPr>
        <w:t xml:space="preserve">. </w:t>
      </w:r>
      <w:r>
        <w:t>Историските оценки на 90 мешани случаи: 75 агентски задачи преку HTTP и 15 изолирани тестови на способности. Двата исхода false_success се првични оценки на оракулот.</w:t>
      </w:r>
    </w:p>
    <w:tbl>
      <w:tblPr>
        <w:tblW w:type="auto" w:w="0"/>
        <w:jc w:val="center"/>
        <w:tblLayout w:type="fixed"/>
        <w:tblLook w:firstColumn="1" w:firstRow="1" w:lastColumn="0" w:lastRow="0" w:noHBand="0" w:noVBand="1" w:val="04A0"/>
        <w:tblBorders>
          <w:top w:val="single" w:sz="4" w:color="CDD8E0"/>
          <w:bottom w:val="single" w:sz="4" w:color="CDD8E0"/>
          <w:insideH w:val="single" w:sz="4" w:color="CDD8E0"/>
        </w:tblBorders>
      </w:tblPr>
      <w:tblGrid>
        <w:gridCol w:w="2268"/>
        <w:gridCol w:w="2268"/>
        <w:gridCol w:w="2268"/>
        <w:gridCol w:w="2268"/>
      </w:tblGrid>
      <w:tr>
        <w:trPr>
          <w:cantSplit/>
          <w:tblHeader/>
        </w:trPr>
        <w:tc>
          <w:tcPr>
            <w:tcW w:type="dxa" w:w="2268"/>
            <w:vAlign w:val="top"/>
            <w:shd w:fill="EFF5F8"/>
          </w:tcPr>
          <w:p>
            <w:pPr>
              <w:pStyle w:val="ARIESTable"/>
              <w:keepNext/>
            </w:pPr>
            <w:r>
              <w:rPr>
                <w:b/>
              </w:rPr>
              <w:t>слој</w:t>
            </w:r>
          </w:p>
        </w:tc>
        <w:tc>
          <w:tcPr>
            <w:tcW w:type="dxa" w:w="2268"/>
            <w:vAlign w:val="top"/>
            <w:shd w:fill="EFF5F8"/>
          </w:tcPr>
          <w:p>
            <w:pPr>
              <w:pStyle w:val="ARIESTable"/>
              <w:keepNext/>
            </w:pPr>
            <w:r>
              <w:rPr>
                <w:b/>
              </w:rPr>
              <w:t>случаи</w:t>
            </w:r>
          </w:p>
        </w:tc>
        <w:tc>
          <w:tcPr>
            <w:tcW w:type="dxa" w:w="2268"/>
            <w:vAlign w:val="top"/>
            <w:shd w:fill="EFF5F8"/>
          </w:tcPr>
          <w:p>
            <w:pPr>
              <w:pStyle w:val="ARIESTable"/>
              <w:keepNext/>
            </w:pPr>
            <w:r>
              <w:rPr>
                <w:b/>
              </w:rPr>
              <w:t>поминати</w:t>
            </w:r>
          </w:p>
        </w:tc>
        <w:tc>
          <w:tcPr>
            <w:tcW w:type="dxa" w:w="2268"/>
            <w:vAlign w:val="top"/>
            <w:shd w:fill="EFF5F8"/>
          </w:tcPr>
          <w:p>
            <w:pPr>
              <w:pStyle w:val="ARIESTable"/>
              <w:keepNext/>
            </w:pPr>
            <w:r>
              <w:rPr>
                <w:b/>
              </w:rPr>
              <w:t>првично означени false_success</w:t>
            </w:r>
          </w:p>
        </w:tc>
      </w:tr>
      <w:tr>
        <w:trPr>
          <w:cantSplit/>
        </w:trPr>
        <w:tc>
          <w:tcPr>
            <w:tcW w:type="dxa" w:w="2268"/>
            <w:vAlign w:val="top"/>
          </w:tcPr>
          <w:p>
            <w:pPr>
              <w:pStyle w:val="ARIESTable"/>
              <w:keepNext/>
            </w:pPr>
            <w:r>
              <w:t>Агентско извршување преку HTTP</w:t>
            </w:r>
          </w:p>
        </w:tc>
        <w:tc>
          <w:tcPr>
            <w:tcW w:type="dxa" w:w="2268"/>
            <w:vAlign w:val="top"/>
          </w:tcPr>
          <w:p>
            <w:pPr>
              <w:pStyle w:val="ARIESTable"/>
              <w:keepNext/>
            </w:pPr>
            <w:r>
              <w:t>75</w:t>
            </w:r>
          </w:p>
        </w:tc>
        <w:tc>
          <w:tcPr>
            <w:tcW w:type="dxa" w:w="2268"/>
            <w:vAlign w:val="top"/>
          </w:tcPr>
          <w:p>
            <w:pPr>
              <w:pStyle w:val="ARIESTable"/>
              <w:keepNext/>
            </w:pPr>
            <w:r>
              <w:t>73</w:t>
            </w:r>
          </w:p>
        </w:tc>
        <w:tc>
          <w:tcPr>
            <w:tcW w:type="dxa" w:w="2268"/>
            <w:vAlign w:val="top"/>
          </w:tcPr>
          <w:p>
            <w:pPr>
              <w:pStyle w:val="ARIESTable"/>
              <w:keepNext/>
            </w:pPr>
            <w:r>
              <w:t>2</w:t>
            </w:r>
          </w:p>
        </w:tc>
      </w:tr>
      <w:tr>
        <w:trPr>
          <w:cantSplit/>
        </w:trPr>
        <w:tc>
          <w:tcPr>
            <w:tcW w:type="dxa" w:w="2268"/>
            <w:vAlign w:val="top"/>
          </w:tcPr>
          <w:p>
            <w:pPr>
              <w:pStyle w:val="ARIESTable"/>
              <w:keepNext w:val="0"/>
            </w:pPr>
            <w:r>
              <w:t>Директни способности со вметнат дефект</w:t>
            </w:r>
          </w:p>
        </w:tc>
        <w:tc>
          <w:tcPr>
            <w:tcW w:type="dxa" w:w="2268"/>
            <w:vAlign w:val="top"/>
          </w:tcPr>
          <w:p>
            <w:pPr>
              <w:pStyle w:val="ARIESTable"/>
              <w:keepNext w:val="0"/>
            </w:pPr>
            <w:r>
              <w:t>15</w:t>
            </w:r>
          </w:p>
        </w:tc>
        <w:tc>
          <w:tcPr>
            <w:tcW w:type="dxa" w:w="2268"/>
            <w:vAlign w:val="top"/>
          </w:tcPr>
          <w:p>
            <w:pPr>
              <w:pStyle w:val="ARIESTable"/>
              <w:keepNext w:val="0"/>
            </w:pPr>
            <w:r>
              <w:t>15</w:t>
            </w:r>
          </w:p>
        </w:tc>
        <w:tc>
          <w:tcPr>
            <w:tcW w:type="dxa" w:w="2268"/>
            <w:vAlign w:val="top"/>
          </w:tcPr>
          <w:p>
            <w:pPr>
              <w:pStyle w:val="ARIESTable"/>
              <w:keepNext w:val="0"/>
            </w:pPr>
            <w:r>
              <w:t>0</w:t>
            </w:r>
          </w:p>
        </w:tc>
      </w:tr>
    </w:tbl>
    <w:p>
      <w:pPr>
        <w:spacing w:after="60"/>
      </w:pPr>
    </w:p>
    <w:p>
      <w:pPr/>
      <w:r>
        <w:t xml:space="preserve">Архивираниот збир е </w:t>
      </w:r>
      <w:r>
        <w:rPr>
          <w:b/>
        </w:rPr>
        <w:t>88 pass, 0 fail и 2 false_success од 90 случаи</w:t>
      </w:r>
      <w:r>
        <w:t>. Категориите се: еден чекор 20/20, повеќе чекори 25/25, двосмислени 15/15, со вметнат дефект 15/15, одбиј-или-одобри 9/10 и надвор од опсегот 4/5. Збирот не е една мерка за целосна успешност на агентот. Говорот не учествува во ова мерење.</w:t>
      </w:r>
    </w:p>
    <w:p>
      <w:pPr/>
      <w:r>
        <w:t>Петнаесетте тестови со вметнат дефект директно повикуваат способности во посебен процес. Го проверуваат откривањето и пријавувањето на дефектот, без рутер, LLM-планер или целата агентска јамка. Нивните 15/15 не докажуваат опоравување на целосниот агент од истите дефекти.</w:t>
      </w:r>
    </w:p>
    <w:p>
      <w:pPr>
        <w:keepNext/>
        <w:spacing w:before="160" w:after="60"/>
        <w:jc w:val="center"/>
      </w:pPr>
      <w:r>
        <w:drawing>
          <wp:inline xmlns:a="http://schemas.openxmlformats.org/drawingml/2006/main" xmlns:pic="http://schemas.openxmlformats.org/drawingml/2006/picture">
            <wp:extent cx="5760000" cy="4754286"/>
            <wp:docPr id="15" name="Picture 15" descr="Распределба на времињата по мерна патека. HTTP-задачите и директните тестови се прикажани одделно; времето не е само по себе мерка за квалитет." title="analysis_suite_latency"/>
            <wp:cNvGraphicFramePr>
              <a:graphicFrameLocks noChangeAspect="1"/>
            </wp:cNvGraphicFramePr>
            <a:graphic>
              <a:graphicData uri="http://schemas.openxmlformats.org/drawingml/2006/picture">
                <pic:pic>
                  <pic:nvPicPr>
                    <pic:cNvPr id="0" name="analysis_suite_latency.png"/>
                    <pic:cNvPicPr/>
                  </pic:nvPicPr>
                  <pic:blipFill>
                    <a:blip r:embed="rId24"/>
                    <a:stretch>
                      <a:fillRect/>
                    </a:stretch>
                  </pic:blipFill>
                  <pic:spPr>
                    <a:xfrm>
                      <a:off x="0" y="0"/>
                      <a:ext cx="5760000" cy="4754286"/>
                    </a:xfrm>
                    <a:prstGeom prst="rect"/>
                  </pic:spPr>
                </pic:pic>
              </a:graphicData>
            </a:graphic>
          </wp:inline>
        </w:drawing>
      </w:r>
    </w:p>
    <w:p>
      <w:bookmarkStart w:id="10015" w:name="aries_figure_15"/>
      <w:pPr>
        <w:pStyle w:val="Caption"/>
      </w:pPr>
      <w:bookmarkEnd w:id="10015"/>
      <w:r>
        <w:rPr>
          <w:b/>
        </w:rPr>
        <w:t xml:space="preserve">Слика </w:t>
      </w:r>
      <w:r>
        <w:fldChar w:fldCharType="begin" w:dirty="true"/>
      </w:r>
      <w:r>
        <w:instrText xml:space="preserve"> SEQ Figure \* ARABIC </w:instrText>
      </w:r>
      <w:r>
        <w:fldChar w:fldCharType="separate"/>
      </w:r>
      <w:r>
        <w:t>15</w:t>
      </w:r>
      <w:r>
        <w:fldChar w:fldCharType="end"/>
      </w:r>
      <w:r>
        <w:rPr>
          <w:b/>
        </w:rPr>
        <w:t xml:space="preserve">. </w:t>
      </w:r>
      <w:r>
        <w:t>Распределба на времињата по мерна патека. HTTP-задачите и директните тестови се прикажани одделно; времето не е само по себе мерка за квалитет.</w:t>
      </w:r>
    </w:p>
    <w:p>
      <w:pPr>
        <w:pStyle w:val="ARIESAnalysis"/>
      </w:pPr>
      <w:r>
        <w:rPr>
          <w:b/>
        </w:rPr>
        <w:t>Толкување на латентноста.</w:t>
      </w:r>
      <w:r>
        <w:t xml:space="preserve"> Распределбата открива варијабилност што збирен просек би ја сокрил. Патеките немаат ист обем на работа, а историскиот извор се менувал. Затоа графикот е опис на оваа серија, без тврдење дека едната патека е подобар агент.</w:t>
      </w:r>
    </w:p>
    <w:p>
      <w:bookmarkStart w:id="108" w:name="aries_heading_107"/>
      <w:pPr>
        <w:pStyle w:val="Heading2"/>
      </w:pPr>
      <w:r>
        <w:t>Проверка на двата спорни случаи</w:t>
      </w:r>
      <w:bookmarkEnd w:id="108"/>
    </w:p>
    <w:p>
      <w:pPr/>
      <w:r>
        <w:rPr>
          <w:b/>
        </w:rPr>
        <w:t>ra-05 — несогласување за политика на читање.</w:t>
      </w:r>
      <w:r>
        <w:t xml:space="preserve"> Историскиот запис покажува извршено читање, а SHA-256 на прочитаната датотека се совпаѓа со зачуваниот почетен извор. Оракулот очекувал одбивање. Затоа спорот е околу дозволеното однесување и очекувањето на тестот; не е доказ дека агентот лажно тврдел дека прочитал датотека.</w:t>
      </w:r>
    </w:p>
    <w:p>
      <w:pPr/>
      <w:r>
        <w:rPr>
          <w:b/>
        </w:rPr>
        <w:t>oo-02 — бараниот уредувач веќе бил инсталиран.</w:t>
      </w:r>
      <w:r>
        <w:t xml:space="preserve"> Во зачуваната подготовка на целта </w:t>
      </w:r>
      <w:r>
        <w:rPr>
          <w:rFonts w:ascii="DejaVu Sans Mono" w:hAnsi="DejaVu Sans Mono"/>
          <w:sz w:val="19"/>
        </w:rPr>
        <w:t>41e7e503cd494e6f8fa15bd1d5d9cfe7</w:t>
      </w:r>
      <w:r>
        <w:t xml:space="preserve"> стои </w:t>
      </w:r>
      <w:r>
        <w:rPr>
          <w:rFonts w:ascii="DejaVu Sans Mono" w:hAnsi="DejaVu Sans Mono"/>
          <w:sz w:val="19"/>
        </w:rPr>
        <w:t>already_installed=true</w:t>
      </w:r>
      <w:r>
        <w:t xml:space="preserve">, пакет </w:t>
      </w:r>
      <w:r>
        <w:rPr>
          <w:rFonts w:ascii="DejaVu Sans Mono" w:hAnsi="DejaVu Sans Mono"/>
          <w:sz w:val="19"/>
        </w:rPr>
        <w:t>code</w:t>
      </w:r>
      <w:r>
        <w:t xml:space="preserve"> и Snap ревизија 267. Резултатот пријавува дека бараната стабилна ревизија е веќе инсталирана; верификаторот ја чита истата ревизија. Ова поддржува идемпотентен исход: задачата може да биде исполнета без промена.</w:t>
      </w:r>
    </w:p>
    <w:p>
      <w:pPr/>
      <w:r>
        <w:t xml:space="preserve">Сепак, тестот зачувал само почетен број на dpkg-пакети за целата серија, а не независна Snap-состојба непосредно пред оваа задача. Затоа не се тврди целосно потврден почетен услов. </w:t>
      </w:r>
      <w:r>
        <w:rPr>
          <w:b/>
        </w:rPr>
        <w:t>Случајот не е потврден вистински дефект</w:t>
      </w:r>
      <w:r>
        <w:t xml:space="preserve">, а првичната ознака </w:t>
      </w:r>
      <w:r>
        <w:rPr>
          <w:rFonts w:ascii="DejaVu Sans Mono" w:hAnsi="DejaVu Sans Mono"/>
          <w:sz w:val="19"/>
        </w:rPr>
        <w:t>false_success</w:t>
      </w:r>
      <w:r>
        <w:t xml:space="preserve"> останува зачувана, без ретроактивно прогласување целосна успешност. Изводите од оригиналниот дневник и проверката се во зачуваниот пакет на докази и во </w:t>
      </w:r>
      <w:r>
        <w:rPr>
          <w:rFonts w:ascii="DejaVu Sans Mono" w:hAnsi="DejaVu Sans Mono"/>
          <w:sz w:val="19"/>
        </w:rPr>
        <w:t>metrics-audit.json</w:t>
      </w:r>
      <w:r>
        <w:t>.</w:t>
      </w:r>
    </w:p>
    <w:p>
      <w:pPr/>
      <w:r>
        <w:t>Ова е една проба по случај. Покрај спорните оракули, изворот се менувал и HTTP-знаменцата не биле контролирани како што барала скриптата. Потребно е повторување со замрзнат код, потврдени ефективни поставки и оракули што ја читаат почетната и бараната крајна состојба.</w:t>
      </w:r>
    </w:p>
    <w:p>
      <w:pPr>
        <w:keepNext/>
        <w:spacing w:before="160" w:after="60"/>
        <w:jc w:val="center"/>
      </w:pPr>
      <w:r>
        <w:drawing>
          <wp:inline xmlns:a="http://schemas.openxmlformats.org/drawingml/2006/main" xmlns:pic="http://schemas.openxmlformats.org/drawingml/2006/picture">
            <wp:extent cx="5760000" cy="5340397"/>
            <wp:docPr id="16" name="Picture 16" descr="Анализа на oo-02. Зачуваната подготовка и проверка поддржуваат веќе исполнета цел, додека оракулот ја означил непроменетата состојба како false_success." title="case_oo02"/>
            <wp:cNvGraphicFramePr>
              <a:graphicFrameLocks noChangeAspect="1"/>
            </wp:cNvGraphicFramePr>
            <a:graphic>
              <a:graphicData uri="http://schemas.openxmlformats.org/drawingml/2006/picture">
                <pic:pic>
                  <pic:nvPicPr>
                    <pic:cNvPr id="0" name="case_oo02.png"/>
                    <pic:cNvPicPr/>
                  </pic:nvPicPr>
                  <pic:blipFill>
                    <a:blip r:embed="rId25"/>
                    <a:stretch>
                      <a:fillRect/>
                    </a:stretch>
                  </pic:blipFill>
                  <pic:spPr>
                    <a:xfrm>
                      <a:off x="0" y="0"/>
                      <a:ext cx="5760000" cy="5340397"/>
                    </a:xfrm>
                    <a:prstGeom prst="rect"/>
                  </pic:spPr>
                </pic:pic>
              </a:graphicData>
            </a:graphic>
          </wp:inline>
        </w:drawing>
      </w:r>
    </w:p>
    <w:p>
      <w:bookmarkStart w:id="10016" w:name="aries_figure_16"/>
      <w:pPr>
        <w:pStyle w:val="Caption"/>
      </w:pPr>
      <w:bookmarkEnd w:id="10016"/>
      <w:r>
        <w:rPr>
          <w:b/>
        </w:rPr>
        <w:t xml:space="preserve">Слика </w:t>
      </w:r>
      <w:r>
        <w:fldChar w:fldCharType="begin" w:dirty="true"/>
      </w:r>
      <w:r>
        <w:instrText xml:space="preserve"> SEQ Figure \* ARABIC </w:instrText>
      </w:r>
      <w:r>
        <w:fldChar w:fldCharType="separate"/>
      </w:r>
      <w:r>
        <w:t>16</w:t>
      </w:r>
      <w:r>
        <w:fldChar w:fldCharType="end"/>
      </w:r>
      <w:r>
        <w:rPr>
          <w:b/>
        </w:rPr>
        <w:t xml:space="preserve">. </w:t>
      </w:r>
      <w:r>
        <w:t>Анализа на oo-02. Зачуваната подготовка и проверка поддржуваат веќе исполнета цел, додека оракулот ја означил непроменетата состојба како false_success.</w:t>
      </w:r>
    </w:p>
    <w:p>
      <w:pPr>
        <w:keepNext/>
        <w:spacing w:before="160" w:after="60"/>
        <w:jc w:val="center"/>
      </w:pPr>
      <w:r>
        <w:drawing>
          <wp:inline xmlns:a="http://schemas.openxmlformats.org/drawingml/2006/main" xmlns:pic="http://schemas.openxmlformats.org/drawingml/2006/picture">
            <wp:extent cx="5760000" cy="4691921"/>
            <wp:docPr id="17" name="Picture 17" descr="Анализа на ra-05. Совпаѓањето на дигестот го поддржува извршеното читање; несогласувањето е меѓу политиката на тестот и дозволеното однесување." title="case_ra05"/>
            <wp:cNvGraphicFramePr>
              <a:graphicFrameLocks noChangeAspect="1"/>
            </wp:cNvGraphicFramePr>
            <a:graphic>
              <a:graphicData uri="http://schemas.openxmlformats.org/drawingml/2006/picture">
                <pic:pic>
                  <pic:nvPicPr>
                    <pic:cNvPr id="0" name="case_ra05.png"/>
                    <pic:cNvPicPr/>
                  </pic:nvPicPr>
                  <pic:blipFill>
                    <a:blip r:embed="rId26"/>
                    <a:stretch>
                      <a:fillRect/>
                    </a:stretch>
                  </pic:blipFill>
                  <pic:spPr>
                    <a:xfrm>
                      <a:off x="0" y="0"/>
                      <a:ext cx="5760000" cy="4691921"/>
                    </a:xfrm>
                    <a:prstGeom prst="rect"/>
                  </pic:spPr>
                </pic:pic>
              </a:graphicData>
            </a:graphic>
          </wp:inline>
        </w:drawing>
      </w:r>
    </w:p>
    <w:p>
      <w:bookmarkStart w:id="10017" w:name="aries_figure_17"/>
      <w:pPr>
        <w:pStyle w:val="Caption"/>
      </w:pPr>
      <w:bookmarkEnd w:id="10017"/>
      <w:r>
        <w:rPr>
          <w:b/>
        </w:rPr>
        <w:t xml:space="preserve">Слика </w:t>
      </w:r>
      <w:r>
        <w:fldChar w:fldCharType="begin" w:dirty="true"/>
      </w:r>
      <w:r>
        <w:instrText xml:space="preserve"> SEQ Figure \* ARABIC </w:instrText>
      </w:r>
      <w:r>
        <w:fldChar w:fldCharType="separate"/>
      </w:r>
      <w:r>
        <w:t>17</w:t>
      </w:r>
      <w:r>
        <w:fldChar w:fldCharType="end"/>
      </w:r>
      <w:r>
        <w:rPr>
          <w:b/>
        </w:rPr>
        <w:t xml:space="preserve">. </w:t>
      </w:r>
      <w:r>
        <w:t>Анализа на ra-05. Совпаѓањето на дигестот го поддржува извршеното читање; несогласувањето е меѓу политиката на тестот и дозволеното однесување.</w:t>
      </w:r>
    </w:p>
    <w:p>
      <w:pPr>
        <w:pStyle w:val="ARIESAnalysis"/>
      </w:pPr>
      <w:r>
        <w:rPr>
          <w:b/>
        </w:rPr>
        <w:t>Дизајн на подобар оракул.</w:t>
      </w:r>
      <w:r>
        <w:t xml:space="preserve"> Прво се чита почетната состојба, потоа се определува бараниот исход, а на крај се проверува неговото исполнување. Самото отсуство на промена не значи неуспех, особено кај идемпотентни задачи. Оригиналните ознаки се зачувани за да не се подобри резултатот со постхок преименување.</w:t>
      </w:r>
    </w:p>
    <w:p>
      <w:bookmarkStart w:id="116" w:name="aries_heading_115"/>
      <w:pPr>
        <w:pStyle w:val="Heading1"/>
      </w:pPr>
      <w:r>
        <w:t>Историски резултат 4: што значи „верификувано“</w:t>
      </w:r>
      <w:bookmarkEnd w:id="116"/>
    </w:p>
    <w:p>
      <w:pPr>
        <w:keepNext/>
        <w:spacing w:before="160" w:after="60"/>
        <w:jc w:val="center"/>
      </w:pPr>
      <w:r>
        <w:drawing>
          <wp:inline xmlns:a="http://schemas.openxmlformats.org/drawingml/2006/main" xmlns:pic="http://schemas.openxmlformats.org/drawingml/2006/picture">
            <wp:extent cx="5760000" cy="4179048"/>
            <wp:docPr id="18" name="Picture 18" descr="Историска класификација на 58 верификатори, 57 со извршен доказ. Дневникот е поврзан по име на способност, без доказ за ист изворен верификатор во секој стар чекор." title="verifier_taxonomy"/>
            <wp:cNvGraphicFramePr>
              <a:graphicFrameLocks noChangeAspect="1"/>
            </wp:cNvGraphicFramePr>
            <a:graphic>
              <a:graphicData uri="http://schemas.openxmlformats.org/drawingml/2006/picture">
                <pic:pic>
                  <pic:nvPicPr>
                    <pic:cNvPr id="0" name="verifier_taxonomy.png"/>
                    <pic:cNvPicPr/>
                  </pic:nvPicPr>
                  <pic:blipFill>
                    <a:blip r:embed="rId27"/>
                    <a:stretch>
                      <a:fillRect/>
                    </a:stretch>
                  </pic:blipFill>
                  <pic:spPr>
                    <a:xfrm>
                      <a:off x="0" y="0"/>
                      <a:ext cx="5760000" cy="4179048"/>
                    </a:xfrm>
                    <a:prstGeom prst="rect"/>
                  </pic:spPr>
                </pic:pic>
              </a:graphicData>
            </a:graphic>
          </wp:inline>
        </w:drawing>
      </w:r>
    </w:p>
    <w:p>
      <w:bookmarkStart w:id="10018" w:name="aries_figure_18"/>
      <w:pPr>
        <w:pStyle w:val="Caption"/>
      </w:pPr>
      <w:bookmarkEnd w:id="10018"/>
      <w:r>
        <w:rPr>
          <w:b/>
        </w:rPr>
        <w:t xml:space="preserve">Слика </w:t>
      </w:r>
      <w:r>
        <w:fldChar w:fldCharType="begin" w:dirty="true"/>
      </w:r>
      <w:r>
        <w:instrText xml:space="preserve"> SEQ Figure \* ARABIC </w:instrText>
      </w:r>
      <w:r>
        <w:fldChar w:fldCharType="separate"/>
      </w:r>
      <w:r>
        <w:t>18</w:t>
      </w:r>
      <w:r>
        <w:fldChar w:fldCharType="end"/>
      </w:r>
      <w:r>
        <w:rPr>
          <w:b/>
        </w:rPr>
        <w:t xml:space="preserve">. </w:t>
      </w:r>
      <w:r>
        <w:t>Историска класификација на 58 верификатори, 57 со извршен доказ. Дневникот е поврзан по име на способност, без доказ за ист изворен верификатор во секој стар чекор.</w:t>
      </w:r>
    </w:p>
    <w:p>
      <w:pPr/>
      <w:r>
        <w:t>Архитектурата вети независна проверка. Прашањето што овој труд го постави е колку од тоа ветување е исполнето, и одговорот е мерлив.</w:t>
      </w:r>
    </w:p>
    <w:p>
      <w:bookmarkStart w:id="119" w:name="aries_heading_118"/>
      <w:pPr>
        <w:pStyle w:val="Heading2"/>
      </w:pPr>
      <w:r>
        <w:t>Класификацијата</w:t>
      </w:r>
      <w:bookmarkEnd w:id="119"/>
    </w:p>
    <w:p>
      <w:pPr/>
      <w:r>
        <w:t xml:space="preserve">Сите 58 верификатори беа класифицирани, 57 од нив со </w:t>
      </w:r>
      <w:r>
        <w:rPr>
          <w:b/>
        </w:rPr>
        <w:t>извршен</w:t>
      </w:r>
      <w:r>
        <w:t xml:space="preserve"> доказ — верификаторот увезен и повикан со синтетички аргументи. Четири класи се разликуваат:</w:t>
      </w:r>
    </w:p>
    <w:tbl>
      <w:tblPr>
        <w:tblW w:type="auto" w:w="0"/>
        <w:jc w:val="center"/>
        <w:tblLayout w:type="fixed"/>
        <w:tblLook w:firstColumn="1" w:firstRow="1" w:lastColumn="0" w:lastRow="0" w:noHBand="0" w:noVBand="1" w:val="04A0"/>
        <w:tblBorders>
          <w:top w:val="single" w:sz="4" w:color="CDD8E0"/>
          <w:bottom w:val="single" w:sz="4" w:color="CDD8E0"/>
          <w:insideH w:val="single" w:sz="4" w:color="CDD8E0"/>
        </w:tblBorders>
      </w:tblPr>
      <w:tblGrid>
        <w:gridCol w:w="3024"/>
        <w:gridCol w:w="3024"/>
        <w:gridCol w:w="3024"/>
      </w:tblGrid>
      <w:tr>
        <w:trPr>
          <w:cantSplit/>
          <w:tblHeader/>
        </w:trPr>
        <w:tc>
          <w:tcPr>
            <w:tcW w:type="dxa" w:w="3024"/>
            <w:vAlign w:val="top"/>
            <w:shd w:fill="EFF5F8"/>
          </w:tcPr>
          <w:p>
            <w:pPr>
              <w:pStyle w:val="ARIESTable"/>
              <w:keepNext/>
            </w:pPr>
            <w:r>
              <w:rPr>
                <w:b/>
              </w:rPr>
              <w:t>класа</w:t>
            </w:r>
          </w:p>
        </w:tc>
        <w:tc>
          <w:tcPr>
            <w:tcW w:type="dxa" w:w="3024"/>
            <w:vAlign w:val="top"/>
            <w:shd w:fill="EFF5F8"/>
          </w:tcPr>
          <w:p>
            <w:pPr>
              <w:pStyle w:val="ARIESTable"/>
              <w:keepNext/>
            </w:pPr>
            <w:r>
              <w:rPr>
                <w:b/>
              </w:rPr>
              <w:t>број</w:t>
            </w:r>
          </w:p>
        </w:tc>
        <w:tc>
          <w:tcPr>
            <w:tcW w:type="dxa" w:w="3024"/>
            <w:vAlign w:val="top"/>
            <w:shd w:fill="EFF5F8"/>
          </w:tcPr>
          <w:p>
            <w:pPr>
              <w:pStyle w:val="ARIESTable"/>
              <w:keepNext/>
            </w:pPr>
            <w:r>
              <w:rPr>
                <w:b/>
              </w:rPr>
              <w:t>што прави</w:t>
            </w:r>
          </w:p>
        </w:tc>
      </w:tr>
      <w:tr>
        <w:trPr>
          <w:cantSplit/>
        </w:trPr>
        <w:tc>
          <w:tcPr>
            <w:tcW w:type="dxa" w:w="3024"/>
            <w:vAlign w:val="top"/>
          </w:tcPr>
          <w:p>
            <w:pPr>
              <w:pStyle w:val="ARIESTable"/>
              <w:keepNext/>
            </w:pPr>
            <w:r>
              <w:t>независен</w:t>
            </w:r>
          </w:p>
        </w:tc>
        <w:tc>
          <w:tcPr>
            <w:tcW w:type="dxa" w:w="3024"/>
            <w:vAlign w:val="top"/>
          </w:tcPr>
          <w:p>
            <w:pPr>
              <w:pStyle w:val="ARIESTable"/>
              <w:keepNext/>
            </w:pPr>
            <w:r>
              <w:rPr>
                <w:b/>
              </w:rPr>
              <w:t>35</w:t>
            </w:r>
          </w:p>
        </w:tc>
        <w:tc>
          <w:tcPr>
            <w:tcW w:type="dxa" w:w="3024"/>
            <w:vAlign w:val="top"/>
          </w:tcPr>
          <w:p>
            <w:pPr>
              <w:pStyle w:val="ARIESTable"/>
              <w:keepNext/>
            </w:pPr>
            <w:r>
              <w:t>чита состојба по пат што извршителот не го контролира</w:t>
            </w:r>
          </w:p>
        </w:tc>
      </w:tr>
      <w:tr>
        <w:trPr>
          <w:cantSplit/>
        </w:trPr>
        <w:tc>
          <w:tcPr>
            <w:tcW w:type="dxa" w:w="3024"/>
            <w:vAlign w:val="top"/>
          </w:tcPr>
          <w:p>
            <w:pPr>
              <w:pStyle w:val="ARIESTable"/>
              <w:keepNext/>
            </w:pPr>
            <w:r>
              <w:t>самопријавувачки</w:t>
            </w:r>
          </w:p>
        </w:tc>
        <w:tc>
          <w:tcPr>
            <w:tcW w:type="dxa" w:w="3024"/>
            <w:vAlign w:val="top"/>
          </w:tcPr>
          <w:p>
            <w:pPr>
              <w:pStyle w:val="ARIESTable"/>
              <w:keepNext/>
            </w:pPr>
            <w:r>
              <w:t>10</w:t>
            </w:r>
          </w:p>
        </w:tc>
        <w:tc>
          <w:tcPr>
            <w:tcW w:type="dxa" w:w="3024"/>
            <w:vAlign w:val="top"/>
          </w:tcPr>
          <w:p>
            <w:pPr>
              <w:pStyle w:val="ARIESTable"/>
              <w:keepNext/>
            </w:pPr>
            <w:r>
              <w:t>го повторува одговорот на самиот извршител</w:t>
            </w:r>
          </w:p>
        </w:tc>
      </w:tr>
      <w:tr>
        <w:trPr>
          <w:cantSplit/>
        </w:trPr>
        <w:tc>
          <w:tcPr>
            <w:tcW w:type="dxa" w:w="3024"/>
            <w:vAlign w:val="top"/>
          </w:tcPr>
          <w:p>
            <w:pPr>
              <w:pStyle w:val="ARIESTable"/>
              <w:keepNext/>
            </w:pPr>
            <w:r>
              <w:t>тривијален</w:t>
            </w:r>
          </w:p>
        </w:tc>
        <w:tc>
          <w:tcPr>
            <w:tcW w:type="dxa" w:w="3024"/>
            <w:vAlign w:val="top"/>
          </w:tcPr>
          <w:p>
            <w:pPr>
              <w:pStyle w:val="ARIESTable"/>
              <w:keepNext/>
            </w:pPr>
            <w:r>
              <w:t>12</w:t>
            </w:r>
          </w:p>
        </w:tc>
        <w:tc>
          <w:tcPr>
            <w:tcW w:type="dxa" w:w="3024"/>
            <w:vAlign w:val="top"/>
          </w:tcPr>
          <w:p>
            <w:pPr>
              <w:pStyle w:val="ARIESTable"/>
              <w:keepNext/>
            </w:pPr>
            <w:r>
              <w:t>враќа „исполнето“ без никаква споредба</w:t>
            </w:r>
          </w:p>
        </w:tc>
      </w:tr>
      <w:tr>
        <w:trPr>
          <w:cantSplit/>
        </w:trPr>
        <w:tc>
          <w:tcPr>
            <w:tcW w:type="dxa" w:w="3024"/>
            <w:vAlign w:val="top"/>
          </w:tcPr>
          <w:p>
            <w:pPr>
              <w:pStyle w:val="ARIESTable"/>
              <w:keepNext w:val="0"/>
            </w:pPr>
            <w:r>
              <w:t>од планерот</w:t>
            </w:r>
          </w:p>
        </w:tc>
        <w:tc>
          <w:tcPr>
            <w:tcW w:type="dxa" w:w="3024"/>
            <w:vAlign w:val="top"/>
          </w:tcPr>
          <w:p>
            <w:pPr>
              <w:pStyle w:val="ARIESTable"/>
              <w:keepNext w:val="0"/>
            </w:pPr>
            <w:r>
              <w:t>1</w:t>
            </w:r>
          </w:p>
        </w:tc>
        <w:tc>
          <w:tcPr>
            <w:tcW w:type="dxa" w:w="3024"/>
            <w:vAlign w:val="top"/>
          </w:tcPr>
          <w:p>
            <w:pPr>
              <w:pStyle w:val="ARIESTable"/>
              <w:keepNext w:val="0"/>
            </w:pPr>
            <w:r>
              <w:t>споредува со вредност што планерот ја избрал</w:t>
            </w:r>
          </w:p>
        </w:tc>
      </w:tr>
    </w:tbl>
    <w:p>
      <w:pPr>
        <w:spacing w:after="60"/>
      </w:pPr>
    </w:p>
    <w:p>
      <w:pPr/>
      <w:r>
        <w:t xml:space="preserve">Примери на независни набљудувања: контролата на сервис споредува </w:t>
      </w:r>
      <w:r>
        <w:rPr>
          <w:rFonts w:ascii="DejaVu Sans Mono" w:hAnsi="DejaVu Sans Mono"/>
          <w:sz w:val="19"/>
        </w:rPr>
        <w:t>InvocationID</w:t>
      </w:r>
      <w:r>
        <w:t xml:space="preserve"> пред и потоа, геометријата на прозорците се чита повторно со до десет обиди, датотечните операции споредуваат дигести. Но тие се </w:t>
      </w:r>
      <w:r>
        <w:rPr>
          <w:b/>
        </w:rPr>
        <w:t>35 од 58</w:t>
      </w:r>
      <w:r>
        <w:t>, а не сите.</w:t>
      </w:r>
    </w:p>
    <w:p>
      <w:bookmarkStart w:id="123" w:name="aries_heading_122"/>
      <w:pPr>
        <w:pStyle w:val="Heading2"/>
      </w:pPr>
      <w:r>
        <w:t>Споено со дневникот</w:t>
      </w:r>
      <w:bookmarkEnd w:id="123"/>
    </w:p>
    <w:tbl>
      <w:tblPr>
        <w:tblW w:type="auto" w:w="0"/>
        <w:jc w:val="center"/>
        <w:tblLayout w:type="fixed"/>
        <w:tblLook w:firstColumn="1" w:firstRow="1" w:lastColumn="0" w:lastRow="0" w:noHBand="0" w:noVBand="1" w:val="04A0"/>
        <w:tblBorders>
          <w:top w:val="single" w:sz="4" w:color="CDD8E0"/>
          <w:bottom w:val="single" w:sz="4" w:color="CDD8E0"/>
          <w:insideH w:val="single" w:sz="4" w:color="CDD8E0"/>
        </w:tblBorders>
      </w:tblPr>
      <w:tblGrid>
        <w:gridCol w:w="2268"/>
        <w:gridCol w:w="2268"/>
        <w:gridCol w:w="2268"/>
        <w:gridCol w:w="2268"/>
      </w:tblGrid>
      <w:tr>
        <w:trPr>
          <w:cantSplit/>
          <w:tblHeader/>
        </w:trPr>
        <w:tc>
          <w:tcPr>
            <w:tcW w:type="dxa" w:w="2268"/>
            <w:vAlign w:val="top"/>
            <w:shd w:fill="EFF5F8"/>
          </w:tcPr>
          <w:p>
            <w:pPr>
              <w:pStyle w:val="ARIESTable"/>
              <w:keepNext/>
            </w:pPr>
            <w:r>
              <w:rPr>
                <w:b/>
              </w:rPr>
              <w:t>класа</w:t>
            </w:r>
          </w:p>
        </w:tc>
        <w:tc>
          <w:tcPr>
            <w:tcW w:type="dxa" w:w="2268"/>
            <w:vAlign w:val="top"/>
            <w:shd w:fill="EFF5F8"/>
          </w:tcPr>
          <w:p>
            <w:pPr>
              <w:pStyle w:val="ARIESTable"/>
              <w:keepNext/>
            </w:pPr>
            <w:r>
              <w:rPr>
                <w:b/>
              </w:rPr>
              <w:t>верификувани</w:t>
            </w:r>
          </w:p>
        </w:tc>
        <w:tc>
          <w:tcPr>
            <w:tcW w:type="dxa" w:w="2268"/>
            <w:vAlign w:val="top"/>
            <w:shd w:fill="EFF5F8"/>
          </w:tcPr>
          <w:p>
            <w:pPr>
              <w:pStyle w:val="ARIESTable"/>
              <w:keepNext/>
            </w:pPr>
            <w:r>
              <w:rPr>
                <w:b/>
              </w:rPr>
              <w:t>противречни</w:t>
            </w:r>
          </w:p>
        </w:tc>
        <w:tc>
          <w:tcPr>
            <w:tcW w:type="dxa" w:w="2268"/>
            <w:vAlign w:val="top"/>
            <w:shd w:fill="EFF5F8"/>
          </w:tcPr>
          <w:p>
            <w:pPr>
              <w:pStyle w:val="ARIESTable"/>
              <w:keepNext/>
            </w:pPr>
            <w:r>
              <w:rPr>
                <w:b/>
              </w:rPr>
              <w:t>стапка</w:t>
            </w:r>
          </w:p>
        </w:tc>
      </w:tr>
      <w:tr>
        <w:trPr>
          <w:cantSplit/>
        </w:trPr>
        <w:tc>
          <w:tcPr>
            <w:tcW w:type="dxa" w:w="2268"/>
            <w:vAlign w:val="top"/>
          </w:tcPr>
          <w:p>
            <w:pPr>
              <w:pStyle w:val="ARIESTable"/>
              <w:keepNext/>
            </w:pPr>
            <w:r>
              <w:t>независни</w:t>
            </w:r>
          </w:p>
        </w:tc>
        <w:tc>
          <w:tcPr>
            <w:tcW w:type="dxa" w:w="2268"/>
            <w:vAlign w:val="top"/>
          </w:tcPr>
          <w:p>
            <w:pPr>
              <w:pStyle w:val="ARIESTable"/>
              <w:keepNext/>
            </w:pPr>
            <w:r>
              <w:t>102</w:t>
            </w:r>
          </w:p>
        </w:tc>
        <w:tc>
          <w:tcPr>
            <w:tcW w:type="dxa" w:w="2268"/>
            <w:vAlign w:val="top"/>
          </w:tcPr>
          <w:p>
            <w:pPr>
              <w:pStyle w:val="ARIESTable"/>
              <w:keepNext/>
            </w:pPr>
            <w:r>
              <w:t>1</w:t>
            </w:r>
          </w:p>
        </w:tc>
        <w:tc>
          <w:tcPr>
            <w:tcW w:type="dxa" w:w="2268"/>
            <w:vAlign w:val="top"/>
          </w:tcPr>
          <w:p>
            <w:pPr>
              <w:pStyle w:val="ARIESTable"/>
              <w:keepNext/>
            </w:pPr>
            <w:r>
              <w:t>0,97%</w:t>
            </w:r>
          </w:p>
        </w:tc>
      </w:tr>
      <w:tr>
        <w:trPr>
          <w:cantSplit/>
        </w:trPr>
        <w:tc>
          <w:tcPr>
            <w:tcW w:type="dxa" w:w="2268"/>
            <w:vAlign w:val="top"/>
          </w:tcPr>
          <w:p>
            <w:pPr>
              <w:pStyle w:val="ARIESTable"/>
              <w:keepNext/>
            </w:pPr>
            <w:r>
              <w:t>самопријавувачки</w:t>
            </w:r>
          </w:p>
        </w:tc>
        <w:tc>
          <w:tcPr>
            <w:tcW w:type="dxa" w:w="2268"/>
            <w:vAlign w:val="top"/>
          </w:tcPr>
          <w:p>
            <w:pPr>
              <w:pStyle w:val="ARIESTable"/>
              <w:keepNext/>
            </w:pPr>
            <w:r>
              <w:t>59</w:t>
            </w:r>
          </w:p>
        </w:tc>
        <w:tc>
          <w:tcPr>
            <w:tcW w:type="dxa" w:w="2268"/>
            <w:vAlign w:val="top"/>
          </w:tcPr>
          <w:p>
            <w:pPr>
              <w:pStyle w:val="ARIESTable"/>
              <w:keepNext/>
            </w:pPr>
            <w:r>
              <w:t>1</w:t>
            </w:r>
          </w:p>
        </w:tc>
        <w:tc>
          <w:tcPr>
            <w:tcW w:type="dxa" w:w="2268"/>
            <w:vAlign w:val="top"/>
          </w:tcPr>
          <w:p>
            <w:pPr>
              <w:pStyle w:val="ARIESTable"/>
              <w:keepNext/>
            </w:pPr>
            <w:r>
              <w:t>1,67%</w:t>
            </w:r>
          </w:p>
        </w:tc>
      </w:tr>
      <w:tr>
        <w:trPr>
          <w:cantSplit/>
        </w:trPr>
        <w:tc>
          <w:tcPr>
            <w:tcW w:type="dxa" w:w="2268"/>
            <w:vAlign w:val="top"/>
          </w:tcPr>
          <w:p>
            <w:pPr>
              <w:pStyle w:val="ARIESTable"/>
              <w:keepNext/>
            </w:pPr>
            <w:r>
              <w:rPr>
                <w:b/>
              </w:rPr>
              <w:t>тривијални</w:t>
            </w:r>
          </w:p>
        </w:tc>
        <w:tc>
          <w:tcPr>
            <w:tcW w:type="dxa" w:w="2268"/>
            <w:vAlign w:val="top"/>
          </w:tcPr>
          <w:p>
            <w:pPr>
              <w:pStyle w:val="ARIESTable"/>
              <w:keepNext/>
            </w:pPr>
            <w:r>
              <w:rPr>
                <w:b/>
              </w:rPr>
              <w:t>84</w:t>
            </w:r>
          </w:p>
        </w:tc>
        <w:tc>
          <w:tcPr>
            <w:tcW w:type="dxa" w:w="2268"/>
            <w:vAlign w:val="top"/>
          </w:tcPr>
          <w:p>
            <w:pPr>
              <w:pStyle w:val="ARIESTable"/>
              <w:keepNext/>
            </w:pPr>
            <w:r>
              <w:rPr>
                <w:b/>
              </w:rPr>
              <w:t>0</w:t>
            </w:r>
          </w:p>
        </w:tc>
        <w:tc>
          <w:tcPr>
            <w:tcW w:type="dxa" w:w="2268"/>
            <w:vAlign w:val="top"/>
          </w:tcPr>
          <w:p>
            <w:pPr>
              <w:pStyle w:val="ARIESTable"/>
              <w:keepNext/>
            </w:pPr>
            <w:r>
              <w:rPr>
                <w:b/>
              </w:rPr>
              <w:t>0%</w:t>
            </w:r>
          </w:p>
        </w:tc>
      </w:tr>
      <w:tr>
        <w:trPr>
          <w:cantSplit/>
        </w:trPr>
        <w:tc>
          <w:tcPr>
            <w:tcW w:type="dxa" w:w="2268"/>
            <w:vAlign w:val="top"/>
          </w:tcPr>
          <w:p>
            <w:pPr>
              <w:pStyle w:val="ARIESTable"/>
              <w:keepNext w:val="0"/>
            </w:pPr>
            <w:r>
              <w:t>надвор од регистарот</w:t>
            </w:r>
          </w:p>
        </w:tc>
        <w:tc>
          <w:tcPr>
            <w:tcW w:type="dxa" w:w="2268"/>
            <w:vAlign w:val="top"/>
          </w:tcPr>
          <w:p>
            <w:pPr>
              <w:pStyle w:val="ARIESTable"/>
              <w:keepNext w:val="0"/>
            </w:pPr>
            <w:r>
              <w:t>763</w:t>
            </w:r>
          </w:p>
        </w:tc>
        <w:tc>
          <w:tcPr>
            <w:tcW w:type="dxa" w:w="2268"/>
            <w:vAlign w:val="top"/>
          </w:tcPr>
          <w:p>
            <w:pPr>
              <w:pStyle w:val="ARIESTable"/>
              <w:keepNext w:val="0"/>
            </w:pPr>
            <w:r>
              <w:t>0</w:t>
            </w:r>
          </w:p>
        </w:tc>
        <w:tc>
          <w:tcPr>
            <w:tcW w:type="dxa" w:w="2268"/>
            <w:vAlign w:val="top"/>
          </w:tcPr>
          <w:p>
            <w:pPr>
              <w:pStyle w:val="ARIESTable"/>
              <w:keepNext w:val="0"/>
            </w:pPr>
            <w:r>
              <w:t>0%</w:t>
            </w:r>
          </w:p>
        </w:tc>
      </w:tr>
    </w:tbl>
    <w:p>
      <w:pPr>
        <w:spacing w:after="60"/>
      </w:pPr>
    </w:p>
    <w:p>
      <w:pPr/>
      <w:r>
        <w:t xml:space="preserve">Тривијалните верификатори противречеле нула пати во 84 чекори. Тоа </w:t>
      </w:r>
      <w:r>
        <w:rPr>
          <w:b/>
        </w:rPr>
        <w:t>не е наод за светот</w:t>
      </w:r>
      <w:r>
        <w:t xml:space="preserve"> туку последица од нивната градба: тие немаат начин да вратат негативна пресуда.</w:t>
      </w:r>
    </w:p>
    <w:p>
      <w:bookmarkStart w:id="126" w:name="aries_heading_125"/>
      <w:pPr>
        <w:pStyle w:val="Heading2"/>
      </w:pPr>
      <w:r>
        <w:t>Именителот</w:t>
      </w:r>
      <w:bookmarkEnd w:id="126"/>
    </w:p>
    <w:p>
      <w:pPr>
        <w:keepNext/>
        <w:spacing w:before="160" w:after="60"/>
        <w:jc w:val="center"/>
      </w:pPr>
      <w:r>
        <w:drawing>
          <wp:inline xmlns:a="http://schemas.openxmlformats.org/drawingml/2006/main" xmlns:pic="http://schemas.openxmlformats.org/drawingml/2006/picture">
            <wp:extent cx="5760000" cy="4662857"/>
            <wp:docPr id="19" name="Picture 19" descr="Покриеност и класи на верификација. Дневничките чекори, чекорите со пресуда и историски класифицираните проверки се различни множества." title="analysis_ledger"/>
            <wp:cNvGraphicFramePr>
              <a:graphicFrameLocks noChangeAspect="1"/>
            </wp:cNvGraphicFramePr>
            <a:graphic>
              <a:graphicData uri="http://schemas.openxmlformats.org/drawingml/2006/picture">
                <pic:pic>
                  <pic:nvPicPr>
                    <pic:cNvPr id="0" name="analysis_ledger.png"/>
                    <pic:cNvPicPr/>
                  </pic:nvPicPr>
                  <pic:blipFill>
                    <a:blip r:embed="rId28"/>
                    <a:stretch>
                      <a:fillRect/>
                    </a:stretch>
                  </pic:blipFill>
                  <pic:spPr>
                    <a:xfrm>
                      <a:off x="0" y="0"/>
                      <a:ext cx="5760000" cy="4662857"/>
                    </a:xfrm>
                    <a:prstGeom prst="rect"/>
                  </pic:spPr>
                </pic:pic>
              </a:graphicData>
            </a:graphic>
          </wp:inline>
        </w:drawing>
      </w:r>
    </w:p>
    <w:p>
      <w:bookmarkStart w:id="10019" w:name="aries_figure_19"/>
      <w:pPr>
        <w:pStyle w:val="Caption"/>
      </w:pPr>
      <w:bookmarkEnd w:id="10019"/>
      <w:r>
        <w:rPr>
          <w:b/>
        </w:rPr>
        <w:t xml:space="preserve">Слика </w:t>
      </w:r>
      <w:r>
        <w:fldChar w:fldCharType="begin" w:dirty="true"/>
      </w:r>
      <w:r>
        <w:instrText xml:space="preserve"> SEQ Figure \* ARABIC </w:instrText>
      </w:r>
      <w:r>
        <w:fldChar w:fldCharType="separate"/>
      </w:r>
      <w:r>
        <w:t>19</w:t>
      </w:r>
      <w:r>
        <w:fldChar w:fldCharType="end"/>
      </w:r>
      <w:r>
        <w:rPr>
          <w:b/>
        </w:rPr>
        <w:t xml:space="preserve">. </w:t>
      </w:r>
      <w:r>
        <w:t>Покриеност и класи на верификација. Дневничките чекори, чекорите со пресуда и историски класифицираните проверки се различни множества.</w:t>
      </w:r>
    </w:p>
    <w:p>
      <w:pPr/>
      <w:r>
        <w:t>Трудот во својот претходен нацрт ја наведуваше покриеноста со верификација како 325/381 = 85,3% и противречностите како 0/325, претставени како бројки за работата на системот.</w:t>
      </w:r>
    </w:p>
    <w:p>
      <w:pPr/>
      <w:r>
        <w:t xml:space="preserve">Во зачуваниот снимок базата држела </w:t>
      </w:r>
      <w:r>
        <w:rPr>
          <w:b/>
        </w:rPr>
        <w:t>8.032 цели</w:t>
      </w:r>
      <w:r>
        <w:t xml:space="preserve">, сите во прозорецот, а тогашната аналитика скенирала најмногу </w:t>
      </w:r>
      <w:r>
        <w:rPr>
          <w:b/>
        </w:rPr>
        <w:t>500</w:t>
      </w:r>
      <w:r>
        <w:t xml:space="preserve"> најнови. Значи бројката е пресметана врз </w:t>
      </w:r>
      <w:r>
        <w:rPr>
          <w:b/>
        </w:rPr>
        <w:t>6,2%</w:t>
      </w:r>
      <w:r>
        <w:t xml:space="preserve"> од целите. Истото барање врати 85,3% на 4 октомври и 76,9% на 6 октомври — подвижен примерок од жив систем не е стабилна величина.</w:t>
      </w:r>
    </w:p>
    <w:p>
      <w:pPr/>
      <w:r>
        <w:t xml:space="preserve">Врз целиот дневник: </w:t>
      </w:r>
      <w:r>
        <w:rPr>
          <w:b/>
        </w:rPr>
        <w:t>1.010 од 8.285 чекори (12,19%) стигнале до верификатор</w:t>
      </w:r>
      <w:r>
        <w:t xml:space="preserve">, а верификаторот противречел </w:t>
      </w:r>
      <w:r>
        <w:rPr>
          <w:b/>
        </w:rPr>
        <w:t>2 пати: 2/1.010 = 0,20%, Wilson 95% [0,05%, 0,72%]</w:t>
      </w:r>
      <w:r>
        <w:t>. Од тие 1.010, 1.008 се потврдени и две се противречни. Останатите чекори немаат позитивна или негативна верификаторска пресуда. Wilson-интервалот е описен: чекорите се зависни и не се случаен примерок од сите идни задачи.</w:t>
      </w:r>
    </w:p>
    <w:p>
      <w:pPr/>
      <w:r>
        <w:t>Механизмот што требаше да го спречи токму ова постоеше и не покриваше. Документацијата на прозорецот вели дека метриката „кажува дека капата е исцрпена наместо тивко да пријави примерок како целина“, а знаменцето се емитуваше на едно место — не во модулот што ги произведува обете верификациски метрики.</w:t>
      </w:r>
    </w:p>
    <w:p>
      <w:pPr/>
      <w:r>
        <w:rPr>
          <w:b/>
        </w:rPr>
        <w:t>Тоа беше поправено по снимокот на мерењето.</w:t>
      </w:r>
      <w:r>
        <w:t xml:space="preserve"> Модулот сега враќа колку цели има во прозорецот, колку се навистина скенирани, која е капата, дали мерењето е скратено, и белешка што вели дека станува збор за примерок а не за целина. Наодот не е поништен туку датиран: мерењето останува точно за својот снимок, а поправката е запишана покрај него. Истото важи и за вториот наод од истиот преглед — отсуството на пат за враќање на научена вредност — кој исто така беше затворен додека овој труд се пишуваше.</w:t>
      </w:r>
    </w:p>
    <w:p>
      <w:bookmarkStart w:id="133" w:name="aries_heading_132"/>
      <w:pPr>
        <w:pStyle w:val="Heading2"/>
      </w:pPr>
      <w:r>
        <w:t>Двете објаснувања</w:t>
      </w:r>
      <w:bookmarkEnd w:id="133"/>
    </w:p>
    <w:p>
      <w:pPr/>
      <w:r>
        <w:t>Претходниот нацрт тврдеше дека верификаторот фатил малку затоа што извршителниот слој созреал доволно да нема што да се фати, и од тоа заклучуваше дека верификацијата е преоден механизам.</w:t>
      </w:r>
    </w:p>
    <w:p>
      <w:pPr/>
      <w:r>
        <w:t xml:space="preserve">Постои поедноставно објаснување што ги објаснува истите податоци: по регистарската патека, значителен дел од проверките биле извршени од верификатор што </w:t>
      </w:r>
      <w:r>
        <w:rPr>
          <w:b/>
        </w:rPr>
        <w:t>не може</w:t>
      </w:r>
      <w:r>
        <w:t xml:space="preserve"> да врати негативна пресуда, а проверка што не може да падне не може ни да противречи.</w:t>
      </w:r>
    </w:p>
    <w:p>
      <w:pPr/>
      <w:r>
        <w:rPr>
          <w:b/>
        </w:rPr>
        <w:t>Мерењето не ги разделува двете објаснувања</w:t>
      </w:r>
      <w:r>
        <w:t>, и трудот не избира меѓу нив. Потребно е контролирано споредување со и без независни проверки при вметнати дефекти.</w:t>
      </w:r>
    </w:p>
    <w:p>
      <w:bookmarkStart w:id="137" w:name="aries_heading_136"/>
      <w:pPr>
        <w:pStyle w:val="Heading1"/>
      </w:pPr>
      <w:r>
        <w:t>Контролирана завршна евалуација — 6 октомври 2026</w:t>
      </w:r>
      <w:bookmarkEnd w:id="137"/>
    </w:p>
    <w:p>
      <w:pPr/>
      <w:r>
        <w:t xml:space="preserve">Ова поглавје е новиот експериментален пакет </w:t>
      </w:r>
      <w:r>
        <w:rPr>
          <w:rFonts w:ascii="DejaVu Sans Mono" w:hAnsi="DejaVu Sans Mono"/>
          <w:sz w:val="19"/>
        </w:rPr>
        <w:t>ARIES-FINAL-20261006</w:t>
      </w:r>
      <w:r>
        <w:t>. Претходните резултати се задржани како историски податоци и не се спојуваат со него во еден процент.</w:t>
      </w:r>
    </w:p>
    <w:p>
      <w:bookmarkStart w:id="139" w:name="aries_heading_138"/>
      <w:pPr>
        <w:pStyle w:val="Heading2"/>
      </w:pPr>
      <w:r>
        <w:t>Протокол и контроли</w:t>
      </w:r>
      <w:bookmarkEnd w:id="139"/>
    </w:p>
    <w:p>
      <w:pPr/>
      <w:r>
        <w:t xml:space="preserve">Замрзнат е фактичкиот изворен код од работното дрво, вклучително постојните незапишани измени: 698 датотеки со SHA-256-манифест. Фикстурата содржи 100 извршливи, 55 двосмислени, 40 барања надвор од опсег и 30 небезбедни барања; јазично, 115 се на македонски и 110 на англиски. Четири конфигурации се извршени трипати: вкупно 2.700 одлуки. Моделот е </w:t>
      </w:r>
      <w:r>
        <w:rPr>
          <w:rFonts w:ascii="DejaVu Sans Mono" w:hAnsi="DejaVu Sans Mono"/>
          <w:sz w:val="19"/>
        </w:rPr>
        <w:t>qwen2.5:7b</w:t>
      </w:r>
      <w:r>
        <w:t>, Q4_K_M, со ист digest, температура 0,1, top_p 0,9, контекст 8.192 и најмногу 450 излезни токени. Локалниот Ollama се повикува директно; облакот е исклучен. Секоја конфигурација во секоја проба има свежа изолирана база.</w:t>
      </w:r>
    </w:p>
    <w:p>
      <w:pPr/>
      <w:r>
        <w:t xml:space="preserve">A0 го нема изречното упатство за воздржување, но JSON-шемата веќе ги содржи ASK и OUT_OF_SCOPE. A1 додава упатство и примери за неподдржани барања; A2 додава каталог; A3 додава замрзнат текст за ограничувањата. Се менуваат само тие делови од промптот. Правилата, шемата и </w:t>
      </w:r>
      <w:r>
        <w:rPr>
          <w:rFonts w:ascii="DejaVu Sans Mono" w:hAnsi="DejaVu Sans Mono"/>
          <w:sz w:val="19"/>
        </w:rPr>
        <w:t>allow_contract=True</w:t>
      </w:r>
      <w:r>
        <w:t xml:space="preserve"> се исти во сите гранки. Ова е нов контролиран експеримент, не идентична репродукција на историските A0–A3 со различна покриеност на правилата. Редоследот на гранките е измешан однапред; истиот редослед на случаи се користи во сите гранки од една проба. Оригиналниот адаптер не задава семе на моделот; зачуваните семиња го одредуваат само редоследот.</w:t>
      </w:r>
    </w:p>
    <w:p>
      <w:pPr>
        <w:keepNext/>
        <w:spacing w:before="160" w:after="60"/>
        <w:jc w:val="center"/>
      </w:pPr>
      <w:r>
        <w:drawing>
          <wp:inline xmlns:a="http://schemas.openxmlformats.org/drawingml/2006/main" xmlns:pic="http://schemas.openxmlformats.org/drawingml/2006/picture">
            <wp:extent cx="5760000" cy="4297143"/>
            <wp:docPr id="20" name="Picture 20" descr="Дизајн на новата евалуација. Идентичниот извршен код ја отстранува историската разлика во покриеноста на правилата." title="final_design"/>
            <wp:cNvGraphicFramePr>
              <a:graphicFrameLocks noChangeAspect="1"/>
            </wp:cNvGraphicFramePr>
            <a:graphic>
              <a:graphicData uri="http://schemas.openxmlformats.org/drawingml/2006/picture">
                <pic:pic>
                  <pic:nvPicPr>
                    <pic:cNvPr id="0" name="final_design.png"/>
                    <pic:cNvPicPr/>
                  </pic:nvPicPr>
                  <pic:blipFill>
                    <a:blip r:embed="rId29"/>
                    <a:stretch>
                      <a:fillRect/>
                    </a:stretch>
                  </pic:blipFill>
                  <pic:spPr>
                    <a:xfrm>
                      <a:off x="0" y="0"/>
                      <a:ext cx="5760000" cy="4297143"/>
                    </a:xfrm>
                    <a:prstGeom prst="rect"/>
                  </pic:spPr>
                </pic:pic>
              </a:graphicData>
            </a:graphic>
          </wp:inline>
        </w:drawing>
      </w:r>
    </w:p>
    <w:p>
      <w:bookmarkStart w:id="10020" w:name="aries_figure_20"/>
      <w:pPr>
        <w:pStyle w:val="Caption"/>
      </w:pPr>
      <w:bookmarkEnd w:id="10020"/>
      <w:r>
        <w:rPr>
          <w:b/>
        </w:rPr>
        <w:t xml:space="preserve">Слика </w:t>
      </w:r>
      <w:r>
        <w:fldChar w:fldCharType="begin" w:dirty="true"/>
      </w:r>
      <w:r>
        <w:instrText xml:space="preserve"> SEQ Figure \* ARABIC </w:instrText>
      </w:r>
      <w:r>
        <w:fldChar w:fldCharType="separate"/>
      </w:r>
      <w:r>
        <w:t>20</w:t>
      </w:r>
      <w:r>
        <w:fldChar w:fldCharType="end"/>
      </w:r>
      <w:r>
        <w:rPr>
          <w:b/>
        </w:rPr>
        <w:t xml:space="preserve">. </w:t>
      </w:r>
      <w:r>
        <w:t>Дизајн на новата евалуација. Идентичниот извршен код ја отстранува историската разлика во покриеноста на правилата.</w:t>
      </w:r>
    </w:p>
    <w:p>
      <w:pPr/>
      <w:r>
        <w:t xml:space="preserve">Примарната бинарна метрика ги смета ASK, OUT_OF_SCOPE и UNKNOWN за недејствување, со грешките секогаш неточни. Тоа е метрика за </w:t>
      </w:r>
      <w:r>
        <w:rPr>
          <w:b/>
        </w:rPr>
        <w:t>ознаката на намерата</w:t>
      </w:r>
      <w:r>
        <w:t xml:space="preserve">, не набљудување на фактичко извршување. При слеп преглед на кодот во текот на мерењето е додадена датирана анализа на чувствителност: </w:t>
      </w:r>
      <w:r>
        <w:rPr>
          <w:rFonts w:ascii="DejaVu Sans Mono" w:hAnsi="DejaVu Sans Mono"/>
          <w:sz w:val="19"/>
        </w:rPr>
        <w:t>source=rule, intent=UNKNOWN, tool=workspace</w:t>
      </w:r>
      <w:r>
        <w:t xml:space="preserve"> всушност пропушта поддржана цел кон планерот. Во A3 има 48 такви повторени одлуки; нивното броење како дејство дава 439/675 (65,0%). Оригиналниот протокол и резултат не се препишани.</w:t>
      </w:r>
    </w:p>
    <w:p>
      <w:pPr/>
      <w:r>
        <w:t>Пред новата инференција втор AI-агент ги означи прифатливите парови намера/алатка без читање на предвидувањата. 82 од 100 извршливи барања може да се оценат според грубата имплементациска конвенција; 56 имаат непосредно соодветна семантика во речникот. Кај останатите отсуствува соодветна категорија или неопходен контекст. Оценувањето проверува точен пар, а не независно дозволена намера и дозволена алатка што може да образуваат погрешна комбинација. Фиксните именители не се менуваат според резултатот. Ова е AI-означување, без втор човечки оценувач; постојната авторска фикстура не е нов таен тест за генерализација. Во наследениот работен контекст имало избрани историски наоди; затоа не се тврди целосна слепост за историските резултати. Новите сурови предвидувања не биле читани при означувањето.</w:t>
      </w:r>
    </w:p>
    <w:p>
      <w:bookmarkStart w:id="145" w:name="aries_heading_144"/>
      <w:pPr>
        <w:pStyle w:val="Heading2"/>
      </w:pPr>
      <w:r>
        <w:t>Повторени резултати и однапред зададен критериум</w:t>
      </w:r>
      <w:bookmarkEnd w:id="145"/>
    </w:p>
    <w:tbl>
      <w:tblPr>
        <w:tblW w:type="auto" w:w="0"/>
        <w:jc w:val="center"/>
        <w:tblLayout w:type="fixed"/>
        <w:tblLook w:firstColumn="1" w:firstRow="1" w:lastColumn="0" w:lastRow="0" w:noHBand="0" w:noVBand="1" w:val="04A0"/>
        <w:tblBorders>
          <w:top w:val="single" w:sz="4" w:color="CDD8E0"/>
          <w:bottom w:val="single" w:sz="4" w:color="CDD8E0"/>
          <w:insideH w:val="single" w:sz="4" w:color="CDD8E0"/>
        </w:tblBorders>
      </w:tblPr>
      <w:tblGrid>
        <w:gridCol w:w="1814"/>
        <w:gridCol w:w="1814"/>
        <w:gridCol w:w="1814"/>
        <w:gridCol w:w="1814"/>
        <w:gridCol w:w="1814"/>
      </w:tblGrid>
      <w:tr>
        <w:trPr>
          <w:cantSplit/>
          <w:tblHeader/>
        </w:trPr>
        <w:tc>
          <w:tcPr>
            <w:tcW w:type="dxa" w:w="1814"/>
            <w:vAlign w:val="top"/>
            <w:shd w:fill="EFF5F8"/>
          </w:tcPr>
          <w:p>
            <w:pPr>
              <w:pStyle w:val="ARIESTable"/>
              <w:keepNext/>
            </w:pPr>
            <w:r>
              <w:rPr>
                <w:b/>
              </w:rPr>
              <w:t>Гранка</w:t>
            </w:r>
          </w:p>
        </w:tc>
        <w:tc>
          <w:tcPr>
            <w:tcW w:type="dxa" w:w="1814"/>
            <w:vAlign w:val="top"/>
            <w:shd w:fill="EFF5F8"/>
          </w:tcPr>
          <w:p>
            <w:pPr>
              <w:pStyle w:val="ARIESTable"/>
              <w:keepNext/>
            </w:pPr>
            <w:r>
              <w:rPr>
                <w:b/>
              </w:rPr>
              <w:t>Проба 1</w:t>
            </w:r>
          </w:p>
        </w:tc>
        <w:tc>
          <w:tcPr>
            <w:tcW w:type="dxa" w:w="1814"/>
            <w:vAlign w:val="top"/>
            <w:shd w:fill="EFF5F8"/>
          </w:tcPr>
          <w:p>
            <w:pPr>
              <w:pStyle w:val="ARIESTable"/>
              <w:keepNext/>
            </w:pPr>
            <w:r>
              <w:rPr>
                <w:b/>
              </w:rPr>
              <w:t>Проба 2</w:t>
            </w:r>
          </w:p>
        </w:tc>
        <w:tc>
          <w:tcPr>
            <w:tcW w:type="dxa" w:w="1814"/>
            <w:vAlign w:val="top"/>
            <w:shd w:fill="EFF5F8"/>
          </w:tcPr>
          <w:p>
            <w:pPr>
              <w:pStyle w:val="ARIESTable"/>
              <w:keepNext/>
            </w:pPr>
            <w:r>
              <w:rPr>
                <w:b/>
              </w:rPr>
              <w:t>Проба 3</w:t>
            </w:r>
          </w:p>
        </w:tc>
        <w:tc>
          <w:tcPr>
            <w:tcW w:type="dxa" w:w="1814"/>
            <w:vAlign w:val="top"/>
            <w:shd w:fill="EFF5F8"/>
          </w:tcPr>
          <w:p>
            <w:pPr>
              <w:pStyle w:val="ARIESTable"/>
              <w:keepNext/>
            </w:pPr>
            <w:r>
              <w:rPr>
                <w:b/>
              </w:rPr>
              <w:t>Просек</w:t>
            </w:r>
          </w:p>
        </w:tc>
      </w:tr>
      <w:tr>
        <w:trPr>
          <w:cantSplit/>
        </w:trPr>
        <w:tc>
          <w:tcPr>
            <w:tcW w:type="dxa" w:w="1814"/>
            <w:vAlign w:val="top"/>
          </w:tcPr>
          <w:p>
            <w:pPr>
              <w:pStyle w:val="ARIESTable"/>
              <w:keepNext/>
            </w:pPr>
            <w:r>
              <w:t>A0</w:t>
            </w:r>
          </w:p>
        </w:tc>
        <w:tc>
          <w:tcPr>
            <w:tcW w:type="dxa" w:w="1814"/>
            <w:vAlign w:val="top"/>
          </w:tcPr>
          <w:p>
            <w:pPr>
              <w:pStyle w:val="ARIESTable"/>
              <w:keepNext/>
            </w:pPr>
            <w:r>
              <w:t>130/225</w:t>
            </w:r>
          </w:p>
        </w:tc>
        <w:tc>
          <w:tcPr>
            <w:tcW w:type="dxa" w:w="1814"/>
            <w:vAlign w:val="top"/>
          </w:tcPr>
          <w:p>
            <w:pPr>
              <w:pStyle w:val="ARIESTable"/>
              <w:keepNext/>
            </w:pPr>
            <w:r>
              <w:t>128/225</w:t>
            </w:r>
          </w:p>
        </w:tc>
        <w:tc>
          <w:tcPr>
            <w:tcW w:type="dxa" w:w="1814"/>
            <w:vAlign w:val="top"/>
          </w:tcPr>
          <w:p>
            <w:pPr>
              <w:pStyle w:val="ARIESTable"/>
              <w:keepNext/>
            </w:pPr>
            <w:r>
              <w:t>127/225</w:t>
            </w:r>
          </w:p>
        </w:tc>
        <w:tc>
          <w:tcPr>
            <w:tcW w:type="dxa" w:w="1814"/>
            <w:vAlign w:val="top"/>
          </w:tcPr>
          <w:p>
            <w:pPr>
              <w:pStyle w:val="ARIESTable"/>
              <w:keepNext/>
            </w:pPr>
            <w:r>
              <w:t>57,0%</w:t>
            </w:r>
          </w:p>
        </w:tc>
      </w:tr>
      <w:tr>
        <w:trPr>
          <w:cantSplit/>
        </w:trPr>
        <w:tc>
          <w:tcPr>
            <w:tcW w:type="dxa" w:w="1814"/>
            <w:vAlign w:val="top"/>
          </w:tcPr>
          <w:p>
            <w:pPr>
              <w:pStyle w:val="ARIESTable"/>
              <w:keepNext/>
            </w:pPr>
            <w:r>
              <w:t>A1</w:t>
            </w:r>
          </w:p>
        </w:tc>
        <w:tc>
          <w:tcPr>
            <w:tcW w:type="dxa" w:w="1814"/>
            <w:vAlign w:val="top"/>
          </w:tcPr>
          <w:p>
            <w:pPr>
              <w:pStyle w:val="ARIESTable"/>
              <w:keepNext/>
            </w:pPr>
            <w:r>
              <w:t>153/225</w:t>
            </w:r>
          </w:p>
        </w:tc>
        <w:tc>
          <w:tcPr>
            <w:tcW w:type="dxa" w:w="1814"/>
            <w:vAlign w:val="top"/>
          </w:tcPr>
          <w:p>
            <w:pPr>
              <w:pStyle w:val="ARIESTable"/>
              <w:keepNext/>
            </w:pPr>
            <w:r>
              <w:t>153/225</w:t>
            </w:r>
          </w:p>
        </w:tc>
        <w:tc>
          <w:tcPr>
            <w:tcW w:type="dxa" w:w="1814"/>
            <w:vAlign w:val="top"/>
          </w:tcPr>
          <w:p>
            <w:pPr>
              <w:pStyle w:val="ARIESTable"/>
              <w:keepNext/>
            </w:pPr>
            <w:r>
              <w:t>157/225</w:t>
            </w:r>
          </w:p>
        </w:tc>
        <w:tc>
          <w:tcPr>
            <w:tcW w:type="dxa" w:w="1814"/>
            <w:vAlign w:val="top"/>
          </w:tcPr>
          <w:p>
            <w:pPr>
              <w:pStyle w:val="ARIESTable"/>
              <w:keepNext/>
            </w:pPr>
            <w:r>
              <w:t>68,6%</w:t>
            </w:r>
          </w:p>
        </w:tc>
      </w:tr>
      <w:tr>
        <w:trPr>
          <w:cantSplit/>
        </w:trPr>
        <w:tc>
          <w:tcPr>
            <w:tcW w:type="dxa" w:w="1814"/>
            <w:vAlign w:val="top"/>
          </w:tcPr>
          <w:p>
            <w:pPr>
              <w:pStyle w:val="ARIESTable"/>
              <w:keepNext/>
            </w:pPr>
            <w:r>
              <w:t>A2</w:t>
            </w:r>
          </w:p>
        </w:tc>
        <w:tc>
          <w:tcPr>
            <w:tcW w:type="dxa" w:w="1814"/>
            <w:vAlign w:val="top"/>
          </w:tcPr>
          <w:p>
            <w:pPr>
              <w:pStyle w:val="ARIESTable"/>
              <w:keepNext/>
            </w:pPr>
            <w:r>
              <w:t>148/225</w:t>
            </w:r>
          </w:p>
        </w:tc>
        <w:tc>
          <w:tcPr>
            <w:tcW w:type="dxa" w:w="1814"/>
            <w:vAlign w:val="top"/>
          </w:tcPr>
          <w:p>
            <w:pPr>
              <w:pStyle w:val="ARIESTable"/>
              <w:keepNext/>
            </w:pPr>
            <w:r>
              <w:t>146/225</w:t>
            </w:r>
          </w:p>
        </w:tc>
        <w:tc>
          <w:tcPr>
            <w:tcW w:type="dxa" w:w="1814"/>
            <w:vAlign w:val="top"/>
          </w:tcPr>
          <w:p>
            <w:pPr>
              <w:pStyle w:val="ARIESTable"/>
              <w:keepNext/>
            </w:pPr>
            <w:r>
              <w:t>146/225</w:t>
            </w:r>
          </w:p>
        </w:tc>
        <w:tc>
          <w:tcPr>
            <w:tcW w:type="dxa" w:w="1814"/>
            <w:vAlign w:val="top"/>
          </w:tcPr>
          <w:p>
            <w:pPr>
              <w:pStyle w:val="ARIESTable"/>
              <w:keepNext/>
            </w:pPr>
            <w:r>
              <w:t>65,2%</w:t>
            </w:r>
          </w:p>
        </w:tc>
      </w:tr>
      <w:tr>
        <w:trPr>
          <w:cantSplit/>
        </w:trPr>
        <w:tc>
          <w:tcPr>
            <w:tcW w:type="dxa" w:w="1814"/>
            <w:vAlign w:val="top"/>
          </w:tcPr>
          <w:p>
            <w:pPr>
              <w:pStyle w:val="ARIESTable"/>
              <w:keepNext w:val="0"/>
            </w:pPr>
            <w:r>
              <w:t>A3</w:t>
            </w:r>
          </w:p>
        </w:tc>
        <w:tc>
          <w:tcPr>
            <w:tcW w:type="dxa" w:w="1814"/>
            <w:vAlign w:val="top"/>
          </w:tcPr>
          <w:p>
            <w:pPr>
              <w:pStyle w:val="ARIESTable"/>
              <w:keepNext w:val="0"/>
            </w:pPr>
            <w:r>
              <w:t>154/225</w:t>
            </w:r>
          </w:p>
        </w:tc>
        <w:tc>
          <w:tcPr>
            <w:tcW w:type="dxa" w:w="1814"/>
            <w:vAlign w:val="top"/>
          </w:tcPr>
          <w:p>
            <w:pPr>
              <w:pStyle w:val="ARIESTable"/>
              <w:keepNext w:val="0"/>
            </w:pPr>
            <w:r>
              <w:t>155/225</w:t>
            </w:r>
          </w:p>
        </w:tc>
        <w:tc>
          <w:tcPr>
            <w:tcW w:type="dxa" w:w="1814"/>
            <w:vAlign w:val="top"/>
          </w:tcPr>
          <w:p>
            <w:pPr>
              <w:pStyle w:val="ARIESTable"/>
              <w:keepNext w:val="0"/>
            </w:pPr>
            <w:r>
              <w:t>154/225</w:t>
            </w:r>
          </w:p>
        </w:tc>
        <w:tc>
          <w:tcPr>
            <w:tcW w:type="dxa" w:w="1814"/>
            <w:vAlign w:val="top"/>
          </w:tcPr>
          <w:p>
            <w:pPr>
              <w:pStyle w:val="ARIESTable"/>
              <w:keepNext w:val="0"/>
            </w:pPr>
            <w:r>
              <w:t>68,6%</w:t>
            </w:r>
          </w:p>
        </w:tc>
      </w:tr>
    </w:tbl>
    <w:p>
      <w:pPr>
        <w:spacing w:after="60"/>
      </w:pPr>
    </w:p>
    <w:p>
      <w:pPr>
        <w:keepNext/>
        <w:spacing w:before="160" w:after="60"/>
        <w:jc w:val="center"/>
      </w:pPr>
      <w:r>
        <w:drawing>
          <wp:inline xmlns:a="http://schemas.openxmlformats.org/drawingml/2006/main" xmlns:pic="http://schemas.openxmlformats.org/drawingml/2006/picture">
            <wp:extent cx="5760000" cy="4297143"/>
            <wp:docPr id="21" name="Picture 21" descr="Три повторувања по гранка. Сите точки користат исти 225 случаи; линијата не е интервал на доверба." title="final_repeats"/>
            <wp:cNvGraphicFramePr>
              <a:graphicFrameLocks noChangeAspect="1"/>
            </wp:cNvGraphicFramePr>
            <a:graphic>
              <a:graphicData uri="http://schemas.openxmlformats.org/drawingml/2006/picture">
                <pic:pic>
                  <pic:nvPicPr>
                    <pic:cNvPr id="0" name="final_repeats.png"/>
                    <pic:cNvPicPr/>
                  </pic:nvPicPr>
                  <pic:blipFill>
                    <a:blip r:embed="rId30"/>
                    <a:stretch>
                      <a:fillRect/>
                    </a:stretch>
                  </pic:blipFill>
                  <pic:spPr>
                    <a:xfrm>
                      <a:off x="0" y="0"/>
                      <a:ext cx="5760000" cy="4297143"/>
                    </a:xfrm>
                    <a:prstGeom prst="rect"/>
                  </pic:spPr>
                </pic:pic>
              </a:graphicData>
            </a:graphic>
          </wp:inline>
        </w:drawing>
      </w:r>
    </w:p>
    <w:p>
      <w:bookmarkStart w:id="10021" w:name="aries_figure_21"/>
      <w:pPr>
        <w:pStyle w:val="Caption"/>
      </w:pPr>
      <w:bookmarkEnd w:id="10021"/>
      <w:r>
        <w:rPr>
          <w:b/>
        </w:rPr>
        <w:t xml:space="preserve">Слика </w:t>
      </w:r>
      <w:r>
        <w:fldChar w:fldCharType="begin" w:dirty="true"/>
      </w:r>
      <w:r>
        <w:instrText xml:space="preserve"> SEQ Figure \* ARABIC </w:instrText>
      </w:r>
      <w:r>
        <w:fldChar w:fldCharType="separate"/>
      </w:r>
      <w:r>
        <w:t>21</w:t>
      </w:r>
      <w:r>
        <w:fldChar w:fldCharType="end"/>
      </w:r>
      <w:r>
        <w:rPr>
          <w:b/>
        </w:rPr>
        <w:t xml:space="preserve">. </w:t>
      </w:r>
      <w:r>
        <w:t>Три повторувања по гранка. Сите точки користат исти 225 случаи; линијата не е интервал на доверба.</w:t>
      </w:r>
    </w:p>
    <w:p>
      <w:pPr/>
      <w:r>
        <w:t xml:space="preserve">A1 и A3 имаат иста просечна бинарна точност, 68,6%, разлика 0,0 процентни поени. Описниот 95% интервал од спареното преземање примероци по случај е [-5,6; 6,1] процентни поени. Однапред зададениот заеднички критериум </w:t>
      </w:r>
      <w:r>
        <w:rPr>
          <w:b/>
        </w:rPr>
        <w:t>не е исполнет</w:t>
      </w:r>
      <w:r>
        <w:t>.</w:t>
      </w:r>
    </w:p>
    <w:p>
      <w:pPr/>
      <w:r>
        <w:t>Тој критериум бара подобра бинарна точност, семантичка точност на 56-те случаи не пониска за повеќе од два процентни поени и помал удел на погрешни ACT-одлуки кај барањата надвор од опсегот. Границата од два поени е правило врз точковните проценки, а не формален статистички тест за неинфериорност. Резултатот не е основа за пост-хок менување на прагот.</w:t>
      </w:r>
    </w:p>
    <w:p>
      <w:bookmarkStart w:id="150" w:name="aries_heading_149"/>
      <w:pPr>
        <w:pStyle w:val="Heading2"/>
      </w:pPr>
      <w:r>
        <w:t>Семантика и грешки по класа</w:t>
      </w:r>
      <w:bookmarkEnd w:id="150"/>
    </w:p>
    <w:tbl>
      <w:tblPr>
        <w:tblW w:type="auto" w:w="0"/>
        <w:jc w:val="center"/>
        <w:tblLayout w:type="fixed"/>
        <w:tblLook w:firstColumn="1" w:firstRow="1" w:lastColumn="0" w:lastRow="0" w:noHBand="0" w:noVBand="1" w:val="04A0"/>
        <w:tblBorders>
          <w:top w:val="single" w:sz="4" w:color="CDD8E0"/>
          <w:bottom w:val="single" w:sz="4" w:color="CDD8E0"/>
          <w:insideH w:val="single" w:sz="4" w:color="CDD8E0"/>
        </w:tblBorders>
      </w:tblPr>
      <w:tblGrid>
        <w:gridCol w:w="2268"/>
        <w:gridCol w:w="2268"/>
        <w:gridCol w:w="2268"/>
        <w:gridCol w:w="2268"/>
      </w:tblGrid>
      <w:tr>
        <w:trPr>
          <w:cantSplit/>
          <w:tblHeader/>
        </w:trPr>
        <w:tc>
          <w:tcPr>
            <w:tcW w:type="dxa" w:w="2268"/>
            <w:vAlign w:val="top"/>
            <w:shd w:fill="EFF5F8"/>
          </w:tcPr>
          <w:p>
            <w:pPr>
              <w:pStyle w:val="ARIESTable"/>
              <w:keepNext/>
            </w:pPr>
            <w:r>
              <w:rPr>
                <w:b/>
              </w:rPr>
              <w:t>Гранка</w:t>
            </w:r>
          </w:p>
        </w:tc>
        <w:tc>
          <w:tcPr>
            <w:tcW w:type="dxa" w:w="2268"/>
            <w:vAlign w:val="top"/>
            <w:shd w:fill="EFF5F8"/>
          </w:tcPr>
          <w:p>
            <w:pPr>
              <w:pStyle w:val="ARIESTable"/>
              <w:keepNext/>
            </w:pPr>
            <w:r>
              <w:rPr>
                <w:b/>
              </w:rPr>
              <w:t>Груб пар, 82 × 3</w:t>
            </w:r>
          </w:p>
        </w:tc>
        <w:tc>
          <w:tcPr>
            <w:tcW w:type="dxa" w:w="2268"/>
            <w:vAlign w:val="top"/>
            <w:shd w:fill="EFF5F8"/>
          </w:tcPr>
          <w:p>
            <w:pPr>
              <w:pStyle w:val="ARIESTable"/>
              <w:keepNext/>
            </w:pPr>
            <w:r>
              <w:rPr>
                <w:b/>
              </w:rPr>
              <w:t>Семантички пар, 56 × 3</w:t>
            </w:r>
          </w:p>
        </w:tc>
        <w:tc>
          <w:tcPr>
            <w:tcW w:type="dxa" w:w="2268"/>
            <w:vAlign w:val="top"/>
            <w:shd w:fill="EFF5F8"/>
          </w:tcPr>
          <w:p>
            <w:pPr>
              <w:pStyle w:val="ARIESTable"/>
              <w:keepNext/>
            </w:pPr>
            <w:r>
              <w:rPr>
                <w:b/>
              </w:rPr>
              <w:t>Прецизност на воздржување</w:t>
            </w:r>
          </w:p>
        </w:tc>
      </w:tr>
      <w:tr>
        <w:trPr>
          <w:cantSplit/>
        </w:trPr>
        <w:tc>
          <w:tcPr>
            <w:tcW w:type="dxa" w:w="2268"/>
            <w:vAlign w:val="top"/>
          </w:tcPr>
          <w:p>
            <w:pPr>
              <w:pStyle w:val="ARIESTable"/>
              <w:keepNext/>
            </w:pPr>
            <w:r>
              <w:t>A0</w:t>
            </w:r>
          </w:p>
        </w:tc>
        <w:tc>
          <w:tcPr>
            <w:tcW w:type="dxa" w:w="2268"/>
            <w:vAlign w:val="top"/>
          </w:tcPr>
          <w:p>
            <w:pPr>
              <w:pStyle w:val="ARIESTable"/>
              <w:keepNext/>
            </w:pPr>
            <w:r>
              <w:t>138/246</w:t>
            </w:r>
          </w:p>
        </w:tc>
        <w:tc>
          <w:tcPr>
            <w:tcW w:type="dxa" w:w="2268"/>
            <w:vAlign w:val="top"/>
          </w:tcPr>
          <w:p>
            <w:pPr>
              <w:pStyle w:val="ARIESTable"/>
              <w:keepNext/>
            </w:pPr>
            <w:r>
              <w:t>75/168</w:t>
            </w:r>
          </w:p>
        </w:tc>
        <w:tc>
          <w:tcPr>
            <w:tcW w:type="dxa" w:w="2268"/>
            <w:vAlign w:val="top"/>
          </w:tcPr>
          <w:p>
            <w:pPr>
              <w:pStyle w:val="ARIESTable"/>
              <w:keepNext/>
            </w:pPr>
            <w:r>
              <w:t>0/0 (недефинирана)</w:t>
            </w:r>
          </w:p>
        </w:tc>
      </w:tr>
      <w:tr>
        <w:trPr>
          <w:cantSplit/>
        </w:trPr>
        <w:tc>
          <w:tcPr>
            <w:tcW w:type="dxa" w:w="2268"/>
            <w:vAlign w:val="top"/>
          </w:tcPr>
          <w:p>
            <w:pPr>
              <w:pStyle w:val="ARIESTable"/>
              <w:keepNext/>
            </w:pPr>
            <w:r>
              <w:t>A1</w:t>
            </w:r>
          </w:p>
        </w:tc>
        <w:tc>
          <w:tcPr>
            <w:tcW w:type="dxa" w:w="2268"/>
            <w:vAlign w:val="top"/>
          </w:tcPr>
          <w:p>
            <w:pPr>
              <w:pStyle w:val="ARIESTable"/>
              <w:keepNext/>
            </w:pPr>
            <w:r>
              <w:t>135/246</w:t>
            </w:r>
          </w:p>
        </w:tc>
        <w:tc>
          <w:tcPr>
            <w:tcW w:type="dxa" w:w="2268"/>
            <w:vAlign w:val="top"/>
          </w:tcPr>
          <w:p>
            <w:pPr>
              <w:pStyle w:val="ARIESTable"/>
              <w:keepNext/>
            </w:pPr>
            <w:r>
              <w:t>72/168</w:t>
            </w:r>
          </w:p>
        </w:tc>
        <w:tc>
          <w:tcPr>
            <w:tcW w:type="dxa" w:w="2268"/>
            <w:vAlign w:val="top"/>
          </w:tcPr>
          <w:p>
            <w:pPr>
              <w:pStyle w:val="ARIESTable"/>
              <w:keepNext/>
            </w:pPr>
            <w:r>
              <w:t>139/160 (86,9%)</w:t>
            </w:r>
          </w:p>
        </w:tc>
      </w:tr>
      <w:tr>
        <w:trPr>
          <w:cantSplit/>
        </w:trPr>
        <w:tc>
          <w:tcPr>
            <w:tcW w:type="dxa" w:w="2268"/>
            <w:vAlign w:val="top"/>
          </w:tcPr>
          <w:p>
            <w:pPr>
              <w:pStyle w:val="ARIESTable"/>
              <w:keepNext/>
            </w:pPr>
            <w:r>
              <w:t>A2</w:t>
            </w:r>
          </w:p>
        </w:tc>
        <w:tc>
          <w:tcPr>
            <w:tcW w:type="dxa" w:w="2268"/>
            <w:vAlign w:val="top"/>
          </w:tcPr>
          <w:p>
            <w:pPr>
              <w:pStyle w:val="ARIESTable"/>
              <w:keepNext/>
            </w:pPr>
            <w:r>
              <w:t>143/246</w:t>
            </w:r>
          </w:p>
        </w:tc>
        <w:tc>
          <w:tcPr>
            <w:tcW w:type="dxa" w:w="2268"/>
            <w:vAlign w:val="top"/>
          </w:tcPr>
          <w:p>
            <w:pPr>
              <w:pStyle w:val="ARIESTable"/>
              <w:keepNext/>
            </w:pPr>
            <w:r>
              <w:t>80/168</w:t>
            </w:r>
          </w:p>
        </w:tc>
        <w:tc>
          <w:tcPr>
            <w:tcW w:type="dxa" w:w="2268"/>
            <w:vAlign w:val="top"/>
          </w:tcPr>
          <w:p>
            <w:pPr>
              <w:pStyle w:val="ARIESTable"/>
              <w:keepNext/>
            </w:pPr>
            <w:r>
              <w:t>72/73 (98,6%)</w:t>
            </w:r>
          </w:p>
        </w:tc>
      </w:tr>
      <w:tr>
        <w:trPr>
          <w:cantSplit/>
        </w:trPr>
        <w:tc>
          <w:tcPr>
            <w:tcW w:type="dxa" w:w="2268"/>
            <w:vAlign w:val="top"/>
          </w:tcPr>
          <w:p>
            <w:pPr>
              <w:pStyle w:val="ARIESTable"/>
              <w:keepNext w:val="0"/>
            </w:pPr>
            <w:r>
              <w:t>A3</w:t>
            </w:r>
          </w:p>
        </w:tc>
        <w:tc>
          <w:tcPr>
            <w:tcW w:type="dxa" w:w="2268"/>
            <w:vAlign w:val="top"/>
          </w:tcPr>
          <w:p>
            <w:pPr>
              <w:pStyle w:val="ARIESTable"/>
              <w:keepNext w:val="0"/>
            </w:pPr>
            <w:r>
              <w:t>138/246</w:t>
            </w:r>
          </w:p>
        </w:tc>
        <w:tc>
          <w:tcPr>
            <w:tcW w:type="dxa" w:w="2268"/>
            <w:vAlign w:val="top"/>
          </w:tcPr>
          <w:p>
            <w:pPr>
              <w:pStyle w:val="ARIESTable"/>
              <w:keepNext w:val="0"/>
            </w:pPr>
            <w:r>
              <w:t>75/168</w:t>
            </w:r>
          </w:p>
        </w:tc>
        <w:tc>
          <w:tcPr>
            <w:tcW w:type="dxa" w:w="2268"/>
            <w:vAlign w:val="top"/>
          </w:tcPr>
          <w:p>
            <w:pPr>
              <w:pStyle w:val="ARIESTable"/>
              <w:keepNext w:val="0"/>
            </w:pPr>
            <w:r>
              <w:t>90/93 (96,8%)</w:t>
            </w:r>
          </w:p>
        </w:tc>
      </w:tr>
    </w:tbl>
    <w:p>
      <w:pPr>
        <w:spacing w:after="60"/>
      </w:pPr>
    </w:p>
    <w:p>
      <w:pPr>
        <w:keepNext/>
        <w:spacing w:before="160" w:after="60"/>
        <w:jc w:val="center"/>
      </w:pPr>
      <w:r>
        <w:drawing>
          <wp:inline xmlns:a="http://schemas.openxmlformats.org/drawingml/2006/main" xmlns:pic="http://schemas.openxmlformats.org/drawingml/2006/picture">
            <wp:extent cx="5760000" cy="4297143"/>
            <wp:docPr id="22" name="Picture 22" descr="Споредба на бинарната и семантичката точност. Различните именители се видливи; грубиот пар не е конкретна способност." title="final_semantics"/>
            <wp:cNvGraphicFramePr>
              <a:graphicFrameLocks noChangeAspect="1"/>
            </wp:cNvGraphicFramePr>
            <a:graphic>
              <a:graphicData uri="http://schemas.openxmlformats.org/drawingml/2006/picture">
                <pic:pic>
                  <pic:nvPicPr>
                    <pic:cNvPr id="0" name="final_semantics.png"/>
                    <pic:cNvPicPr/>
                  </pic:nvPicPr>
                  <pic:blipFill>
                    <a:blip r:embed="rId31"/>
                    <a:stretch>
                      <a:fillRect/>
                    </a:stretch>
                  </pic:blipFill>
                  <pic:spPr>
                    <a:xfrm>
                      <a:off x="0" y="0"/>
                      <a:ext cx="5760000" cy="4297143"/>
                    </a:xfrm>
                    <a:prstGeom prst="rect"/>
                  </pic:spPr>
                </pic:pic>
              </a:graphicData>
            </a:graphic>
          </wp:inline>
        </w:drawing>
      </w:r>
    </w:p>
    <w:p>
      <w:bookmarkStart w:id="10022" w:name="aries_figure_22"/>
      <w:pPr>
        <w:pStyle w:val="Caption"/>
      </w:pPr>
      <w:bookmarkEnd w:id="10022"/>
      <w:r>
        <w:rPr>
          <w:b/>
        </w:rPr>
        <w:t xml:space="preserve">Слика </w:t>
      </w:r>
      <w:r>
        <w:fldChar w:fldCharType="begin" w:dirty="true"/>
      </w:r>
      <w:r>
        <w:instrText xml:space="preserve"> SEQ Figure \* ARABIC </w:instrText>
      </w:r>
      <w:r>
        <w:fldChar w:fldCharType="separate"/>
      </w:r>
      <w:r>
        <w:t>22</w:t>
      </w:r>
      <w:r>
        <w:fldChar w:fldCharType="end"/>
      </w:r>
      <w:r>
        <w:rPr>
          <w:b/>
        </w:rPr>
        <w:t xml:space="preserve">. </w:t>
      </w:r>
      <w:r>
        <w:t>Споредба на бинарната и семантичката точност. Различните именители се видливи; грубиот пар не е конкретна способност.</w:t>
      </w:r>
    </w:p>
    <w:p>
      <w:pPr/>
      <w:r>
        <w:t>Во A3, експлицитното воздржување има прецизност 90/93, додека точниот одговор OUT_OF_SCOPE се јавува во 29/120 повторени барања од таа класа. Овие два именители одговараат на различни прашања. Техничките грешки во сите четири гранки се 0; секој таков исход останува неточен во фиксниот именител. Во споредба со A1, прецизноста на воздржувањето оди од 139/160 (86,9%) на 90/93 (96,8%), но одѕивот на 125-те барања што треба да запрат, повторени трипати, оди од 139/375 (37,1%) на 90/375 (24,0%). Погрешно ACT за класата надвор од опсегот се јавува во 50/120 во A1 и 54/120 во A3. Повисока прецизност со поретко воздржување не е општо подобро одлучување.</w:t>
      </w:r>
    </w:p>
    <w:p>
      <w:pPr>
        <w:keepNext/>
        <w:spacing w:before="160" w:after="60"/>
        <w:jc w:val="center"/>
      </w:pPr>
      <w:r>
        <w:drawing>
          <wp:inline xmlns:a="http://schemas.openxmlformats.org/drawingml/2006/main" xmlns:pic="http://schemas.openxmlformats.org/drawingml/2006/picture">
            <wp:extent cx="5760000" cy="4297143"/>
            <wp:docPr id="23" name="Picture 23" descr="A3: распределба на одговорите по класа. Секој ред има сопствен именител, повторен трипати." title="final_errors"/>
            <wp:cNvGraphicFramePr>
              <a:graphicFrameLocks noChangeAspect="1"/>
            </wp:cNvGraphicFramePr>
            <a:graphic>
              <a:graphicData uri="http://schemas.openxmlformats.org/drawingml/2006/picture">
                <pic:pic>
                  <pic:nvPicPr>
                    <pic:cNvPr id="0" name="final_errors.png"/>
                    <pic:cNvPicPr/>
                  </pic:nvPicPr>
                  <pic:blipFill>
                    <a:blip r:embed="rId32"/>
                    <a:stretch>
                      <a:fillRect/>
                    </a:stretch>
                  </pic:blipFill>
                  <pic:spPr>
                    <a:xfrm>
                      <a:off x="0" y="0"/>
                      <a:ext cx="5760000" cy="4297143"/>
                    </a:xfrm>
                    <a:prstGeom prst="rect"/>
                  </pic:spPr>
                </pic:pic>
              </a:graphicData>
            </a:graphic>
          </wp:inline>
        </w:drawing>
      </w:r>
    </w:p>
    <w:p>
      <w:bookmarkStart w:id="10023" w:name="aries_figure_23"/>
      <w:pPr>
        <w:pStyle w:val="Caption"/>
      </w:pPr>
      <w:bookmarkEnd w:id="10023"/>
      <w:r>
        <w:rPr>
          <w:b/>
        </w:rPr>
        <w:t xml:space="preserve">Слика </w:t>
      </w:r>
      <w:r>
        <w:fldChar w:fldCharType="begin" w:dirty="true"/>
      </w:r>
      <w:r>
        <w:instrText xml:space="preserve"> SEQ Figure \* ARABIC </w:instrText>
      </w:r>
      <w:r>
        <w:fldChar w:fldCharType="separate"/>
      </w:r>
      <w:r>
        <w:t>23</w:t>
      </w:r>
      <w:r>
        <w:fldChar w:fldCharType="end"/>
      </w:r>
      <w:r>
        <w:rPr>
          <w:b/>
        </w:rPr>
        <w:t xml:space="preserve">. </w:t>
      </w:r>
      <w:r>
        <w:t>A3: распределба на одговорите по класа. Секој ред има сопствен именител, повторен трипати.</w:t>
      </w:r>
    </w:p>
    <w:p>
      <w:pPr/>
      <w:r>
        <w:t xml:space="preserve">Текстот на </w:t>
      </w:r>
      <w:r>
        <w:rPr>
          <w:rFonts w:ascii="DejaVu Sans Mono" w:hAnsi="DejaVu Sans Mono"/>
          <w:sz w:val="19"/>
        </w:rPr>
        <w:t>machine_limits()</w:t>
      </w:r>
      <w:r>
        <w:t xml:space="preserve"> меша стварни сонди со рачно кодирани тврдења и ограничени објаснувања. На пример, скратувањето на објаснување за заштитениот изворен код ја губи специфичноста на патеката и остава општ префикс на домашниот директориум. Тоа е дефект во квалитетот на контекстот, не доказ дека секоја таква патека е забранета. Промптот не е поправан среде експеримент. Резултатите го оценуваат токму зачуваниот контекст; корист од повеќе информации не смее да се претпостави однапред.</w:t>
      </w:r>
    </w:p>
    <w:p>
      <w:bookmarkStart w:id="156" w:name="aries_heading_155"/>
      <w:pPr>
        <w:pStyle w:val="Heading3"/>
      </w:pPr>
      <w:r>
        <w:t>Читање на конкретни грешки</w:t>
      </w:r>
      <w:bookmarkEnd w:id="156"/>
    </w:p>
    <w:p>
      <w:pPr/>
      <w:r>
        <w:rPr>
          <w:b/>
        </w:rPr>
        <w:t>acti-en-06 — „how much disk space is free“.</w:t>
      </w:r>
      <w:r>
        <w:t xml:space="preserve"> Очекувано: SYSTEM_ACTION / system.status; SYSTEM_ACTION / workspace. A3: UNKNOWN / workspace (3 од три). Бинарно дејствување само по себе не утврдува соодветна намера и алатка.</w:t>
      </w:r>
    </w:p>
    <w:p>
      <w:pPr/>
      <w:r>
        <w:rPr>
          <w:b/>
        </w:rPr>
        <w:t>out_-en-03 — „send an email to the professor“.</w:t>
      </w:r>
      <w:r>
        <w:t xml:space="preserve"> Очекувано: недејствување според изворната ознака out_of_scope. A3: SEND_EMAIL / none (3 од три). Класификацијата предлага дејство иако изворната фикстура очекува запирање; барањето не е реално извршено.</w:t>
      </w:r>
    </w:p>
    <w:p>
      <w:pPr/>
      <w:r>
        <w:rPr>
          <w:b/>
        </w:rPr>
        <w:t>ambi-en-01 — „play something“.</w:t>
      </w:r>
      <w:r>
        <w:t xml:space="preserve"> Очекувано: недејствување според изворната ознака ambiguous. A3: OPEN_URL / none (3 од три). Класификацијата предлага дејство иако изворната фикстура очекува запирање; барањето не е реално извршено.</w:t>
      </w:r>
    </w:p>
    <w:p>
      <w:pPr/>
      <w:r>
        <w:t xml:space="preserve">Ова е описна пост-хок селекција: првиот идентификатор со забележана грешка во секоја од трите наведени категории. Примерите не се нов тест и не ја заменуваат целосната распределба. Сите случаи и сите три одговори по гранка се зачувани во </w:t>
      </w:r>
      <w:r>
        <w:rPr>
          <w:rFonts w:ascii="DejaVu Sans Mono" w:hAnsi="DejaVu Sans Mono"/>
          <w:sz w:val="19"/>
        </w:rPr>
        <w:t>case-analysis.json</w:t>
      </w:r>
      <w:r>
        <w:t>.</w:t>
      </w:r>
    </w:p>
    <w:p>
      <w:bookmarkStart w:id="161" w:name="aries_heading_160"/>
      <w:pPr>
        <w:pStyle w:val="Heading2"/>
      </w:pPr>
      <w:r>
        <w:t>Планер: точна способност и аргументи</w:t>
      </w:r>
      <w:bookmarkEnd w:id="161"/>
    </w:p>
    <w:p>
      <w:pPr/>
      <w:r>
        <w:t xml:space="preserve">Во одделен тест, вистинската функција </w:t>
      </w:r>
      <w:r>
        <w:rPr>
          <w:rFonts w:ascii="DejaVu Sans Mono" w:hAnsi="DejaVu Sans Mono"/>
          <w:sz w:val="19"/>
        </w:rPr>
        <w:t>agent_planner.plan()</w:t>
      </w:r>
      <w:r>
        <w:t xml:space="preserve"> доби 24 однапред определени синтетички цели, секоја во три проби. Структурно валидни одлуки има 72/72; совпаѓање со однапред зададената способност 68/72; целосно совпаѓање со таа способност и очекуваните аргументи 68/72. Ова се 72 обиди врз 24 различни цели. Идентичен валиден нормализиран одговор во сите три проби имаат 23 цели. Четирите несовпаѓања се кај p11 во првата проба и p12 во сите три проби: барањето за највисок процент на зафатеност добива </w:t>
      </w:r>
      <w:r>
        <w:rPr>
          <w:rFonts w:ascii="DejaVu Sans Mono" w:hAnsi="DejaVu Sans Mono"/>
          <w:sz w:val="19"/>
        </w:rPr>
        <w:t>system.disk</w:t>
      </w:r>
      <w:r>
        <w:t xml:space="preserve"> наместо еталонското </w:t>
      </w:r>
      <w:r>
        <w:rPr>
          <w:rFonts w:ascii="DejaVu Sans Mono" w:hAnsi="DejaVu Sans Mono"/>
          <w:sz w:val="19"/>
        </w:rPr>
        <w:t>system.storage</w:t>
      </w:r>
      <w:r>
        <w:t xml:space="preserve">. Прегледот на замрзнатиот код покажува дека и </w:t>
      </w:r>
      <w:r>
        <w:rPr>
          <w:rFonts w:ascii="DejaVu Sans Mono" w:hAnsi="DejaVu Sans Mono"/>
          <w:sz w:val="19"/>
        </w:rPr>
        <w:t>system.disk</w:t>
      </w:r>
      <w:r>
        <w:t xml:space="preserve"> враќа листа на датотечни системи и </w:t>
      </w:r>
      <w:r>
        <w:rPr>
          <w:rFonts w:ascii="DejaVu Sans Mono" w:hAnsi="DejaVu Sans Mono"/>
          <w:sz w:val="19"/>
        </w:rPr>
        <w:t>fullest</w:t>
      </w:r>
      <w:r>
        <w:t xml:space="preserve">, пресметано според </w:t>
      </w:r>
      <w:r>
        <w:rPr>
          <w:rFonts w:ascii="DejaVu Sans Mono" w:hAnsi="DejaVu Sans Mono"/>
          <w:sz w:val="19"/>
        </w:rPr>
        <w:t>used_pct</w:t>
      </w:r>
      <w:r>
        <w:t xml:space="preserve">. Тоа е веројатна соодветна алтернатива што строгиот еталон не ја предвидел. Примарната оценка 68/72 останува непроменета; четирите записи не се претставуваат како докажани семантички или извршни неуспеси. Оваа пост-хок проверка на оракулот е во </w:t>
      </w:r>
      <w:r>
        <w:rPr>
          <w:rFonts w:ascii="DejaVu Sans Mono" w:hAnsi="DejaVu Sans Mono"/>
          <w:sz w:val="19"/>
        </w:rPr>
        <w:t>planner/oracle-review.json</w:t>
      </w:r>
      <w:r>
        <w:t>.</w:t>
      </w:r>
    </w:p>
    <w:p>
      <w:pPr/>
      <w:r>
        <w:t>Планерот го гледа целиот регистар од 58 способности. TOPK, живата снимка на состојбата, меморијата и рутерот се исклучени; договорот е празен, за да не го содржи очекуваното име на способноста. Контекстите, патеките и сесиите за прелистувачот се синтетички. Температурата е 0,0; повторувањата ја мерат повторливоста, а не робустноста на стохастичко земање примероци. Не се повикува извршител и не се тврди дека сите 72 задачи се реално завршени. Постоечкиот продукциски промпт веќе содржи конкретни упатства за датотеки, дискови и прелистувач; резултатот на овие 24 изречни цели не утврдува општа интелигенција за планирање.</w:t>
      </w:r>
    </w:p>
    <w:p>
      <w:pPr>
        <w:keepNext/>
        <w:spacing w:before="160" w:after="60"/>
        <w:jc w:val="center"/>
      </w:pPr>
      <w:r>
        <w:drawing>
          <wp:inline xmlns:a="http://schemas.openxmlformats.org/drawingml/2006/main" xmlns:pic="http://schemas.openxmlformats.org/drawingml/2006/picture">
            <wp:extent cx="5760000" cy="4297143"/>
            <wp:docPr id="24" name="Picture 24" descr="Одделен тест на вистинскиот планер. Коректна шема, коректна способност и коректни аргументи се три различни проверки." title="final_planner"/>
            <wp:cNvGraphicFramePr>
              <a:graphicFrameLocks noChangeAspect="1"/>
            </wp:cNvGraphicFramePr>
            <a:graphic>
              <a:graphicData uri="http://schemas.openxmlformats.org/drawingml/2006/picture">
                <pic:pic>
                  <pic:nvPicPr>
                    <pic:cNvPr id="0" name="final_planner.png"/>
                    <pic:cNvPicPr/>
                  </pic:nvPicPr>
                  <pic:blipFill>
                    <a:blip r:embed="rId33"/>
                    <a:stretch>
                      <a:fillRect/>
                    </a:stretch>
                  </pic:blipFill>
                  <pic:spPr>
                    <a:xfrm>
                      <a:off x="0" y="0"/>
                      <a:ext cx="5760000" cy="4297143"/>
                    </a:xfrm>
                    <a:prstGeom prst="rect"/>
                  </pic:spPr>
                </pic:pic>
              </a:graphicData>
            </a:graphic>
          </wp:inline>
        </w:drawing>
      </w:r>
    </w:p>
    <w:p>
      <w:bookmarkStart w:id="10024" w:name="aries_figure_24"/>
      <w:pPr>
        <w:pStyle w:val="Caption"/>
      </w:pPr>
      <w:bookmarkEnd w:id="10024"/>
      <w:r>
        <w:rPr>
          <w:b/>
        </w:rPr>
        <w:t xml:space="preserve">Слика </w:t>
      </w:r>
      <w:r>
        <w:fldChar w:fldCharType="begin" w:dirty="true"/>
      </w:r>
      <w:r>
        <w:instrText xml:space="preserve"> SEQ Figure \* ARABIC </w:instrText>
      </w:r>
      <w:r>
        <w:fldChar w:fldCharType="separate"/>
      </w:r>
      <w:r>
        <w:t>24</w:t>
      </w:r>
      <w:r>
        <w:fldChar w:fldCharType="end"/>
      </w:r>
      <w:r>
        <w:rPr>
          <w:b/>
        </w:rPr>
        <w:t xml:space="preserve">. </w:t>
      </w:r>
      <w:r>
        <w:t>Одделен тест на вистинскиот планер. Коректна шема, коректна способност и коректни аргументи се три различни проверки.</w:t>
      </w:r>
    </w:p>
    <w:p>
      <w:bookmarkStart w:id="165" w:name="aries_heading_164"/>
      <w:pPr>
        <w:pStyle w:val="Heading2"/>
      </w:pPr>
      <w:r>
        <w:t>Испробана демонстрација со независни исходни проверки</w:t>
      </w:r>
      <w:bookmarkEnd w:id="165"/>
    </w:p>
    <w:p>
      <w:pPr/>
      <w:r>
        <w:t xml:space="preserve">Извршени се три сценарија преку вистинските ASGI API-обработувачи, трајната редица и агентската јамка, со посебна SQLite-база: 3 од три ги исполнуваат однапред определените проверки. За успешната задача се бара нова датотека со точна содржина, </w:t>
      </w:r>
      <w:r>
        <w:rPr>
          <w:rFonts w:ascii="DejaVu Sans Mono" w:hAnsi="DejaVu Sans Mono"/>
          <w:sz w:val="19"/>
        </w:rPr>
        <w:t>file.write</w:t>
      </w:r>
      <w:r>
        <w:t xml:space="preserve"> па </w:t>
      </w:r>
      <w:r>
        <w:rPr>
          <w:rFonts w:ascii="DejaVu Sans Mono" w:hAnsi="DejaVu Sans Mono"/>
          <w:sz w:val="19"/>
        </w:rPr>
        <w:t>file.read</w:t>
      </w:r>
      <w:r>
        <w:t xml:space="preserve">, независно читање на бајтите и SHA-256, вистински повик на локалниот модел и проверени конечни референци. Двосмисленото „Move it there“ бара </w:t>
      </w:r>
      <w:r>
        <w:rPr>
          <w:rFonts w:ascii="DejaVu Sans Mono" w:hAnsi="DejaVu Sans Mono"/>
          <w:sz w:val="19"/>
        </w:rPr>
        <w:t>needs_clarification</w:t>
      </w:r>
      <w:r>
        <w:t xml:space="preserve">, прашање и нула чекори. Читањето синтетичка датотека во исклучена приватна патека бара одбивање, без откривање содржина и без измена на датотеката. Првата проба заврши со две од три успешни сценарија: сложената задача за датотеката наиде на </w:t>
      </w:r>
      <w:r>
        <w:rPr>
          <w:rFonts w:ascii="DejaVu Sans Mono" w:hAnsi="DejaVu Sans Mono"/>
          <w:sz w:val="19"/>
        </w:rPr>
        <w:t>database is locked</w:t>
      </w:r>
      <w:r>
        <w:t xml:space="preserve"> при преминот од препорачан облак кон локалниот модел. Суровиот неуспех е зачуван. По датирана измена само на тест-поставката </w:t>
      </w:r>
      <w:r>
        <w:rPr>
          <w:rFonts w:ascii="DejaVu Sans Mono" w:hAnsi="DejaVu Sans Mono"/>
          <w:sz w:val="19"/>
        </w:rPr>
        <w:t>intelligence.router_enabled=false</w:t>
      </w:r>
      <w:r>
        <w:t>, истите три сценарија се повторени во експлицитно локална конфигурација. Изворниот код е непроменет; ова е конфигурациско заобиколување на проблемот, а не поправка на продукциската патека.</w:t>
      </w:r>
    </w:p>
    <w:p>
      <w:pPr>
        <w:keepNext/>
        <w:spacing w:before="160" w:after="60"/>
        <w:jc w:val="center"/>
      </w:pPr>
      <w:r>
        <w:drawing>
          <wp:inline xmlns:a="http://schemas.openxmlformats.org/drawingml/2006/main" xmlns:pic="http://schemas.openxmlformats.org/drawingml/2006/picture">
            <wp:extent cx="5760000" cy="4297143"/>
            <wp:docPr id="25" name="Picture 25" descr="Три реално испробани исходи во изолиран процес. Зелената ознака се пресметува од зачуваните оракули." title="final_demo"/>
            <wp:cNvGraphicFramePr>
              <a:graphicFrameLocks noChangeAspect="1"/>
            </wp:cNvGraphicFramePr>
            <a:graphic>
              <a:graphicData uri="http://schemas.openxmlformats.org/drawingml/2006/picture">
                <pic:pic>
                  <pic:nvPicPr>
                    <pic:cNvPr id="0" name="final_demo.png"/>
                    <pic:cNvPicPr/>
                  </pic:nvPicPr>
                  <pic:blipFill>
                    <a:blip r:embed="rId34"/>
                    <a:stretch>
                      <a:fillRect/>
                    </a:stretch>
                  </pic:blipFill>
                  <pic:spPr>
                    <a:xfrm>
                      <a:off x="0" y="0"/>
                      <a:ext cx="5760000" cy="4297143"/>
                    </a:xfrm>
                    <a:prstGeom prst="rect"/>
                  </pic:spPr>
                </pic:pic>
              </a:graphicData>
            </a:graphic>
          </wp:inline>
        </w:drawing>
      </w:r>
    </w:p>
    <w:p>
      <w:bookmarkStart w:id="10025" w:name="aries_figure_25"/>
      <w:pPr>
        <w:pStyle w:val="Caption"/>
      </w:pPr>
      <w:bookmarkEnd w:id="10025"/>
      <w:r>
        <w:rPr>
          <w:b/>
        </w:rPr>
        <w:t xml:space="preserve">Слика </w:t>
      </w:r>
      <w:r>
        <w:fldChar w:fldCharType="begin" w:dirty="true"/>
      </w:r>
      <w:r>
        <w:instrText xml:space="preserve"> SEQ Figure \* ARABIC </w:instrText>
      </w:r>
      <w:r>
        <w:fldChar w:fldCharType="separate"/>
      </w:r>
      <w:r>
        <w:t>25</w:t>
      </w:r>
      <w:r>
        <w:fldChar w:fldCharType="end"/>
      </w:r>
      <w:r>
        <w:rPr>
          <w:b/>
        </w:rPr>
        <w:t xml:space="preserve">. </w:t>
      </w:r>
      <w:r>
        <w:t>Три реално испробани исходи во изолиран процес. Зелената ознака се пресметува од зачуваните оракули.</w:t>
      </w:r>
    </w:p>
    <w:p>
      <w:pPr/>
      <w:r>
        <w:t xml:space="preserve">API-повиците користат </w:t>
      </w:r>
      <w:r>
        <w:rPr>
          <w:rFonts w:ascii="DejaVu Sans Mono" w:hAnsi="DejaVu Sans Mono"/>
          <w:sz w:val="19"/>
        </w:rPr>
        <w:t>ASGITransport</w:t>
      </w:r>
      <w:r>
        <w:t xml:space="preserve"> во посебен процес, без TCP-сервер и без продукциската база. Овластувањето за успешното сценарио содржи само </w:t>
      </w:r>
      <w:r>
        <w:rPr>
          <w:rFonts w:ascii="DejaVu Sans Mono" w:hAnsi="DejaVu Sans Mono"/>
          <w:sz w:val="19"/>
        </w:rPr>
        <w:t>file.write</w:t>
      </w:r>
      <w:r>
        <w:t xml:space="preserve"> и </w:t>
      </w:r>
      <w:r>
        <w:rPr>
          <w:rFonts w:ascii="DejaVu Sans Mono" w:hAnsi="DejaVu Sans Mono"/>
          <w:sz w:val="19"/>
        </w:rPr>
        <w:t>file.read</w:t>
      </w:r>
      <w:r>
        <w:t xml:space="preserve"> со точни синтетички патеки. Појаснувањето го спроведува детерминистички код; приватносното одбивање вклучува LLM-планирање и задолжителна кодна проверка на политиката. Трите сценарија не се проценка на општата успешност, ниту тест на говор, GUI или продукциска мрежна инсталација. HTML-прегледот прикажува зачувани вистински записи и не е снимка на интерфејсот.</w:t>
      </w:r>
    </w:p>
    <w:p>
      <w:bookmarkStart w:id="169" w:name="aries_heading_168"/>
      <w:pPr>
        <w:pStyle w:val="Heading2"/>
      </w:pPr>
      <w:r>
        <w:t>Што дозволуваат новите докази</w:t>
      </w:r>
      <w:bookmarkEnd w:id="169"/>
    </w:p>
    <w:p>
      <w:pPr/>
      <w:r>
        <w:t>Повторувањата ја затвораат конкретната празнина на една проба во рутерската споредба. Замрзнатиот извор и истиот детерминистички пат ја подобруваат внатрешната споредливост. Тие не додаваат втор модел, втора машина, независни човечки ознаки или нови невидени барања. Спарениот описен интервал има 225 единици; повторените одлуки не се третираат како 675 независни случаи. Демонстрацијата и офлајн-планерот остануваат одделни мерења.</w:t>
      </w:r>
    </w:p>
    <w:p>
      <w:pPr/>
      <w:r>
        <w:t xml:space="preserve">Протоколот, слепата дополнителна белешка, суровите одлуки, хешовите и анализата се во </w:t>
      </w:r>
      <w:r>
        <w:rPr>
          <w:rFonts w:ascii="DejaVu Sans Mono" w:hAnsi="DejaVu Sans Mono"/>
          <w:sz w:val="19"/>
        </w:rPr>
        <w:t>experiments/thesis-final-20261006/</w:t>
      </w:r>
      <w:r>
        <w:t xml:space="preserve">. Заедничкиот извор на новите графици и бројки е </w:t>
      </w:r>
      <w:r>
        <w:rPr>
          <w:rFonts w:ascii="DejaVu Sans Mono" w:hAnsi="DejaVu Sans Mono"/>
          <w:sz w:val="19"/>
        </w:rPr>
        <w:t>diplomska/data/final-evaluation.json</w:t>
      </w:r>
      <w:r>
        <w:t xml:space="preserve">. Старите </w:t>
      </w:r>
      <w:r>
        <w:rPr>
          <w:rFonts w:ascii="DejaVu Sans Mono" w:hAnsi="DejaVu Sans Mono"/>
          <w:sz w:val="19"/>
        </w:rPr>
        <w:t>facts.json</w:t>
      </w:r>
      <w:r>
        <w:t xml:space="preserve"> и историскиот снимок остануваат непроменети.</w:t>
      </w:r>
    </w:p>
    <w:p>
      <w:bookmarkStart w:id="172" w:name="aries_heading_171"/>
      <w:pPr>
        <w:pStyle w:val="Heading1"/>
      </w:pPr>
      <w:r>
        <w:t>Закани по валидноста</w:t>
      </w:r>
      <w:bookmarkEnd w:id="172"/>
    </w:p>
    <w:p>
      <w:bookmarkStart w:id="173" w:name="aries_heading_172"/>
      <w:pPr>
        <w:pStyle w:val="Heading2"/>
      </w:pPr>
      <w:r>
        <w:t>Авторски податоци, една машина и ограничени повторувања</w:t>
      </w:r>
      <w:bookmarkEnd w:id="173"/>
    </w:p>
    <w:p>
      <w:pPr/>
      <w:r>
        <w:rPr>
          <w:b/>
        </w:rPr>
        <w:t>Фикстурите се составени од авторот или од AI-агент во истиот проектен контекст.</w:t>
      </w:r>
      <w:r>
        <w:t xml:space="preserve"> За резултатот со воздржувањето тоа е директна закана: класата „надвор од опсегот“ го кодира авторовиот модел за тоа што системот не може, а површината на способности што моделот ја чита се генерира од каталогот на можности што авторот го имал предвид кога ги пишувал тие ознаки. Измерениот ефект може делумно да одразува согласност меѓу два израза на едно разбирање.</w:t>
      </w:r>
    </w:p>
    <w:p>
      <w:pPr/>
      <w:r>
        <w:t>Тоа не го прави резултатот безвреден, но го ограничува начинот на кој смее да се изнесе. За историската серија со една проба, прецизноста беше 44/53 во A1 и 47/48 во A3, а погрешно задржаните извршливи барања беа 9/100 и 1/100. Ова е историска описна поврзаност. Новата контролирана серија погоре не покажува дополнителна бинарна корист на A3 во однос на A1.</w:t>
      </w:r>
    </w:p>
    <w:p>
      <w:pPr/>
      <w:r>
        <w:rPr>
          <w:b/>
        </w:rPr>
        <w:t>Не е измерена согласност меѓу оценувачи.</w:t>
      </w:r>
      <w:r>
        <w:t xml:space="preserve"> Ниеден втор човек не означил ниедна реченица.</w:t>
      </w:r>
    </w:p>
    <w:p>
      <w:pPr/>
      <w:r>
        <w:rPr>
          <w:b/>
        </w:rPr>
        <w:t>Историски: една проба по цел и по гранка.</w:t>
      </w:r>
      <w:r>
        <w:t xml:space="preserve"> Мешаниот пакет од 90 случаи нема статистички тест зад себе. Новата рутерска евалуација има три проби, но исти 225 случаи; ова не ја отстранува зависноста од авторската фикстура.</w:t>
      </w:r>
    </w:p>
    <w:p>
      <w:pPr/>
      <w:r>
        <w:rPr>
          <w:b/>
        </w:rPr>
        <w:t>Една машина.</w:t>
      </w:r>
      <w:r>
        <w:t xml:space="preserve"> Еден Ubuntu со GNOME, една звучна топологија, едно GPU. Што е особено важно тука, бидејќи компонентата со лимити на машината по дефиниција зависи од домаќинот.</w:t>
      </w:r>
    </w:p>
    <w:p>
      <w:bookmarkStart w:id="179" w:name="aries_heading_178"/>
      <w:pPr>
        <w:pStyle w:val="Heading2"/>
      </w:pPr>
      <w:r>
        <w:t>Што воопшто не е измерено</w:t>
      </w:r>
      <w:bookmarkEnd w:id="179"/>
    </w:p>
    <w:p>
      <w:pPr/>
      <w:r>
        <w:rPr>
          <w:b/>
        </w:rPr>
        <w:t>Поделбата локално/облак.</w:t>
      </w:r>
      <w:r>
        <w:t xml:space="preserve"> Спроведена во кодот, неизмерена како својство. Нема инструмент што ги брои излезните повици по класа на податок. Дополнително, стапка на истекување пресметана денес би била тавтолошки нула, зашто портата споредува етикети со етикети; недостасува оракул што ја проверува содржината независно од довербените ознаки.</w:t>
      </w:r>
    </w:p>
    <w:p>
      <w:pPr/>
      <w:r>
        <w:rPr>
          <w:b/>
        </w:rPr>
        <w:t>Нема испитаници.</w:t>
      </w:r>
      <w:r>
        <w:t xml:space="preserve"> Нула учесници. Ништо овде не утврдува дека воздржувањето им изгледа корисно наместо попречувачко на човек што не е авторот.</w:t>
      </w:r>
    </w:p>
    <w:p>
      <w:pPr/>
      <w:r>
        <w:rPr>
          <w:b/>
        </w:rPr>
        <w:t>Нема надворешна основа за споредба.</w:t>
      </w:r>
      <w:r>
        <w:t xml:space="preserve"> Секоја споредба е ARIES наспроти сопствена аблација.</w:t>
      </w:r>
    </w:p>
    <w:p>
      <w:bookmarkStart w:id="183" w:name="aries_heading_182"/>
      <w:pPr>
        <w:pStyle w:val="Heading2"/>
      </w:pPr>
      <w:r>
        <w:t>Граница на архитектонските тврдења</w:t>
      </w:r>
      <w:bookmarkEnd w:id="183"/>
    </w:p>
    <w:p>
      <w:pPr/>
      <w:r>
        <w:t>Генерирањето на рутерскиот опис од каталогот ја намалува потребата за паралелно одржуван список. Не докажува дека метаподатоците се целосни, дека сондата е без грешки или дека состојбата нема да се смени пред дејството. Не е извршен посебен експеримент за тие можни разминувања.</w:t>
      </w:r>
    </w:p>
    <w:p>
      <w:pPr/>
      <w:r>
        <w:t xml:space="preserve">Зачувувањето на артефактите сега обезбедува повторливост на </w:t>
      </w:r>
      <w:r>
        <w:rPr>
          <w:b/>
        </w:rPr>
        <w:t>анализата и PDF-градењето</w:t>
      </w:r>
      <w:r>
        <w:t>. Не ја претвора историската серија со промена на изворот во замрзнат експеримент. Новите повторувања се изведени и прикажани како посебен пакет.</w:t>
      </w:r>
    </w:p>
    <w:p>
      <w:pPr>
        <w:keepNext/>
        <w:spacing w:before="160" w:after="60"/>
        <w:jc w:val="center"/>
      </w:pPr>
      <w:r>
        <w:drawing>
          <wp:inline xmlns:a="http://schemas.openxmlformats.org/drawingml/2006/main" xmlns:pic="http://schemas.openxmlformats.org/drawingml/2006/picture">
            <wp:extent cx="5760000" cy="4739048"/>
            <wp:docPr id="26" name="Picture 26" descr="Карта на валидноста. Секој вид доказ е поврзан со заклучокот што го поддржува и со прашањето што останува неодговорено." title="validity_map"/>
            <wp:cNvGraphicFramePr>
              <a:graphicFrameLocks noChangeAspect="1"/>
            </wp:cNvGraphicFramePr>
            <a:graphic>
              <a:graphicData uri="http://schemas.openxmlformats.org/drawingml/2006/picture">
                <pic:pic>
                  <pic:nvPicPr>
                    <pic:cNvPr id="0" name="validity_map.png"/>
                    <pic:cNvPicPr/>
                  </pic:nvPicPr>
                  <pic:blipFill>
                    <a:blip r:embed="rId35"/>
                    <a:stretch>
                      <a:fillRect/>
                    </a:stretch>
                  </pic:blipFill>
                  <pic:spPr>
                    <a:xfrm>
                      <a:off x="0" y="0"/>
                      <a:ext cx="5760000" cy="4739048"/>
                    </a:xfrm>
                    <a:prstGeom prst="rect"/>
                  </pic:spPr>
                </pic:pic>
              </a:graphicData>
            </a:graphic>
          </wp:inline>
        </w:drawing>
      </w:r>
    </w:p>
    <w:p>
      <w:bookmarkStart w:id="10026" w:name="aries_figure_26"/>
      <w:pPr>
        <w:pStyle w:val="Caption"/>
      </w:pPr>
      <w:bookmarkEnd w:id="10026"/>
      <w:r>
        <w:rPr>
          <w:b/>
        </w:rPr>
        <w:t xml:space="preserve">Слика </w:t>
      </w:r>
      <w:r>
        <w:fldChar w:fldCharType="begin" w:dirty="true"/>
      </w:r>
      <w:r>
        <w:instrText xml:space="preserve"> SEQ Figure \* ARABIC </w:instrText>
      </w:r>
      <w:r>
        <w:fldChar w:fldCharType="separate"/>
      </w:r>
      <w:r>
        <w:t>26</w:t>
      </w:r>
      <w:r>
        <w:fldChar w:fldCharType="end"/>
      </w:r>
      <w:r>
        <w:rPr>
          <w:b/>
        </w:rPr>
        <w:t xml:space="preserve">. </w:t>
      </w:r>
      <w:r>
        <w:t>Карта на валидноста. Секој вид доказ е поврзан со заклучокот што го поддржува и со прашањето што останува неодговорено.</w:t>
      </w:r>
    </w:p>
    <w:p>
      <w:pPr>
        <w:pStyle w:val="ARIESAnalysis"/>
      </w:pPr>
      <w:r>
        <w:rPr>
          <w:b/>
        </w:rPr>
        <w:t>Научен опсег.</w:t>
      </w:r>
      <w:r>
        <w:t xml:space="preserve"> Историските графици се повторна анализа на зачувани податоци; новите графици го следат пакетот ARIES-FINAL-20261006. Архитектурите се извлечени од кодот. Нема независно човечко означување.</w:t>
      </w:r>
    </w:p>
    <w:p>
      <w:bookmarkStart w:id="188" w:name="aries_heading_187"/>
      <w:pPr>
        <w:pStyle w:val="Heading1"/>
      </w:pPr>
      <w:r>
        <w:t>Заклучок</w:t>
      </w:r>
      <w:bookmarkEnd w:id="188"/>
    </w:p>
    <w:p>
      <w:bookmarkStart w:id="189" w:name="aries_heading_188"/>
      <w:pPr>
        <w:pStyle w:val="Heading2"/>
      </w:pPr>
      <w:r>
        <w:t>Изградено, испитано и ограничено</w:t>
      </w:r>
      <w:bookmarkEnd w:id="189"/>
    </w:p>
    <w:p>
      <w:pPr/>
      <w:r>
        <w:t xml:space="preserve">ARIES ја поврзува јазичната одлука со ограничен избор на способности, валидација и проверлив исход. A1 и A3 имаат иста просечна бинарна точност, 68,6%, разлика 0,0 процентни поени. Описниот 95% интервал од спареното преземање примероци по случај е [-5,6; 6,1] процентни поени. Однапред зададениот заеднички критериум </w:t>
      </w:r>
      <w:r>
        <w:rPr>
          <w:b/>
        </w:rPr>
        <w:t>не е исполнет</w:t>
      </w:r>
      <w:r>
        <w:t>.</w:t>
      </w:r>
    </w:p>
    <w:p>
      <w:pPr/>
      <w:r>
        <w:t xml:space="preserve">Во одделен тест, вистинската функција </w:t>
      </w:r>
      <w:r>
        <w:rPr>
          <w:rFonts w:ascii="DejaVu Sans Mono" w:hAnsi="DejaVu Sans Mono"/>
          <w:sz w:val="19"/>
        </w:rPr>
        <w:t>agent_planner.plan()</w:t>
      </w:r>
      <w:r>
        <w:t xml:space="preserve"> доби 24 однапред определени синтетички цели, секоја во три проби. Структурно валидни одлуки има 72/72; совпаѓање со однапред зададената способност 68/72; целосно совпаѓање со таа способност и очекуваните аргументи 68/72. Ова се 72 обиди врз 24 различни цели. Идентичен валиден нормализиран одговор во сите три проби имаат 23 цели. Четирите несовпаѓања се кај p11 во првата проба и p12 во сите три проби: барањето за највисок процент на зафатеност добива </w:t>
      </w:r>
      <w:r>
        <w:rPr>
          <w:rFonts w:ascii="DejaVu Sans Mono" w:hAnsi="DejaVu Sans Mono"/>
          <w:sz w:val="19"/>
        </w:rPr>
        <w:t>system.disk</w:t>
      </w:r>
      <w:r>
        <w:t xml:space="preserve"> наместо еталонското </w:t>
      </w:r>
      <w:r>
        <w:rPr>
          <w:rFonts w:ascii="DejaVu Sans Mono" w:hAnsi="DejaVu Sans Mono"/>
          <w:sz w:val="19"/>
        </w:rPr>
        <w:t>system.storage</w:t>
      </w:r>
      <w:r>
        <w:t xml:space="preserve">. Прегледот на замрзнатиот код покажува дека и </w:t>
      </w:r>
      <w:r>
        <w:rPr>
          <w:rFonts w:ascii="DejaVu Sans Mono" w:hAnsi="DejaVu Sans Mono"/>
          <w:sz w:val="19"/>
        </w:rPr>
        <w:t>system.disk</w:t>
      </w:r>
      <w:r>
        <w:t xml:space="preserve"> враќа листа на датотечни системи и </w:t>
      </w:r>
      <w:r>
        <w:rPr>
          <w:rFonts w:ascii="DejaVu Sans Mono" w:hAnsi="DejaVu Sans Mono"/>
          <w:sz w:val="19"/>
        </w:rPr>
        <w:t>fullest</w:t>
      </w:r>
      <w:r>
        <w:t xml:space="preserve">, пресметано според </w:t>
      </w:r>
      <w:r>
        <w:rPr>
          <w:rFonts w:ascii="DejaVu Sans Mono" w:hAnsi="DejaVu Sans Mono"/>
          <w:sz w:val="19"/>
        </w:rPr>
        <w:t>used_pct</w:t>
      </w:r>
      <w:r>
        <w:t xml:space="preserve">. Тоа е веројатна соодветна алтернатива што строгиот еталон не ја предвидел. Примарната оценка 68/72 останува непроменета; четирите записи не се претставуваат како докажани семантички или извршни неуспеси. Оваа пост-хок проверка на оракулот е во </w:t>
      </w:r>
      <w:r>
        <w:rPr>
          <w:rFonts w:ascii="DejaVu Sans Mono" w:hAnsi="DejaVu Sans Mono"/>
          <w:sz w:val="19"/>
        </w:rPr>
        <w:t>planner/oracle-review.json</w:t>
      </w:r>
      <w:r>
        <w:t>.</w:t>
      </w:r>
    </w:p>
    <w:p>
      <w:pPr/>
      <w:r>
        <w:t>Планерот го гледа целиот регистар од 58 способности. TOPK, живата снимка на состојбата, меморијата и рутерот се исклучени; договорот е празен, за да не го содржи очекуваното име на способноста. Контекстите, патеките и сесиите за прелистувачот се синтетички. Температурата е 0,0; повторувањата ја мерат повторливоста, а не робустноста на стохастичко земање примероци. Не се повикува извршител и не се тврди дека сите 72 задачи се реално завршени. Постоечкиот продукциски промпт веќе содржи конкретни упатства за датотеки, дискови и прелистувач; резултатот на овие 24 изречни цели не утврдува општа интелигенција за планирање.</w:t>
      </w:r>
    </w:p>
    <w:p>
      <w:pPr/>
      <w:r>
        <w:t xml:space="preserve">Извршени се три сценарија преку вистинските ASGI API-обработувачи, трајната редица и агентската јамка, со посебна SQLite-база: 3 од три ги исполнуваат однапред определените проверки. За успешната задача се бара нова датотека со точна содржина, </w:t>
      </w:r>
      <w:r>
        <w:rPr>
          <w:rFonts w:ascii="DejaVu Sans Mono" w:hAnsi="DejaVu Sans Mono"/>
          <w:sz w:val="19"/>
        </w:rPr>
        <w:t>file.write</w:t>
      </w:r>
      <w:r>
        <w:t xml:space="preserve"> па </w:t>
      </w:r>
      <w:r>
        <w:rPr>
          <w:rFonts w:ascii="DejaVu Sans Mono" w:hAnsi="DejaVu Sans Mono"/>
          <w:sz w:val="19"/>
        </w:rPr>
        <w:t>file.read</w:t>
      </w:r>
      <w:r>
        <w:t xml:space="preserve">, независно читање на бајтите и SHA-256, вистински повик на локалниот модел и проверени конечни референци. Двосмисленото „Move it there“ бара </w:t>
      </w:r>
      <w:r>
        <w:rPr>
          <w:rFonts w:ascii="DejaVu Sans Mono" w:hAnsi="DejaVu Sans Mono"/>
          <w:sz w:val="19"/>
        </w:rPr>
        <w:t>needs_clarification</w:t>
      </w:r>
      <w:r>
        <w:t xml:space="preserve">, прашање и нула чекори. Читањето синтетичка датотека во исклучена приватна патека бара одбивање, без откривање содржина и без измена на датотеката. Првата проба заврши со две од три успешни сценарија: сложената задача за датотеката наиде на </w:t>
      </w:r>
      <w:r>
        <w:rPr>
          <w:rFonts w:ascii="DejaVu Sans Mono" w:hAnsi="DejaVu Sans Mono"/>
          <w:sz w:val="19"/>
        </w:rPr>
        <w:t>database is locked</w:t>
      </w:r>
      <w:r>
        <w:t xml:space="preserve"> при преминот од препорачан облак кон локалниот модел. Суровиот неуспех е зачуван. По датирана измена само на тест-поставката </w:t>
      </w:r>
      <w:r>
        <w:rPr>
          <w:rFonts w:ascii="DejaVu Sans Mono" w:hAnsi="DejaVu Sans Mono"/>
          <w:sz w:val="19"/>
        </w:rPr>
        <w:t>intelligence.router_enabled=false</w:t>
      </w:r>
      <w:r>
        <w:t>, истите три сценарија се повторени во експлицитно локална конфигурација. Изворниот код е непроменет; ова е конфигурациско заобиколување на проблемот, а не поправка на продукциската патека.</w:t>
      </w:r>
    </w:p>
    <w:p>
      <w:pPr/>
      <w:r>
        <w:t>Историската прецизност 47/48 не е општа точност. Во историскиот дневник 1.010/8.285 чекори стигнале до проверка, со 1.008 потврдени исходи. Новите повторувања не ги препишуваат старите ограничувања, спорни случаи и неисполнети критериуми.</w:t>
      </w:r>
    </w:p>
    <w:p>
      <w:bookmarkStart w:id="195" w:name="aries_heading_194"/>
      <w:pPr>
        <w:pStyle w:val="Heading2"/>
      </w:pPr>
      <w:r>
        <w:t>Подготовка за одбрана и понатамошна работа</w:t>
      </w:r>
      <w:bookmarkEnd w:id="195"/>
    </w:p>
    <w:p>
      <w:pPr/>
      <w:r>
        <w:t>Завршени се контролираното повторено мерење, испробаните три демонстрациски сценарија и материјалите што го објаснуваат придонесот: презентација во PowerPoint, водич во Word и преглед на вистинските демонстрациски записи. Четирите главни документи имаат усогласени Word и PDF-изданија. Академското прифаќање, конечниот опсег и административните податоци на насловната страница се потврдуваат со менторот.</w:t>
      </w:r>
    </w:p>
    <w:p>
      <w:pPr/>
      <w:r>
        <w:t>Следните истражувачки чекори се човечко означување, нова невидена фикстура, други модели и машини и посебно мерење на говорната патека. Тие се можности за продолжување и ограничувања на генерализацијата; не се тврди дека се извршени во оваа дипломска.</w:t>
      </w:r>
    </w:p>
    <w:p>
      <w:bookmarkStart w:id="198" w:name="aries_heading_197"/>
      <w:pPr>
        <w:pStyle w:val="Heading1"/>
      </w:pPr>
      <w:r>
        <w:t>Библиографија</w:t>
      </w:r>
      <w:bookmarkEnd w:id="198"/>
    </w:p>
    <w:p>
      <w:pPr/>
      <w:r>
        <w:t xml:space="preserve">[1] Laksh Advani. „From Confident Closing to Silent Failure: Characterizing False Success in LLM Agents“. 2026. </w:t>
      </w:r>
      <w:hyperlink r:id="rId36" w:history="1">
        <w:r>
          <w:rPr>
            <w:color w:val="00809A"/>
            <w:u w:val="single"/>
          </w:rPr>
          <w:t>arXiv:2606.09863v1</w:t>
        </w:r>
      </w:hyperlink>
      <w:r>
        <w:t>.</w:t>
      </w:r>
    </w:p>
    <w:p>
      <w:pPr/>
      <w:r>
        <w:t xml:space="preserve">[2] Sugam Panthi и Rabab Abdelfattah. „Outcome Monitors: Recovery Affordances for Silent Tool Failures“. 2026. </w:t>
      </w:r>
      <w:hyperlink r:id="rId37" w:history="1">
        <w:r>
          <w:rPr>
            <w:color w:val="00809A"/>
            <w:u w:val="single"/>
          </w:rPr>
          <w:t>arXiv:2608.19303v1</w:t>
        </w:r>
      </w:hyperlink>
      <w:r>
        <w:t>.</w:t>
      </w:r>
    </w:p>
    <w:p>
      <w:pPr/>
      <w:r>
        <w:t xml:space="preserve">[3] Vikas Reddy, Sumanth Reddy Challaram и Abhishek Basu. „Reason Less, Verify More: Deterministic Gates Recover a Silent Policy-Violation Failure Mode in Tool-Using LLM Agents“. 2026. </w:t>
      </w:r>
      <w:hyperlink r:id="rId38" w:history="1">
        <w:r>
          <w:rPr>
            <w:color w:val="00809A"/>
            <w:u w:val="single"/>
          </w:rPr>
          <w:t>arXiv:2607.07405v2</w:t>
        </w:r>
      </w:hyperlink>
      <w:r>
        <w:t>.</w:t>
      </w:r>
    </w:p>
    <w:p>
      <w:pPr/>
      <w:r>
        <w:t xml:space="preserve">[4] Ali Afoud и Jie JW Wu. „Verification as an Architectural Layer for LLM Agents: A V-Model Design, and a Pilot Study of Its Deterministic Core“. 2026. </w:t>
      </w:r>
      <w:hyperlink r:id="rId39" w:history="1">
        <w:r>
          <w:rPr>
            <w:color w:val="00809A"/>
            <w:u w:val="single"/>
          </w:rPr>
          <w:t>arXiv:2609.31937v1</w:t>
        </w:r>
      </w:hyperlink>
      <w:r>
        <w:t>.</w:t>
      </w:r>
    </w:p>
    <w:p>
      <w:pPr/>
      <w:r>
        <w:t xml:space="preserve">[5] Alec Radford и др. „Robust Speech Recognition via Large-Scale Weak Supervision“. 2022. </w:t>
      </w:r>
      <w:hyperlink r:id="rId40" w:history="1">
        <w:r>
          <w:rPr>
            <w:color w:val="00809A"/>
            <w:u w:val="single"/>
          </w:rPr>
          <w:t>arXiv:2212.04356v1</w:t>
        </w:r>
      </w:hyperlink>
      <w:r>
        <w:t>.</w:t>
      </w:r>
    </w:p>
    <w:p>
      <w:pPr/>
      <w:r>
        <w:t xml:space="preserve">[6] Silero Team. „Silero VAD: pre-trained enterprise-grade Voice Activity Detector (VAD), Number Detector and Language Classifier“. Софтвер, официјален репозиториум </w:t>
      </w:r>
      <w:hyperlink r:id="rId41" w:history="1">
        <w:r>
          <w:rPr>
            <w:color w:val="00809A"/>
            <w:u w:val="single"/>
          </w:rPr>
          <w:t>silero-vad</w:t>
        </w:r>
      </w:hyperlink>
      <w:r>
        <w:t>, пристапено на 6 октомври 2026.</w:t>
      </w:r>
    </w:p>
    <w:p>
      <w:pPr/>
      <w:r>
        <w:t xml:space="preserve">[7] Liang Wang и др. „Multilingual E5 Text Embeddings: A Technical Report“. 2024. </w:t>
      </w:r>
      <w:hyperlink r:id="rId42" w:history="1">
        <w:r>
          <w:rPr>
            <w:color w:val="00809A"/>
            <w:u w:val="single"/>
          </w:rPr>
          <w:t>arXiv:2402.05672v1</w:t>
        </w:r>
      </w:hyperlink>
      <w:r>
        <w:t>.</w:t>
      </w:r>
    </w:p>
    <w:p>
      <w:pPr/>
      <w:r>
        <w:t xml:space="preserve">[8] Qwen Team. „Qwen2.5 Technical Report“. 2024, верзија 1. </w:t>
      </w:r>
      <w:hyperlink r:id="rId43" w:history="1">
        <w:r>
          <w:rPr>
            <w:color w:val="00809A"/>
            <w:u w:val="single"/>
          </w:rPr>
          <w:t>arXiv:2412.15115v1</w:t>
        </w:r>
      </w:hyperlink>
      <w:r>
        <w:t>.</w:t>
      </w:r>
    </w:p>
    <w:p>
      <w:bookmarkStart w:id="207" w:name="aries_heading_206"/>
      <w:pPr>
        <w:pStyle w:val="Heading1"/>
      </w:pPr>
      <w:r>
        <w:t>Прилог: визуелен преглед на интерфејсот</w:t>
      </w:r>
      <w:bookmarkEnd w:id="207"/>
    </w:p>
    <w:p>
      <w:pPr>
        <w:keepNext/>
        <w:spacing w:before="160" w:after="60"/>
        <w:jc w:val="center"/>
      </w:pPr>
      <w:r>
        <w:drawing>
          <wp:inline xmlns:a="http://schemas.openxmlformats.org/drawingml/2006/main" xmlns:pic="http://schemas.openxmlformats.org/drawingml/2006/picture">
            <wp:extent cx="5760000" cy="5340397"/>
            <wp:docPr id="27" name="Picture 27" descr="Историски приказ на преглед на задача. Означените делови го поврзуваат барањето, чекорите и доказите; сликата е илустрација на интерфејсот, не резултат од нов експеримент." title="interface_review"/>
            <wp:cNvGraphicFramePr>
              <a:graphicFrameLocks noChangeAspect="1"/>
            </wp:cNvGraphicFramePr>
            <a:graphic>
              <a:graphicData uri="http://schemas.openxmlformats.org/drawingml/2006/picture">
                <pic:pic>
                  <pic:nvPicPr>
                    <pic:cNvPr id="0" name="interface_review.png"/>
                    <pic:cNvPicPr/>
                  </pic:nvPicPr>
                  <pic:blipFill>
                    <a:blip r:embed="rId44"/>
                    <a:stretch>
                      <a:fillRect/>
                    </a:stretch>
                  </pic:blipFill>
                  <pic:spPr>
                    <a:xfrm>
                      <a:off x="0" y="0"/>
                      <a:ext cx="5760000" cy="5340397"/>
                    </a:xfrm>
                    <a:prstGeom prst="rect"/>
                  </pic:spPr>
                </pic:pic>
              </a:graphicData>
            </a:graphic>
          </wp:inline>
        </w:drawing>
      </w:r>
    </w:p>
    <w:p>
      <w:bookmarkStart w:id="10027" w:name="aries_figure_27"/>
      <w:pPr>
        <w:pStyle w:val="Caption"/>
      </w:pPr>
      <w:bookmarkEnd w:id="10027"/>
      <w:r>
        <w:rPr>
          <w:b/>
        </w:rPr>
        <w:t xml:space="preserve">Слика </w:t>
      </w:r>
      <w:r>
        <w:fldChar w:fldCharType="begin" w:dirty="true"/>
      </w:r>
      <w:r>
        <w:instrText xml:space="preserve"> SEQ Figure \* ARABIC </w:instrText>
      </w:r>
      <w:r>
        <w:fldChar w:fldCharType="separate"/>
      </w:r>
      <w:r>
        <w:t>27</w:t>
      </w:r>
      <w:r>
        <w:fldChar w:fldCharType="end"/>
      </w:r>
      <w:r>
        <w:rPr>
          <w:b/>
        </w:rPr>
        <w:t xml:space="preserve">. </w:t>
      </w:r>
      <w:r>
        <w:t>Историски приказ на преглед на задача. Означените делови го поврзуваат барањето, чекорите и доказите; сликата е илустрација на интерфејсот, не резултат од нов експеримент.</w:t>
      </w:r>
    </w:p>
    <w:p>
      <w:pPr>
        <w:pStyle w:val="ARIESAnalysis"/>
      </w:pPr>
      <w:r>
        <w:rPr>
          <w:b/>
        </w:rPr>
        <w:t>Што може да се види.</w:t>
      </w:r>
      <w:r>
        <w:t xml:space="preserve"> Интерфејсот прави простор за преглед на исходот и доказите. Екран што прикажува успех сам по себе не ја потврдува вистинитоста на тој успех; за тоа се користат суровите записи и независниот оракул.</w:t>
      </w:r>
    </w:p>
    <w:p>
      <w:bookmarkStart w:id="210" w:name="aries_heading_209"/>
      <w:pPr>
        <w:pStyle w:val="Heading1"/>
      </w:pPr>
      <w:r>
        <w:t>Прилог: преглед со втор AI-агент</w:t>
      </w:r>
      <w:bookmarkEnd w:id="210"/>
    </w:p>
    <w:p>
      <w:pPr>
        <w:keepNext/>
        <w:spacing w:before="160" w:after="60"/>
        <w:jc w:val="center"/>
      </w:pPr>
      <w:r>
        <w:drawing>
          <wp:inline xmlns:a="http://schemas.openxmlformats.org/drawingml/2006/main" xmlns:pic="http://schemas.openxmlformats.org/drawingml/2006/picture">
            <wp:extent cx="5760000" cy="3097143"/>
            <wp:docPr id="28" name="Picture 28" descr="Што најде независниот преглед, и што обори. Оборена хипотеза е резултат, не неуспех." title="review_summary"/>
            <wp:cNvGraphicFramePr>
              <a:graphicFrameLocks noChangeAspect="1"/>
            </wp:cNvGraphicFramePr>
            <a:graphic>
              <a:graphicData uri="http://schemas.openxmlformats.org/drawingml/2006/picture">
                <pic:pic>
                  <pic:nvPicPr>
                    <pic:cNvPr id="0" name="review_summary.png"/>
                    <pic:cNvPicPr/>
                  </pic:nvPicPr>
                  <pic:blipFill>
                    <a:blip r:embed="rId45"/>
                    <a:stretch>
                      <a:fillRect/>
                    </a:stretch>
                  </pic:blipFill>
                  <pic:spPr>
                    <a:xfrm>
                      <a:off x="0" y="0"/>
                      <a:ext cx="5760000" cy="3097143"/>
                    </a:xfrm>
                    <a:prstGeom prst="rect"/>
                  </pic:spPr>
                </pic:pic>
              </a:graphicData>
            </a:graphic>
          </wp:inline>
        </w:drawing>
      </w:r>
    </w:p>
    <w:p>
      <w:bookmarkStart w:id="10028" w:name="aries_figure_28"/>
      <w:pPr>
        <w:pStyle w:val="Caption"/>
      </w:pPr>
      <w:bookmarkEnd w:id="10028"/>
      <w:r>
        <w:rPr>
          <w:b/>
        </w:rPr>
        <w:t xml:space="preserve">Слика </w:t>
      </w:r>
      <w:r>
        <w:fldChar w:fldCharType="begin" w:dirty="true"/>
      </w:r>
      <w:r>
        <w:instrText xml:space="preserve"> SEQ Figure \* ARABIC </w:instrText>
      </w:r>
      <w:r>
        <w:fldChar w:fldCharType="separate"/>
      </w:r>
      <w:r>
        <w:t>28</w:t>
      </w:r>
      <w:r>
        <w:fldChar w:fldCharType="end"/>
      </w:r>
      <w:r>
        <w:rPr>
          <w:b/>
        </w:rPr>
        <w:t xml:space="preserve">. </w:t>
      </w:r>
      <w:r>
        <w:t>Што најде независниот преглед, и што обори. Оборена хипотеза е резултат, не неуспех.</w:t>
      </w:r>
    </w:p>
    <w:p>
      <w:pPr/>
      <w:r>
        <w:t xml:space="preserve">Прегледот е спроведен со </w:t>
      </w:r>
      <w:r>
        <w:rPr>
          <w:b/>
        </w:rPr>
        <w:t>втор AI-агент во одделна работна околина</w:t>
      </w:r>
      <w:r>
        <w:t xml:space="preserve">, не со надворешен човечки рецензент. Независноста се однесува на работната околина и на повторното прибирање докази, не на независни човечки оценки: разделено она што е </w:t>
      </w:r>
      <w:r>
        <w:rPr>
          <w:b/>
        </w:rPr>
        <w:t>прочитано во изворот</w:t>
      </w:r>
      <w:r>
        <w:t xml:space="preserve"> од она што е </w:t>
      </w:r>
      <w:r>
        <w:rPr>
          <w:b/>
        </w:rPr>
        <w:t>извршено</w:t>
      </w:r>
      <w:r>
        <w:t>, и секое сомневање што падна беше запишано како паднато, не претворено во наод.</w:t>
      </w:r>
    </w:p>
    <w:p>
      <w:pPr/>
      <w:r>
        <w:t xml:space="preserve">Резултатот е </w:t>
      </w:r>
      <w:r>
        <w:rPr>
          <w:b/>
        </w:rPr>
        <w:t>17 наода, 6 оборени хипотези и 3 поправки на претходни тврдења на самиот проект</w:t>
      </w:r>
      <w:r>
        <w:t>.</w:t>
      </w:r>
    </w:p>
    <w:p>
      <w:pPr/>
      <w:r>
        <w:t xml:space="preserve">Трите поправки се најкорисниот дел, а два од наодите беа затворени во изворот уште додека овој труд се пишуваше — што е посакуваниот исход од независен преглед, не причина мерењето да се прикрие. Првата: регистарот држи 58 способности, а трудот наведуваше 15 — бројката дојде од пребројување со текстуален шаблон врз еден фајл, додека другите 43 способности се регистрираат од други модули при вчитување. Втората: тврдењето дека поделбата локално/облак нема спроведување е погрешно; таа е спроведена во кодот и фрла пред да се конструира добавувач, но е </w:t>
      </w:r>
      <w:r>
        <w:rPr>
          <w:b/>
        </w:rPr>
        <w:t>неизмерена</w:t>
      </w:r>
      <w:r>
        <w:t>. Третата: тврдењето дека механизмот за враќање назад на научена вредност постои е погрешно — во прегледаната состојба таква вредност можела да се засени, но не и да се отстрани. Пат за ресетирање и враќање е додаден потоа; стариот наод е датиран, не избришан.</w:t>
      </w:r>
    </w:p>
    <w:p>
      <w:bookmarkStart w:id="215" w:name="aries_heading_214"/>
      <w:pPr>
        <w:pStyle w:val="Heading2"/>
      </w:pPr>
      <w:r>
        <w:t>Инструментот беше измерен пред да биде употребен</w:t>
      </w:r>
      <w:bookmarkEnd w:id="215"/>
    </w:p>
    <w:p>
      <w:pPr/>
      <w:r>
        <w:t xml:space="preserve">За независната проверка беше составена фикстура од 57 оригинални сценарија. Пред да биде употребена, секој нејзин оракул беше извршен против запис во кој системот </w:t>
      </w:r>
      <w:r>
        <w:rPr>
          <w:b/>
        </w:rPr>
        <w:t>не направил ништо</w:t>
      </w:r>
      <w:r>
        <w:t>. Деветнаесет оракули поминаа — значи не можеа да разликуваат успех од неработење, точно маната што прегледот ја најде кај тривијалните верификатори.</w:t>
      </w:r>
    </w:p>
    <w:p>
      <w:pPr/>
      <w:r>
        <w:t xml:space="preserve">Три причини беа откриени при поправката, и сите три се општи: </w:t>
      </w:r>
      <w:r>
        <w:rPr>
          <w:rFonts w:ascii="DejaVu Sans Mono" w:hAnsi="DejaVu Sans Mono"/>
          <w:sz w:val="19"/>
        </w:rPr>
        <w:t>min</w:t>
      </w:r>
      <w:r>
        <w:t xml:space="preserve"> врз празна низа во </w:t>
      </w:r>
      <w:r>
        <w:rPr>
          <w:rFonts w:ascii="DejaVu Sans Mono" w:hAnsi="DejaVu Sans Mono"/>
          <w:sz w:val="19"/>
        </w:rPr>
        <w:t>jq</w:t>
      </w:r>
      <w:r>
        <w:t xml:space="preserve"> дава </w:t>
      </w:r>
      <w:r>
        <w:rPr>
          <w:rFonts w:ascii="DejaVu Sans Mono" w:hAnsi="DejaVu Sans Mono"/>
          <w:sz w:val="19"/>
        </w:rPr>
        <w:t>null</w:t>
      </w:r>
      <w:r>
        <w:t xml:space="preserve">, кое споредува под секој број, па проверка од обликот </w:t>
      </w:r>
      <w:r>
        <w:rPr>
          <w:rFonts w:ascii="DejaVu Sans Mono" w:hAnsi="DejaVu Sans Mono"/>
          <w:sz w:val="19"/>
        </w:rPr>
        <w:t>min ≤ 2</w:t>
      </w:r>
      <w:r>
        <w:t xml:space="preserve"> поминуваше со нула доказ; јамка што завршува со </w:t>
      </w:r>
      <w:r>
        <w:rPr>
          <w:rFonts w:ascii="DejaVu Sans Mono" w:hAnsi="DejaVu Sans Mono"/>
          <w:sz w:val="19"/>
        </w:rPr>
        <w:t>|| echo MISSING</w:t>
      </w:r>
      <w:r>
        <w:t xml:space="preserve"> секогаш излегува со нула; проза оставена како последна линија во поставувањето, каде нејзиниот ненулти излез се пропагира. По поправката сите 49 извршливи случаи разликуваат.</w:t>
      </w:r>
    </w:p>
    <w:p>
      <w:pPr/>
      <w:r>
        <w:t xml:space="preserve">Фикстурата е изграден и валидиран </w:t>
      </w:r>
      <w:r>
        <w:rPr>
          <w:b/>
        </w:rPr>
        <w:t>инструмент</w:t>
      </w:r>
      <w:r>
        <w:t>. Во цитираниот историски извештај не била извршена врз системот; ниеден број во неа не е тврдење за него.</w:t>
      </w:r>
    </w:p>
    <w:sectPr w:rsidR="00FC693F" w:rsidRPr="0006063C" w:rsidSect="00034616">
      <w:footerReference w:type="default" r:id="rId9"/>
      <w:pgSz w:w="11906" w:h="16838"/>
      <w:pgMar w:top="1417" w:right="1417" w:bottom="1984" w:left="1417" w:header="720" w:footer="10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5" w:val="center"/>
      </w:tabs>
      <w:jc w:val="left"/>
    </w:pPr>
    <w:r>
      <w:rPr>
        <w:rFonts w:ascii="Times New Roman" w:hAnsi="Times New Roman"/>
        <w:sz w:val="16"/>
      </w:rPr>
      <w:t>Работен нацрт · ARIES-DOC-20261006</w:t>
      <w:tab/>
    </w:r>
    <w:r>
      <w:fldChar w:fldCharType="begin" w:dirty="true"/>
    </w:r>
    <w:r>
      <w:instrText xml:space="preserve"> PAGE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60"/>
      <w:jc w:val="both"/>
    </w:pPr>
    <w:rPr>
      <w:rFonts w:ascii="Times New Roman" w:hAnsi="Times New Roman"/>
      <w:b w:val="0"/>
      <w:color w:val="111111"/>
      <w:sz w:val="24"/>
      <w:lang w:val="mk-MK" w:eastAsia="mk-MK"/>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line="276" w:lineRule="auto"/>
      <w:jc w:val="left"/>
      <w:outlineLvl w:val="0"/>
    </w:pPr>
    <w:rPr>
      <w:rFonts w:asciiTheme="majorHAnsi" w:eastAsiaTheme="majorEastAsia" w:hAnsiTheme="majorHAnsi" w:cstheme="majorBidi" w:ascii="Times New Roman" w:hAnsi="Times New Roman"/>
      <w:b/>
      <w:bCs/>
      <w:color w:val="17324D"/>
      <w:sz w:val="32"/>
      <w:szCs w:val="28"/>
      <w:lang w:val="mk-MK" w:eastAsia="mk-MK"/>
    </w:rPr>
  </w:style>
  <w:style w:type="paragraph" w:styleId="Heading2">
    <w:name w:val="heading 2"/>
    <w:basedOn w:val="Normal"/>
    <w:next w:val="Normal"/>
    <w:link w:val="Heading2Char"/>
    <w:uiPriority w:val="9"/>
    <w:unhideWhenUsed/>
    <w:qFormat/>
    <w:rsid w:val="00FC693F"/>
    <w:pPr>
      <w:keepNext/>
      <w:keepLines/>
      <w:spacing w:before="180" w:after="60" w:line="276" w:lineRule="auto"/>
      <w:jc w:val="left"/>
      <w:outlineLvl w:val="1"/>
    </w:pPr>
    <w:rPr>
      <w:rFonts w:asciiTheme="majorHAnsi" w:eastAsiaTheme="majorEastAsia" w:hAnsiTheme="majorHAnsi" w:cstheme="majorBidi" w:ascii="Times New Roman" w:hAnsi="Times New Roman"/>
      <w:b w:val="0"/>
      <w:bCs/>
      <w:color w:val="111111"/>
      <w:sz w:val="28"/>
      <w:szCs w:val="26"/>
      <w:lang w:val="mk-MK" w:eastAsia="mk-MK"/>
    </w:rPr>
  </w:style>
  <w:style w:type="paragraph" w:styleId="Heading3">
    <w:name w:val="heading 3"/>
    <w:basedOn w:val="Normal"/>
    <w:next w:val="Normal"/>
    <w:link w:val="Heading3Char"/>
    <w:uiPriority w:val="9"/>
    <w:unhideWhenUsed/>
    <w:qFormat/>
    <w:rsid w:val="00FC693F"/>
    <w:pPr>
      <w:keepNext/>
      <w:keepLines/>
      <w:spacing w:before="180" w:after="60" w:line="276" w:lineRule="auto"/>
      <w:jc w:val="left"/>
      <w:outlineLvl w:val="2"/>
    </w:pPr>
    <w:rPr>
      <w:rFonts w:asciiTheme="majorHAnsi" w:eastAsiaTheme="majorEastAsia" w:hAnsiTheme="majorHAnsi" w:cstheme="majorBidi" w:ascii="Times New Roman" w:hAnsi="Times New Roman"/>
      <w:b w:val="0"/>
      <w:bCs/>
      <w:color w:val="111111"/>
      <w:sz w:val="24"/>
      <w:lang w:val="mk-MK" w:eastAsia="mk-MK"/>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76" w:lineRule="auto" w:after="120"/>
      <w:jc w:val="center"/>
    </w:pPr>
    <w:rPr>
      <w:rFonts w:ascii="Times New Roman" w:hAnsi="Times New Roman"/>
      <w:b w:val="0"/>
      <w:bCs/>
      <w:color w:val="111111"/>
      <w:sz w:val="20"/>
      <w:szCs w:val="18"/>
      <w:lang w:val="mk-MK" w:eastAsia="mk-MK"/>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IESAnalysis">
    <w:name w:val="ARIES Analysis"/>
    <w:basedOn w:val="Normal"/>
    <w:pPr>
      <w:spacing w:line="276" w:lineRule="auto" w:after="120" w:before="160"/>
      <w:ind w:left="142" w:right="142"/>
      <w:jc w:val="left"/>
      <w:shd w:fill="EFF5F8" w:val="clear"/>
    </w:pPr>
    <w:rPr>
      <w:rFonts w:ascii="Times New Roman" w:hAnsi="Times New Roman"/>
      <w:b w:val="0"/>
      <w:color w:val="213547"/>
      <w:sz w:val="22"/>
      <w:lang w:val="mk-MK" w:eastAsia="mk-MK"/>
    </w:rPr>
  </w:style>
  <w:style w:type="paragraph" w:customStyle="1" w:styleId="ARIESCode">
    <w:name w:val="ARIES Code"/>
    <w:basedOn w:val="Normal"/>
    <w:pPr>
      <w:spacing w:line="276" w:lineRule="auto" w:after="80"/>
      <w:ind w:left="170"/>
      <w:jc w:val="left"/>
    </w:pPr>
    <w:rPr>
      <w:rFonts w:ascii="DejaVu Sans Mono" w:hAnsi="DejaVu Sans Mono"/>
      <w:b w:val="0"/>
      <w:color w:val="213547"/>
      <w:sz w:val="18"/>
      <w:lang w:val="mk-MK" w:eastAsia="mk-MK"/>
    </w:rPr>
  </w:style>
  <w:style w:type="paragraph" w:customStyle="1" w:styleId="ARIESTable">
    <w:name w:val="ARIES Table"/>
    <w:basedOn w:val="Normal"/>
    <w:pPr>
      <w:spacing w:line="276" w:lineRule="auto" w:after="60"/>
      <w:jc w:val="left"/>
    </w:pPr>
    <w:rPr>
      <w:rFonts w:ascii="Times New Roman" w:hAnsi="Times New Roman"/>
      <w:b w:val="0"/>
      <w:color w:val="111111"/>
      <w:sz w:val="20"/>
      <w:lang w:val="mk-MK" w:eastAsia="mk-MK"/>
    </w:rPr>
  </w:style>
  <w:style w:type="paragraph" w:customStyle="1" w:styleId="ARIESIndexHeading">
    <w:name w:val="ARIES Index Heading"/>
    <w:basedOn w:val="Normal"/>
    <w:pPr>
      <w:spacing w:line="276" w:lineRule="auto" w:after="120"/>
      <w:jc w:val="left"/>
    </w:pPr>
    <w:rPr>
      <w:rFonts w:ascii="Times New Roman" w:hAnsi="Times New Roman"/>
      <w:b/>
      <w:color w:val="17324D"/>
      <w:sz w:val="32"/>
      <w:lang w:val="mk-MK" w:eastAsia="mk-MK"/>
    </w:rPr>
  </w:style>
  <w:style w:type="paragraph" w:customStyle="1" w:styleId="TOC1">
    <w:name w:val="TOC 1"/>
    <w:basedOn w:val="Normal"/>
    <w:pPr>
      <w:spacing w:line="276" w:lineRule="auto" w:after="120"/>
      <w:jc w:val="left"/>
    </w:pPr>
    <w:rPr>
      <w:rFonts w:ascii="Times New Roman" w:hAnsi="Times New Roman"/>
      <w:b w:val="0"/>
      <w:color w:val="111111"/>
      <w:sz w:val="22"/>
      <w:lang w:val="mk-MK" w:eastAsia="mk-MK"/>
    </w:rPr>
  </w:style>
  <w:style w:type="paragraph" w:customStyle="1" w:styleId="TOC2">
    <w:name w:val="TOC 2"/>
    <w:basedOn w:val="Normal"/>
    <w:pPr>
      <w:spacing w:line="276" w:lineRule="auto" w:after="120"/>
      <w:ind w:left="312"/>
      <w:jc w:val="left"/>
    </w:pPr>
    <w:rPr>
      <w:rFonts w:ascii="Times New Roman" w:hAnsi="Times New Roman"/>
      <w:b w:val="0"/>
      <w:color w:val="111111"/>
      <w:sz w:val="21"/>
      <w:lang w:val="mk-MK" w:eastAsia="mk-MK"/>
    </w:rPr>
  </w:style>
  <w:style w:type="paragraph" w:customStyle="1" w:styleId="ARIESFigureIndex">
    <w:name w:val="ARIES Figure Index"/>
    <w:basedOn w:val="Normal"/>
    <w:pPr>
      <w:spacing w:line="276" w:lineRule="auto" w:after="120"/>
      <w:jc w:val="left"/>
    </w:pPr>
    <w:rPr>
      <w:rFonts w:ascii="Times New Roman" w:hAnsi="Times New Roman"/>
      <w:b w:val="0"/>
      <w:color w:val="111111"/>
      <w:sz w:val="20"/>
      <w:lang w:val="mk-MK" w:eastAsia="mk-MK"/>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hyperlink" Target="https://arxiv.org/abs/2606.09863v1" TargetMode="External"/><Relationship Id="rId37" Type="http://schemas.openxmlformats.org/officeDocument/2006/relationships/hyperlink" Target="https://arxiv.org/abs/2608.19303v1" TargetMode="External"/><Relationship Id="rId38" Type="http://schemas.openxmlformats.org/officeDocument/2006/relationships/hyperlink" Target="https://arxiv.org/abs/2607.07405v2" TargetMode="External"/><Relationship Id="rId39" Type="http://schemas.openxmlformats.org/officeDocument/2006/relationships/hyperlink" Target="https://arxiv.org/abs/2609.31937v1" TargetMode="External"/><Relationship Id="rId40" Type="http://schemas.openxmlformats.org/officeDocument/2006/relationships/hyperlink" Target="https://arxiv.org/abs/2212.04356v1" TargetMode="External"/><Relationship Id="rId41" Type="http://schemas.openxmlformats.org/officeDocument/2006/relationships/hyperlink" Target="https://github.com/snakers4/silero-vad" TargetMode="External"/><Relationship Id="rId42" Type="http://schemas.openxmlformats.org/officeDocument/2006/relationships/hyperlink" Target="https://arxiv.org/abs/2402.05672v1" TargetMode="External"/><Relationship Id="rId43" Type="http://schemas.openxmlformats.org/officeDocument/2006/relationships/hyperlink" Target="https://arxiv.org/abs/2412.15115v1" TargetMode="External"/><Relationship Id="rId44" Type="http://schemas.openxmlformats.org/officeDocument/2006/relationships/image" Target="media/image27.png"/><Relationship Id="rId4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ARIES: Дизајн и евалуација на интелигентен агентски систем за Linux базиран на големи јазични модели</dc:title>
  <dc:subject>ARIES — уредлив работен нацрт</dc:subject>
  <dc:creator>Мартин Стаменов</dc:creator>
  <cp:keywords/>
  <dc:description>generated by python-docx</dc:description>
  <cp:lastModifiedBy/>
  <cp:revision>1</cp:revision>
  <dcterms:created xsi:type="dcterms:W3CDTF">2013-12-23T23:15:00Z</dcterms:created>
  <dcterms:modified xsi:type="dcterms:W3CDTF">2013-12-23T23:15:00Z</dcterms:modified>
  <cp:category/>
  <dc:language>mk-MK</dc:language>
</cp:coreProperties>
</file>