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  <w:jc w:val="center"/>
      </w:pPr>
      <w:r>
        <w:rPr>
          <w:rFonts w:ascii="Cambria" w:hAnsi="Cambria"/>
          <w:b/>
          <w:color w:val="2F6BAB"/>
          <w:sz w:val="68"/>
        </w:rPr>
        <w:t>Ψ  PsyLearn</w:t>
      </w:r>
    </w:p>
    <w:p>
      <w:pPr>
        <w:spacing w:after="360"/>
        <w:jc w:val="center"/>
      </w:pPr>
      <w:r>
        <w:rPr>
          <w:rFonts w:ascii="Calibri" w:hAnsi="Calibri"/>
          <w:color w:val="2C7D6E"/>
          <w:sz w:val="26"/>
        </w:rPr>
        <w:t>платформа за добросостојба на младите</w:t>
      </w:r>
    </w:p>
    <w:p>
      <w:pPr>
        <w:spacing w:after="440"/>
        <w:jc w:val="center"/>
      </w:pPr>
      <w:r>
        <w:rPr>
          <w:color w:val="606B7A"/>
          <w:sz w:val="24"/>
        </w:rPr>
        <w:t>— · —</w:t>
      </w:r>
    </w:p>
    <w:p>
      <w:pPr>
        <w:spacing w:after="800"/>
        <w:jc w:val="center"/>
      </w:pPr>
      <w:r>
        <w:rPr>
          <w:rFonts w:ascii="Cambria" w:hAnsi="Cambria"/>
          <w:b/>
          <w:color w:val="1F2A37"/>
          <w:sz w:val="40"/>
        </w:rPr>
        <w:t>Проектна документација</w:t>
      </w:r>
    </w:p>
    <w:p>
      <w:pPr>
        <w:spacing w:after="80"/>
        <w:jc w:val="center"/>
      </w:pPr>
      <w:r>
        <w:rPr>
          <w:rFonts w:ascii="Calibri" w:hAnsi="Calibri"/>
          <w:color w:val="606B7A"/>
          <w:sz w:val="21"/>
        </w:rPr>
        <w:t xml:space="preserve">Изработиле:  </w:t>
      </w:r>
      <w:r>
        <w:rPr>
          <w:rFonts w:ascii="Calibri" w:hAnsi="Calibri"/>
          <w:b/>
          <w:color w:val="214E7E"/>
          <w:sz w:val="26"/>
        </w:rPr>
        <w:t>Мартин Стаменов и Теодора Санева</w:t>
      </w:r>
    </w:p>
    <w:p>
      <w:pPr>
        <w:spacing w:after="120"/>
      </w:pPr>
    </w:p>
    <w:p>
      <w:pPr>
        <w:spacing w:after="80"/>
        <w:jc w:val="center"/>
      </w:pPr>
      <w:r>
        <w:rPr>
          <w:rFonts w:ascii="Calibri" w:hAnsi="Calibri"/>
          <w:color w:val="606B7A"/>
          <w:sz w:val="21"/>
        </w:rPr>
        <w:t xml:space="preserve">Предмет:  </w:t>
      </w:r>
      <w:r>
        <w:rPr>
          <w:rFonts w:ascii="Calibri" w:hAnsi="Calibri"/>
          <w:b w:val="0"/>
          <w:color w:val="1F2A37"/>
          <w:sz w:val="22"/>
        </w:rPr>
        <w:t>Психологија на наставата и учењето (ПНУВ)</w:t>
      </w:r>
    </w:p>
    <w:p>
      <w:pPr>
        <w:spacing w:after="80"/>
        <w:jc w:val="center"/>
      </w:pPr>
      <w:r>
        <w:rPr>
          <w:rFonts w:ascii="Calibri" w:hAnsi="Calibri"/>
          <w:color w:val="606B7A"/>
          <w:sz w:val="21"/>
        </w:rPr>
        <w:t xml:space="preserve">Тема:  </w:t>
      </w:r>
      <w:r>
        <w:rPr>
          <w:rFonts w:ascii="Calibri" w:hAnsi="Calibri"/>
          <w:b w:val="0"/>
          <w:color w:val="1F2A37"/>
          <w:sz w:val="22"/>
        </w:rPr>
        <w:t>Дигитално решение инспирирано од студијата HBSC на СЗО</w:t>
      </w:r>
    </w:p>
    <w:p>
      <w:pPr>
        <w:spacing w:after="80"/>
        <w:jc w:val="center"/>
      </w:pPr>
      <w:r>
        <w:rPr>
          <w:rFonts w:ascii="Calibri" w:hAnsi="Calibri"/>
          <w:color w:val="606B7A"/>
          <w:sz w:val="21"/>
        </w:rPr>
        <w:t xml:space="preserve">Скопје,  </w:t>
      </w:r>
      <w:r>
        <w:rPr>
          <w:rFonts w:ascii="Calibri" w:hAnsi="Calibri"/>
          <w:b w:val="0"/>
          <w:color w:val="1F2A37"/>
          <w:sz w:val="22"/>
        </w:rPr>
        <w:t>2026</w:t>
      </w:r>
    </w:p>
    <w:p>
      <w:r>
        <w:br w:type="page"/>
      </w:r>
    </w:p>
    <w:p>
      <w:pPr>
        <w:pStyle w:val="Heading1"/>
      </w:pPr>
      <w:r>
        <w:t>Содржина</w:t>
      </w:r>
    </w:p>
    <w:p>
      <w:pPr>
        <w:spacing w:after="120"/>
      </w:pPr>
      <w:r>
        <w:fldChar w:fldCharType="begin"/>
        <w:instrText xml:space="preserve">TOC \o "1-2" \h \z \u</w:instrText>
        <w:fldChar w:fldCharType="separate"/>
        <w:t>За содржината: отвори во Word и притисни Ctrl+A, потоа F9 (Ажурирај поле).</w:t>
        <w:fldChar w:fldCharType="end"/>
      </w:r>
    </w:p>
    <w:p>
      <w:r>
        <w:br w:type="page"/>
      </w:r>
    </w:p>
    <w:p>
      <w:pPr>
        <w:pStyle w:val="Heading1"/>
      </w:pPr>
      <w:r>
        <w:t>1. Вовед и мотивација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Менталното здравје и добросостојбата на учениците сè почесто се тема за која се зборува, но ретко им се дава алатка во рацете на самите млади за да разберат како функционираат тие самите — како учат, како се справуваат со стрес и колку се поврзани со другите. Поаѓајќи од барањата на предметот, нашата задача беше да создадеме дигитално решение што адресира конкретен проблем поврзан со добросостојбата на младите и кое промовира здрави навики, потпирајќи се на реални податоци, а не на измислени бројки.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Наместо уште една анкета која само собира одговори, ние изградивме целосна платформа наречена PsyLearn. Таа го води ученикот низ кратка само-проценка, му враќа разбирлив профил на учење, и потоа го опкружува со содржини што го прават системот корисен и по проценката: библиотека со техники, дневник на расположение, дневни предизвици, игри за перцепција и внимание, и простор за релаксација.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Целата платформа е двојазична — секоја страница, секое прашање и секој резултат постојат и на македонски и на англиски јазик, со едно копче за префрлување.</w:t>
      </w:r>
    </w:p>
    <w:p>
      <w:pPr>
        <w:pStyle w:val="Heading1"/>
      </w:pPr>
      <w:r>
        <w:t>2. Проблемот: што ни кажуваат податоците на HBSC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Појдовна точка на проектот е меѓународната студија на Светската здравствена организација HBSC (Health Behaviour in School-aged Children) — една од најголемите студии во светот за здравјето и однесувањето на младите на возраст 11, 13 и 15 години. Циклусот 2021/2022 опфаќа околу 280.000 адолесценти од 44 земји.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Бројките се загрижувачки и токму тие го дефинираат проблемот што го решаваме: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AD5E2"/>
          <w:left w:val="single" w:sz="6" w:space="0" w:color="CAD5E2"/>
          <w:bottom w:val="single" w:sz="6" w:space="0" w:color="CAD5E2"/>
          <w:right w:val="single" w:sz="6" w:space="0" w:color="CAD5E2"/>
          <w:insideH w:val="single" w:sz="6" w:space="0" w:color="CAD5E2"/>
          <w:insideV w:val="single" w:sz="6" w:space="0" w:color="CAD5E2"/>
        </w:tblBorders>
      </w:tblPr>
      <w:tblGrid>
        <w:gridCol w:w="4649"/>
        <w:gridCol w:w="4649"/>
      </w:tblGrid>
      <w:tr>
        <w:tc>
          <w:tcPr>
            <w:tcW w:type="dxa" w:w="7030"/>
            <w:shd w:val="clear" w:color="auto" w:fill="2F6BA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2268"/>
            <w:shd w:val="clear" w:color="auto" w:fill="2F6BA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Вредност</w:t>
            </w:r>
          </w:p>
        </w:tc>
      </w:tr>
      <w:tr>
        <w:tc>
          <w:tcPr>
            <w:tcW w:type="dxa" w:w="703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Се чувствуваат нервозни или раздразливи неделно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33%</w:t>
            </w:r>
          </w:p>
        </w:tc>
      </w:tr>
      <w:tr>
        <w:tc>
          <w:tcPr>
            <w:tcW w:type="dxa" w:w="703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Имаат потешкотии со спиење неделно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29%</w:t>
            </w:r>
          </w:p>
        </w:tc>
      </w:tr>
      <w:tr>
        <w:tc>
          <w:tcPr>
            <w:tcW w:type="dxa" w:w="703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Се чувствуваат потиштено неделно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25%</w:t>
            </w:r>
          </w:p>
        </w:tc>
      </w:tr>
      <w:tr>
        <w:tc>
          <w:tcPr>
            <w:tcW w:type="dxa" w:w="703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Биле сајбер-малтретирани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16%</w:t>
            </w:r>
          </w:p>
        </w:tc>
      </w:tr>
      <w:tr>
        <w:tc>
          <w:tcPr>
            <w:tcW w:type="dxa" w:w="703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Имаат проблематична употреба на социјални мрежи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11%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Покрај тоа, постојат изразени родови разлики — на пример, осаменоста кај девојчињата е значително повисока отколку кај момчињата, додека редовната физичка активност е почеста кај момчињата.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Овие податоци не се измислени за потребите на проектот — тие се вистински наоди од објавените извештаи на HBSC и нивниот отворен прегледувач на податоци. Во платформата се прикажани директно, со цитат на изворот, на страницата „HBSC податоци“.</w:t>
      </w:r>
    </w:p>
    <w:p>
      <w:pPr>
        <w:pStyle w:val="Heading1"/>
      </w:pPr>
      <w:r>
        <w:t>3. Нашето решение — идеја и цели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PsyLearn е веб-платформа за добросостојба на учениците. Логиката е едноставна и поврзана: од податок → до проценка → до акција.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Проблем (податок). </w:t>
      </w:r>
      <w:r>
        <w:rPr>
          <w:rFonts w:ascii="Calibri" w:hAnsi="Calibri"/>
        </w:rPr>
        <w:t>Тргнуваме од реалните бројки на HBSC за стрес, сон, малтретирање и осаменост кај младите.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Проценка (увид). </w:t>
      </w:r>
      <w:r>
        <w:rPr>
          <w:rFonts w:ascii="Calibri" w:hAnsi="Calibri"/>
        </w:rPr>
        <w:t>Ученикот пополнува краток интерактивен прашалник. Лесен модел на машинско учење ги претвора одговорите во разбирлив профил со шест димензии.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Акција (навики). </w:t>
      </w:r>
      <w:r>
        <w:rPr>
          <w:rFonts w:ascii="Calibri" w:hAnsi="Calibri"/>
        </w:rPr>
        <w:t>Според профилот, платформата предлага конкретни техники, личен план за учење, дневник на расположение, дневни предизвици и вежби.</w:t>
      </w:r>
    </w:p>
    <w:p>
      <w:pPr>
        <w:spacing w:after="60"/>
      </w:pPr>
      <w:r>
        <w:rPr>
          <w:rFonts w:ascii="Calibri" w:hAnsi="Calibri"/>
          <w:b/>
          <w:i w:val="0"/>
          <w:color w:val="1F2A37"/>
          <w:sz w:val="22"/>
        </w:rPr>
        <w:t>Главни цели на проектот:</w:t>
      </w:r>
    </w:p>
    <w:p>
      <w:pPr>
        <w:pStyle w:val="ListBullet"/>
        <w:spacing w:after="60"/>
      </w:pPr>
      <w:r>
        <w:rPr>
          <w:rFonts w:ascii="Calibri" w:hAnsi="Calibri"/>
        </w:rPr>
        <w:t>Да адресира конкретен проблем од добросостојбата на младите (по примерот на HBSC).</w:t>
      </w:r>
    </w:p>
    <w:p>
      <w:pPr>
        <w:pStyle w:val="ListBullet"/>
        <w:spacing w:after="60"/>
      </w:pPr>
      <w:r>
        <w:rPr>
          <w:rFonts w:ascii="Calibri" w:hAnsi="Calibri"/>
        </w:rPr>
        <w:t>Да промовира здрави навики (сон, движење, справување со стрес, поврзаност).</w:t>
      </w:r>
    </w:p>
    <w:p>
      <w:pPr>
        <w:pStyle w:val="ListBullet"/>
        <w:spacing w:after="60"/>
      </w:pPr>
      <w:r>
        <w:rPr>
          <w:rFonts w:ascii="Calibri" w:hAnsi="Calibri"/>
        </w:rPr>
        <w:t>Да користи реални податоци на повеќе нивоа.</w:t>
      </w:r>
    </w:p>
    <w:p>
      <w:pPr>
        <w:pStyle w:val="ListBullet"/>
        <w:spacing w:after="60"/>
      </w:pPr>
      <w:r>
        <w:rPr>
          <w:rFonts w:ascii="Calibri" w:hAnsi="Calibri"/>
        </w:rPr>
        <w:t>Да биде визуелно дотерана и професионална — чист, бел дизајн што „дава знак на поддршка“.</w:t>
      </w:r>
    </w:p>
    <w:p>
      <w:pPr>
        <w:pStyle w:val="ListBullet"/>
        <w:spacing w:after="60"/>
      </w:pPr>
      <w:r>
        <w:rPr>
          <w:rFonts w:ascii="Calibri" w:hAnsi="Calibri"/>
        </w:rPr>
        <w:t>Да биде интерактивна — игри, психолошки тестови и вежби, а не само анкета.</w:t>
      </w:r>
    </w:p>
    <w:p>
      <w:pPr>
        <w:pStyle w:val="ListBullet"/>
        <w:spacing w:after="60"/>
      </w:pPr>
      <w:r>
        <w:rPr>
          <w:rFonts w:ascii="Calibri" w:hAnsi="Calibri"/>
        </w:rPr>
        <w:t>Да биде целосно двојазична (македонски / англиски).</w:t>
      </w:r>
    </w:p>
    <w:p>
      <w:pPr>
        <w:pStyle w:val="Heading1"/>
      </w:pPr>
      <w:r>
        <w:t>4. Архитектура и технологии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Платформата е изградена како класична веб-апликација со одвоен фронтенд и бекенд, што комуницираат преку REST API.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AD5E2"/>
          <w:left w:val="single" w:sz="6" w:space="0" w:color="CAD5E2"/>
          <w:bottom w:val="single" w:sz="6" w:space="0" w:color="CAD5E2"/>
          <w:right w:val="single" w:sz="6" w:space="0" w:color="CAD5E2"/>
          <w:insideH w:val="single" w:sz="6" w:space="0" w:color="CAD5E2"/>
          <w:insideV w:val="single" w:sz="6" w:space="0" w:color="CAD5E2"/>
        </w:tblBorders>
      </w:tblPr>
      <w:tblGrid>
        <w:gridCol w:w="3099"/>
        <w:gridCol w:w="3099"/>
        <w:gridCol w:w="3099"/>
      </w:tblGrid>
      <w:tr>
        <w:tc>
          <w:tcPr>
            <w:tcW w:type="dxa" w:w="1928"/>
            <w:shd w:val="clear" w:color="auto" w:fill="2F6BA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Слој</w:t>
            </w:r>
          </w:p>
        </w:tc>
        <w:tc>
          <w:tcPr>
            <w:tcW w:type="dxa" w:w="3628"/>
            <w:shd w:val="clear" w:color="auto" w:fill="2F6BA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Технологија</w:t>
            </w:r>
          </w:p>
        </w:tc>
        <w:tc>
          <w:tcPr>
            <w:tcW w:type="dxa" w:w="3742"/>
            <w:shd w:val="clear" w:color="auto" w:fill="2F6BA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Улога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Фронтенд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React 18 + Vite, React Router, Recharts</w:t>
            </w:r>
          </w:p>
        </w:tc>
        <w:tc>
          <w:tcPr>
            <w:tcW w:type="dxa" w:w="374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Кориснички интерфејс, навигација, графикони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Бекенд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FastAPI (Python)</w:t>
            </w:r>
          </w:p>
        </w:tc>
        <w:tc>
          <w:tcPr>
            <w:tcW w:type="dxa" w:w="374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REST API, бодување на одговорите, предвидувања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Машинско учење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scikit-learn (RandomForest)</w:t>
            </w:r>
          </w:p>
        </w:tc>
        <w:tc>
          <w:tcPr>
            <w:tcW w:type="dxa" w:w="374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Шест модели, по еден за секоја целна димензија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База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SQLite</w:t>
            </w:r>
          </w:p>
        </w:tc>
        <w:tc>
          <w:tcPr>
            <w:tcW w:type="dxa" w:w="374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Анонимни резултати за аналитиката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Складирање модел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joblib</w:t>
            </w:r>
          </w:p>
        </w:tc>
        <w:tc>
          <w:tcPr>
            <w:tcW w:type="dxa" w:w="374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Сериализиран модел (model.joblib)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Распоредување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Docker / Render</w:t>
            </w:r>
          </w:p>
        </w:tc>
        <w:tc>
          <w:tcPr>
            <w:tcW w:type="dxa" w:w="3742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Контејнери и blueprint за деплој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Дизајнот намерно е лесен: нема GPU, нема трансформер-модели, нема платени сервиси. Системот без проблеми се стартува на обичен компјутер.</w:t>
      </w:r>
    </w:p>
    <w:p>
      <w:pPr>
        <w:spacing w:after="140"/>
      </w:pPr>
      <w:r>
        <w:rPr>
          <w:rFonts w:ascii="Calibri" w:hAnsi="Calibri"/>
          <w:b/>
          <w:color w:val="1F2A37"/>
          <w:sz w:val="22"/>
        </w:rPr>
        <w:t xml:space="preserve">Клучна архитектонска одлука: </w:t>
      </w:r>
      <w:r>
        <w:rPr>
          <w:rFonts w:ascii="Calibri" w:hAnsi="Calibri"/>
          <w:b w:val="0"/>
          <w:color w:val="1F2A37"/>
          <w:sz w:val="22"/>
        </w:rPr>
        <w:t>датотеката scoring.py е единствен извор на вистина за прашањата и под-скоровите. И тренирањето на моделот и живото API ја увезуваат истата функција compute_scores(), така што карактеристиките при тренирање и при предвидување се гарантирано идентични.</w:t>
      </w:r>
    </w:p>
    <w:p>
      <w:pPr>
        <w:pStyle w:val="Heading1"/>
      </w:pPr>
      <w:r>
        <w:t>5. Преглед на платформата (екран по екран)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Во продолжение е прикажана секоја страница од платформата со вистинска слика од екранот, заедно со опис на функционалноста.</w:t>
      </w:r>
    </w:p>
    <w:p>
      <w:pPr>
        <w:pStyle w:val="Heading2"/>
      </w:pPr>
      <w:r>
        <w:t>5.1 Почетна страница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Почетната страница ја поставува целата приказна: насловот „Учи добро, чувствувај се добро“, краток опис на платформата и две главни дејства — започнување на проценката и истражување на HBSC податоците. Под херојот се ротира лента „Дали знаеше?“ со реални факти од науката за учење, а понатаму се прикажани петте димензии што ги истражува профилот, тек од три чекори и картички што водат до сите останати делови на платформата.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51272" cy="71999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272" cy="7199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1: Почетна страница на платформата.</w:t>
      </w:r>
    </w:p>
    <w:p>
      <w:pPr>
        <w:pStyle w:val="Heading2"/>
      </w:pPr>
      <w:r>
        <w:t>5.2 HBSC податоци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Ова е истражувачкото срце на проектот. Страницата ги прикажува реалните бројки од HBSC 2021/2022 — големината на студијата (280.000 адолесценти, 44 земји, возрасти 11/13/15), петте клучни наоди и графикон за родовите разлики. Под делот „Од податок до акција“, секој наод е поврзан со конкретна функција од платформата — на пример, потешкотиите со спиење водат кон техниките за смирување и Flow просторот. На дното јасно стои дека сите бројки се реални и објавени, со наведен извор.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14117" cy="71999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bs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117" cy="7199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2: Страницата со реални HBSC податоци.</w:t>
      </w:r>
    </w:p>
    <w:p>
      <w:pPr>
        <w:pStyle w:val="Heading2"/>
      </w:pPr>
      <w:r>
        <w:t>5.3 Прашалник (Check-in)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Проценката е дизајнирана како интерактивен квиз — едно прашање во даден момент, а не како долга, досадна анкета. Има вкупно 40 прашања: 30 ставки со Ликертова скала (1–5) и 10 сценарија со избор. Секое прашање има своја илустрација, обоени копчиња за одговор и автоматско поминување кон следното прашање. Долу има навигатор со 40 точки, поддршка за тастатура (тастери 1–5), и можност за продолжување подоцна бидејќи напредокот автоматски се зачувува локално.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03999" cy="62975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rve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999" cy="629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3: Интерактивен прашалник — едно прашање во даден момент.</w:t>
      </w:r>
    </w:p>
    <w:p>
      <w:pPr>
        <w:pStyle w:val="Heading2"/>
      </w:pPr>
      <w:r>
        <w:t>5.4 Резултати — твојот профил на учење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По завршување на прашалникот, корисникот добива извештај, а не само број. На врвот стои профилот со шесте предвидени димензии. Веднаш под него е делот „Како се споредуваш со светот“ — твоите резултати се споредени со реален збир од податоци (Big Five, ~19.719 испитаници), со пресметан перцентил. Следат: профил во кратки црти, препорачана меморска техника со мерачи на соодветност, персонализирани препораки, и личен план за учење. Извештајот може да се извезе како PDF, а локално се чува историја на претходните обиди.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2000" cy="72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000" cy="7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4: Извештај со профилот на учење и споредба со светските норми.</w:t>
      </w:r>
    </w:p>
    <w:p>
      <w:pPr>
        <w:pStyle w:val="Heading2"/>
      </w:pPr>
      <w:r>
        <w:t>5.5 Добросостојба (Wellness)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Делот Добросостојба ги претвора резултатите во секојдневна навика. Содржи дневник на расположение (оценка 1–5 со ознаки и белешка, плус графикон на расположението низ времето) и три дневни предизвици за добросостојба што се ротираат секој ден. Двете градат „низа“ (streak) што се прикажува во навигацијата, со што се поттикнува редовност.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03999" cy="57656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llnes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999" cy="5765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5: Дел Добросостојба — дневник на расположение и дневни предизвици.</w:t>
      </w:r>
    </w:p>
    <w:p>
      <w:pPr>
        <w:pStyle w:val="Heading2"/>
      </w:pPr>
      <w:r>
        <w:t>5.6 Библиотека „Учи“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Библиотеката е база на знаење со 18 објаснувања на концепти зад платформата и 24 техники за учење и справување со стрес. Содржините се напишани на едноставен, разбирлив јазик, со „концепт на денот“ и сопствена низа за учење. Овде ученикот може да продлабочи зошто, на пример, активното присетување или распоредот на учењето функционираат.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66285" cy="7199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r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285" cy="719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6: Библиотека „Учи“ — концепти и техники.</w:t>
      </w:r>
    </w:p>
    <w:p>
      <w:pPr>
        <w:pStyle w:val="Heading2"/>
      </w:pPr>
      <w:r>
        <w:t>5.7 Игри (Play)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Покрај проценката, платформата нуди вистински психолошки игри и тестови, групирани во хабот Play. Тука се: игра со сценарија „Што би направил?“, тест на перцепција со оптички илузии, Stroop тест и игра за време на реакција. Игрите се замислени да бидат вистински предизвик и да илустрираат психолошки феномени, а не да бидат тривијални.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03999" cy="48215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999" cy="4821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7: Хаб со игри и психолошки тестови.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Сценарио-игра „Што би направил?“ — ситуации од секојдневието на младите со избор на реакција, инспирирани од темите на HBSC.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03999" cy="617236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m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999" cy="61723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8: Сценарио-игра „Што би направил?“.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Stroop тест — класичен психолошки експеримент: името на бојата е напишано со друга боја, а задачата е да се именува бојата на мастилото, не зборот. Покажува како автоматските процеси (читањето) се мешаат во контролираните.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03999" cy="483054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oo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999" cy="4830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9: Stroop тест.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Перцепција — оптички илузии (Müller-Lyer, Ebbinghaus, Necker коцка, Kanizsa триаголник), со „откривање“ на вистината зад илузијата. Ова е делот со прашања од типот „зајак или патка“ што го бараше задачата — реални перцептивни феномени, професионално прикажани.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03999" cy="691874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cept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999" cy="6918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10: Тест на перцепција со оптички илузии.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Време на реакција — мери колку брзо корисникот реагира на сигнал, со повеќе обиди и просек.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03999" cy="456218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ctio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999" cy="4562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11: Игра за време на реакција.</w:t>
      </w:r>
    </w:p>
    <w:p>
      <w:pPr>
        <w:pStyle w:val="Heading2"/>
      </w:pPr>
      <w:r>
        <w:t>5.8 Тренер за меморија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Тренерот за меморија е интерактивна вежба каде ученикот ги практикува препорачаните меморски техники: проучува листа поими, потоа се обидува да ги присети, и добива резултат. Најдобриот резултат се чува локално, а вежбата гради своја низа.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03999" cy="5903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ine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999" cy="59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12: Тренер за меморија.</w:t>
      </w:r>
    </w:p>
    <w:p>
      <w:pPr>
        <w:pStyle w:val="Heading2"/>
      </w:pPr>
      <w:r>
        <w:t>5.9 Flow — простор за релаксација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Flow е смирен простор за цртање, наречен по психолошкиот концепт за „состојба на флоу“. Тоа е дел за релаксација и растоварување — корисникот слободно црта на платно, без цел и без оценка. Делот е инспириран од содржините на часовите за поврзаноста меѓу опуштањето и менталната добросостојба.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03999" cy="452024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999" cy="452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13: Flow — простор за релаксација.</w:t>
      </w:r>
    </w:p>
    <w:p>
      <w:pPr>
        <w:pStyle w:val="Heading2"/>
      </w:pPr>
      <w:r>
        <w:t>5.10 Аналитика на заедницата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Оваа страница ги прикажува анонимните, збирни обрасци од сите што го решиле прашалникот: распределби на типови мотивација, стилови на учење, ниво на стрес, ориентација во учењето, профили на личност и препорачани меморски техники — прикажани со графикони. Има и панел за транспарентност што објаснува како се создаваат податоците. Ниту еден поединечен одговор не може да се препознае.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81621" cy="719999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alytic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621" cy="719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14: Аналитика на заедницата.</w:t>
      </w:r>
    </w:p>
    <w:p>
      <w:pPr>
        <w:pStyle w:val="Heading2"/>
      </w:pPr>
      <w:r>
        <w:t>5.11 Анализа на моделот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За оние што сакаат да „погледнат под хаубата“, страницата Анализа на моделот ги прикажува точноста на моделот, важноста на карактеристиките (кои под-скорови најмногу влијаат врз секое предвидување), матриците на конфузија и корелациската мапа меѓу 16-те под-скорови. Сето тоа е извлечено од вистински тренираниот модел, што го прави системот проѕирен и проверлив.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06956" cy="719999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956" cy="719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15: Анализа на моделот.</w:t>
      </w:r>
    </w:p>
    <w:p>
      <w:pPr>
        <w:pStyle w:val="Heading2"/>
      </w:pPr>
      <w:r>
        <w:t>5.12 За проектот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Страницата За проектот ја објаснува идејата (проблем → решение → влијание), психолошката основа, изворите на податоци и целата ML цевка, заедно со јасно истакнато ограничување дека станува збор за едукативен прототип, а не клиничка алатка.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95609" cy="719999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ou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609" cy="719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16: Страницата За проектот.</w:t>
      </w:r>
    </w:p>
    <w:p>
      <w:pPr>
        <w:pStyle w:val="Heading1"/>
      </w:pPr>
      <w:r>
        <w:t>6. Психолошка основа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Прашалникот и бодувањето се втемелени на концептите од предметот:</w:t>
      </w:r>
    </w:p>
    <w:p>
      <w:pPr>
        <w:pStyle w:val="ListBullet"/>
        <w:spacing w:after="60"/>
      </w:pPr>
      <w:r>
        <w:rPr>
          <w:rFonts w:ascii="Calibri" w:hAnsi="Calibri"/>
        </w:rPr>
        <w:t>Учење и мотивација — зошто учиме и што ни дава енергија.</w:t>
      </w:r>
    </w:p>
    <w:p>
      <w:pPr>
        <w:pStyle w:val="ListBullet"/>
        <w:spacing w:after="60"/>
      </w:pPr>
      <w:r>
        <w:rPr>
          <w:rFonts w:ascii="Calibri" w:hAnsi="Calibri"/>
        </w:rPr>
        <w:t>Внатрешна наспроти надворешна мотивација (и мотивација од притисок).</w:t>
      </w:r>
    </w:p>
    <w:p>
      <w:pPr>
        <w:pStyle w:val="ListBullet"/>
        <w:spacing w:after="60"/>
      </w:pPr>
      <w:r>
        <w:rPr>
          <w:rFonts w:ascii="Calibri" w:hAnsi="Calibri"/>
        </w:rPr>
        <w:t>Цели на учење наспроти цели на изведба (мајсторство наспроти споредување).</w:t>
      </w:r>
    </w:p>
    <w:p>
      <w:pPr>
        <w:pStyle w:val="ListBullet"/>
        <w:spacing w:after="60"/>
      </w:pPr>
      <w:r>
        <w:rPr>
          <w:rFonts w:ascii="Calibri" w:hAnsi="Calibri"/>
        </w:rPr>
        <w:t>Меморија и заборавање.</w:t>
      </w:r>
    </w:p>
    <w:p>
      <w:pPr>
        <w:pStyle w:val="ListBullet"/>
        <w:spacing w:after="60"/>
      </w:pPr>
      <w:r>
        <w:rPr>
          <w:rFonts w:ascii="Calibri" w:hAnsi="Calibri"/>
        </w:rPr>
        <w:t>Меморски техники — метод на локации, асоцијации, приказна, прва буква, повторување, предавање на друг.</w:t>
      </w:r>
    </w:p>
    <w:p>
      <w:pPr>
        <w:pStyle w:val="ListBullet"/>
        <w:spacing w:after="60"/>
      </w:pPr>
      <w:r>
        <w:rPr>
          <w:rFonts w:ascii="Calibri" w:hAnsi="Calibri"/>
        </w:rPr>
        <w:t>Емоции, фрустрација и стрес и нивното влијание врз концентрацијата.</w:t>
      </w:r>
    </w:p>
    <w:p>
      <w:pPr>
        <w:pStyle w:val="ListBullet"/>
        <w:spacing w:after="60"/>
      </w:pPr>
      <w:r>
        <w:rPr>
          <w:rFonts w:ascii="Calibri" w:hAnsi="Calibri"/>
        </w:rPr>
        <w:t>Личност — интроверзија / амбиверзија / екстраверзија и црти од Big Five.</w:t>
      </w:r>
    </w:p>
    <w:p>
      <w:pPr>
        <w:pStyle w:val="ListBullet"/>
        <w:spacing w:after="60"/>
      </w:pPr>
      <w:r>
        <w:rPr>
          <w:rFonts w:ascii="Calibri" w:hAnsi="Calibri"/>
        </w:rPr>
        <w:t>Перцепција на себе и на однесувањето при учење.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Сите 40 прашања се групирани во 6 секции (A — Мотивација, B — Цели на учење, C — Стил на учење, D — Меморија, E — Личност и емоции, F — Сценарија од реалниот живот). Одговорите се претвораат во 16 под-скорови (секој на скала 1–5), на пример: внатрешна мотивација, надворешна мотивација, длабоко учење, површно учење, визуелна меморија, стрес, интроверзија и слично.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Од под-скоровите моделот предвидува 6 профили: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AD5E2"/>
          <w:left w:val="single" w:sz="6" w:space="0" w:color="CAD5E2"/>
          <w:bottom w:val="single" w:sz="6" w:space="0" w:color="CAD5E2"/>
          <w:right w:val="single" w:sz="6" w:space="0" w:color="CAD5E2"/>
          <w:insideH w:val="single" w:sz="6" w:space="0" w:color="CAD5E2"/>
          <w:insideV w:val="single" w:sz="6" w:space="0" w:color="CAD5E2"/>
        </w:tblBorders>
      </w:tblPr>
      <w:tblGrid>
        <w:gridCol w:w="4649"/>
        <w:gridCol w:w="4649"/>
      </w:tblGrid>
      <w:tr>
        <w:tc>
          <w:tcPr>
            <w:tcW w:type="dxa" w:w="3175"/>
            <w:shd w:val="clear" w:color="auto" w:fill="2F6BA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Цел</w:t>
            </w:r>
          </w:p>
        </w:tc>
        <w:tc>
          <w:tcPr>
            <w:tcW w:type="dxa" w:w="6123"/>
            <w:shd w:val="clear" w:color="auto" w:fill="2F6BA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Можни класи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Тип на мотивација</w:t>
            </w:r>
          </w:p>
        </w:tc>
        <w:tc>
          <w:tcPr>
            <w:tcW w:type="dxa" w:w="612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внатрешна · надворешна · мешана · од притисок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Ориентација во учењето</w:t>
            </w:r>
          </w:p>
        </w:tc>
        <w:tc>
          <w:tcPr>
            <w:tcW w:type="dxa" w:w="612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кон учење · кон изведба · кон избегнување · мешана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Стил на учење</w:t>
            </w:r>
          </w:p>
        </w:tc>
        <w:tc>
          <w:tcPr>
            <w:tcW w:type="dxa" w:w="612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длабок · површен · во последен момент · мешан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Препорачана меморска техника</w:t>
            </w:r>
          </w:p>
        </w:tc>
        <w:tc>
          <w:tcPr>
            <w:tcW w:type="dxa" w:w="612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локации · асоцијации · приказна · прва буква · повторување · предавање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Профил на личност</w:t>
            </w:r>
          </w:p>
        </w:tc>
        <w:tc>
          <w:tcPr>
            <w:tcW w:type="dxa" w:w="612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интроверт · амбиверт · екстроверт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>Ризик од стрес</w:t>
            </w:r>
          </w:p>
        </w:tc>
        <w:tc>
          <w:tcPr>
            <w:tcW w:type="dxa" w:w="612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4F7FB"/>
          </w:tcPr>
          <w:p>
            <w:pPr>
              <w:spacing w:after="0"/>
            </w:pPr>
            <w:r>
              <w:rPr>
                <w:rFonts w:ascii="Calibri" w:hAnsi="Calibri"/>
                <w:color w:val="1F2A37"/>
                <w:sz w:val="21"/>
              </w:rPr>
              <w:t>низок · умерен · висок</w:t>
            </w:r>
          </w:p>
        </w:tc>
      </w:tr>
    </w:tbl>
    <w:p>
      <w:pPr>
        <w:spacing w:after="40"/>
      </w:pPr>
    </w:p>
    <w:p>
      <w:pPr>
        <w:pStyle w:val="Heading1"/>
      </w:pPr>
      <w:r>
        <w:t>7. Машинско учење — како работи моделот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По еден RandomForestClassifier за секоја од 6-те цели, </w:t>
      </w:r>
      <w:r>
        <w:rPr>
          <w:rFonts w:ascii="Calibri" w:hAnsi="Calibri"/>
        </w:rPr>
        <w:t>спакувани во еден model.joblib. Случајните шуми се брзи, не бараат GPU, добро работат на мал табеларен сет и лесно се претренираат.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Карактеристики: </w:t>
      </w:r>
      <w:r>
        <w:rPr>
          <w:rFonts w:ascii="Calibri" w:hAnsi="Calibri"/>
        </w:rPr>
        <w:t>16-те под-скорови, во фиксен редослед зачуван во features.json. И API и тренерот ја користат истата compute_scores(), па карактеристиките при предвидување се идентични со оние при тренирање.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Етикети: </w:t>
      </w:r>
      <w:r>
        <w:rPr>
          <w:rFonts w:ascii="Calibri" w:hAnsi="Calibri"/>
        </w:rPr>
        <w:t>се генерираат со проѕирни, читливи правила во labeling.py (на пример: ако внатрешната мотивација ја надминува надворешната за ≥ 0.5 → внатрешна). Моделот учи да ги репродуцира тие правила, па неговото однесување е проверливо.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Метрики: </w:t>
      </w:r>
      <w:r>
        <w:rPr>
          <w:rFonts w:ascii="Calibri" w:hAnsi="Calibri"/>
        </w:rPr>
        <w:t>train_model.py печати точност, прецизност, одзив и F1, и матрица на конфузија по цел, и ги зачувува во model_metadata.json.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4F7FB"/>
            <w:tcBorders>
              <w:top w:val="single" w:sz="4" w:space="0" w:color="2F6BAB"/>
              <w:bottom w:val="single" w:sz="4" w:space="0" w:color="2F6BAB"/>
              <w:right w:val="single" w:sz="4" w:space="0" w:color="2F6BAB"/>
              <w:left w:val="single" w:sz="24" w:space="0" w:color="2F6BAB"/>
            </w:tcBorders>
            <w:tcMar>
              <w:top w:w="140" w:type="dxa"/>
              <w:bottom w:w="14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 xml:space="preserve">Важно. </w:t>
            </w:r>
            <w:r>
              <w:rPr>
                <w:rFonts w:ascii="Calibri" w:hAnsi="Calibri"/>
                <w:color w:val="1F2A37"/>
                <w:sz w:val="21"/>
              </w:rPr>
              <w:t>Бидејќи податоците за тренирање се синтетички, а етикетите се правило-базирани, точноста е висока по дизајн (~0.93–1.00 по цел). Ова ја демонстрира ML цевката; тоа не е доказ за психолошка валидност во реалниот свет — намерно е така, бидејќи целта е едукативна.</w:t>
            </w:r>
          </w:p>
        </w:tc>
      </w:tr>
    </w:tbl>
    <w:p>
      <w:pPr>
        <w:spacing w:after="40"/>
      </w:pPr>
    </w:p>
    <w:p>
      <w:pPr>
        <w:pStyle w:val="Heading1"/>
      </w:pPr>
      <w:r>
        <w:t>8. Извори на податоци (реални податоци)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Барањето беше да се користат реални податоци, не измислени. Ги користиме на три нивоа: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HBSC 2021/2022 — </w:t>
      </w:r>
      <w:r>
        <w:rPr>
          <w:rFonts w:ascii="Calibri" w:hAnsi="Calibri"/>
        </w:rPr>
        <w:t>реалните објавени бројки за добросостојбата на младите (стрес, сон, малтретирање, родови разлики) се прикажани на страницата HBSC, со наведен извор (извештаите на hbsc.org и нивниот прегледувач на податоци).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Open-Source Psychometrics — Big Five — </w:t>
      </w:r>
      <w:r>
        <w:rPr>
          <w:rFonts w:ascii="Calibri" w:hAnsi="Calibri"/>
        </w:rPr>
        <w:t>за споредбата „како се споредуваш со светот“ на страницата со резултати. Скриптата build_world_norms.py го презема јавниот сет (~19.719 реални испитаници), ги пресметува нормите по црта и ги зачувува во world_norms.json. Перцентилот на корисникот се пресметува наспроти овие реални норми.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Синтетички податоци за тренирање — </w:t>
      </w:r>
      <w:r>
        <w:rPr>
          <w:rFonts w:ascii="Calibri" w:hAnsi="Calibri"/>
        </w:rPr>
        <w:t>train_model.py генерира 3.000 синтетички испитаници со проѕирни правила за етикетирање. Овој дел е јасно означен како синтетички во самата апликација; реалните податоци се користат таму каде што е важно (контекст и споредба), а моделот е едукативна демонстрација.</w:t>
      </w:r>
    </w:p>
    <w:p>
      <w:pPr>
        <w:pStyle w:val="Heading1"/>
      </w:pPr>
      <w:r>
        <w:t>9. Двојазичност (македонски / англиски)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Целата платформа е 100% двојазична. Со едно копче EN | MK во навигацијата се менува јазикот на секоја страница, прашање и резултат — вклучувајќи ги и текстовите што доаѓаат од бекендот (објаснувања и препораки).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Имплементацијата се потпира на сопствен систем за интернационализација (i18n.jsx) со функција t(en, mk) и речник со преводи (mkContent.js). Помошните функции за етикети се свесни за јазикот, па ознаките се преведуваат насекаде автоматски.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Подолу е истата почетна страница на македонски, а потоа прашалникот на македонски — за да се види дека преводот е целосен, а не делумен: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03999" cy="668812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-mk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999" cy="6688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17: Почетна страница на македонски јазик.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8" w:space="0" w:color="CAD5E2"/>
              <w:bottom w:val="single" w:sz="8" w:space="0" w:color="CAD5E2"/>
              <w:left w:val="single" w:sz="8" w:space="0" w:color="CAD5E2"/>
              <w:right w:val="single" w:sz="8" w:space="0" w:color="CAD5E2"/>
            </w:tcBorders>
            <w:tcMar>
              <w:top w:w="60" w:type="dxa"/>
              <w:bottom w:w="60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03999" cy="644072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rvey-mk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999" cy="64407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i/>
          <w:color w:val="606B7A"/>
          <w:sz w:val="18"/>
        </w:rPr>
        <w:t>Слика 18: Прашалник на македонски јазик.</w:t>
      </w:r>
    </w:p>
    <w:p>
      <w:pPr>
        <w:pStyle w:val="Heading1"/>
      </w:pPr>
      <w:r>
        <w:t>10. Како да се стартува проектот</w:t>
      </w:r>
    </w:p>
    <w:p>
      <w:pPr>
        <w:spacing w:after="60"/>
      </w:pPr>
      <w:r>
        <w:rPr>
          <w:rFonts w:ascii="Calibri" w:hAnsi="Calibri"/>
          <w:b/>
          <w:i w:val="0"/>
          <w:color w:val="1F2A37"/>
          <w:sz w:val="22"/>
        </w:rPr>
        <w:t>Бекенд: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4F7FB"/>
            <w:tcBorders>
              <w:top w:val="single" w:sz="6" w:space="0" w:color="CAD5E2"/>
              <w:bottom w:val="single" w:sz="6" w:space="0" w:color="CAD5E2"/>
              <w:left w:val="single" w:sz="6" w:space="0" w:color="CAD5E2"/>
              <w:right w:val="single" w:sz="6" w:space="0" w:color="CAD5E2"/>
            </w:tcBorders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43B53"/>
                <w:sz w:val="19"/>
              </w:rPr>
              <w:t>cd backend</w:t>
            </w:r>
            <w:r>
              <w:br/>
            </w:r>
            <w:r>
              <w:rPr>
                <w:rFonts w:ascii="Consolas" w:hAnsi="Consolas"/>
                <w:color w:val="243B53"/>
                <w:sz w:val="19"/>
              </w:rPr>
              <w:t>python -m venv venv</w:t>
            </w:r>
            <w:r>
              <w:br/>
            </w:r>
            <w:r>
              <w:rPr>
                <w:rFonts w:ascii="Consolas" w:hAnsi="Consolas"/>
                <w:color w:val="243B53"/>
                <w:sz w:val="19"/>
              </w:rPr>
              <w:t>venv\Scripts\activate          # Windows</w:t>
            </w:r>
            <w:r>
              <w:br/>
            </w:r>
            <w:r>
              <w:rPr>
                <w:rFonts w:ascii="Consolas" w:hAnsi="Consolas"/>
                <w:color w:val="243B53"/>
                <w:sz w:val="19"/>
              </w:rPr>
              <w:t># source venv/bin/activate       # macOS / Linux</w:t>
            </w:r>
            <w:r>
              <w:br/>
            </w:r>
            <w:r>
              <w:rPr>
                <w:rFonts w:ascii="Consolas" w:hAnsi="Consolas"/>
                <w:color w:val="243B53"/>
                <w:sz w:val="19"/>
              </w:rPr>
              <w:t>pip install -r requirements.txt</w:t>
            </w:r>
            <w:r>
              <w:br/>
            </w:r>
            <w:r>
              <w:rPr>
                <w:rFonts w:ascii="Consolas" w:hAnsi="Consolas"/>
                <w:color w:val="243B53"/>
                <w:sz w:val="19"/>
              </w:rPr>
              <w:t>python train_model.py            # создава model.joblib, metadata, features</w:t>
            </w:r>
            <w:r>
              <w:br/>
            </w:r>
            <w:r>
              <w:rPr>
                <w:rFonts w:ascii="Consolas" w:hAnsi="Consolas"/>
                <w:color w:val="243B53"/>
                <w:sz w:val="19"/>
              </w:rPr>
              <w:t>python seed_data.py              # (опционално) демо аналитика</w:t>
            </w:r>
            <w:r>
              <w:br/>
            </w:r>
            <w:r>
              <w:rPr>
                <w:rFonts w:ascii="Consolas" w:hAnsi="Consolas"/>
                <w:color w:val="243B53"/>
                <w:sz w:val="19"/>
              </w:rPr>
              <w:t>uvicorn app.main:app --reload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Calibri" w:hAnsi="Calibri"/>
          <w:b/>
          <w:color w:val="1F2A37"/>
          <w:sz w:val="22"/>
        </w:rPr>
        <w:t xml:space="preserve">API: </w:t>
      </w:r>
      <w:r>
        <w:rPr>
          <w:rFonts w:ascii="Calibri" w:hAnsi="Calibri"/>
          <w:b w:val="0"/>
          <w:color w:val="1F2A37"/>
          <w:sz w:val="22"/>
        </w:rPr>
        <w:t>http://localhost:8000   ·   Swagger: http://localhost:8000/docs</w:t>
      </w:r>
    </w:p>
    <w:p>
      <w:pPr>
        <w:spacing w:after="60"/>
      </w:pPr>
      <w:r>
        <w:rPr>
          <w:rFonts w:ascii="Calibri" w:hAnsi="Calibri"/>
          <w:b/>
          <w:i w:val="0"/>
          <w:color w:val="1F2A37"/>
          <w:sz w:val="22"/>
        </w:rPr>
        <w:t>Фронтенд: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4F7FB"/>
            <w:tcBorders>
              <w:top w:val="single" w:sz="6" w:space="0" w:color="CAD5E2"/>
              <w:bottom w:val="single" w:sz="6" w:space="0" w:color="CAD5E2"/>
              <w:left w:val="single" w:sz="6" w:space="0" w:color="CAD5E2"/>
              <w:right w:val="single" w:sz="6" w:space="0" w:color="CAD5E2"/>
            </w:tcBorders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43B53"/>
                <w:sz w:val="19"/>
              </w:rPr>
              <w:t>cd frontend</w:t>
            </w:r>
            <w:r>
              <w:br/>
            </w:r>
            <w:r>
              <w:rPr>
                <w:rFonts w:ascii="Consolas" w:hAnsi="Consolas"/>
                <w:color w:val="243B53"/>
                <w:sz w:val="19"/>
              </w:rPr>
              <w:t>npm install</w:t>
            </w:r>
            <w:r>
              <w:br/>
            </w:r>
            <w:r>
              <w:rPr>
                <w:rFonts w:ascii="Consolas" w:hAnsi="Consolas"/>
                <w:color w:val="243B53"/>
                <w:sz w:val="19"/>
              </w:rPr>
              <w:t>npm run dev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Calibri" w:hAnsi="Calibri"/>
          <w:b/>
          <w:color w:val="1F2A37"/>
          <w:sz w:val="22"/>
        </w:rPr>
        <w:t xml:space="preserve">Апликација: </w:t>
      </w:r>
      <w:r>
        <w:rPr>
          <w:rFonts w:ascii="Calibri" w:hAnsi="Calibri"/>
          <w:b w:val="0"/>
          <w:color w:val="1F2A37"/>
          <w:sz w:val="22"/>
        </w:rPr>
        <w:t>http://localhost:5173</w:t>
      </w:r>
    </w:p>
    <w:p>
      <w:pPr>
        <w:spacing w:after="60"/>
      </w:pPr>
      <w:r>
        <w:rPr>
          <w:rFonts w:ascii="Calibri" w:hAnsi="Calibri"/>
          <w:b/>
          <w:i w:val="0"/>
          <w:color w:val="1F2A37"/>
          <w:sz w:val="22"/>
        </w:rPr>
        <w:t>Со Docker: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4F7FB"/>
            <w:tcBorders>
              <w:top w:val="single" w:sz="6" w:space="0" w:color="CAD5E2"/>
              <w:bottom w:val="single" w:sz="6" w:space="0" w:color="CAD5E2"/>
              <w:left w:val="single" w:sz="6" w:space="0" w:color="CAD5E2"/>
              <w:right w:val="single" w:sz="6" w:space="0" w:color="CAD5E2"/>
            </w:tcBorders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43B53"/>
                <w:sz w:val="19"/>
              </w:rPr>
              <w:t>docker compose up --build</w:t>
            </w:r>
            <w:r>
              <w:br/>
            </w:r>
            <w:r>
              <w:rPr>
                <w:rFonts w:ascii="Consolas" w:hAnsi="Consolas"/>
                <w:color w:val="243B53"/>
                <w:sz w:val="19"/>
              </w:rPr>
              <w:t># фронтенд → http://localhost:5173   бекенд → http://localhost:8000</w:t>
            </w:r>
          </w:p>
        </w:tc>
      </w:tr>
    </w:tbl>
    <w:p>
      <w:pPr>
        <w:spacing w:after="40"/>
      </w:pPr>
    </w:p>
    <w:p>
      <w:pPr>
        <w:pStyle w:val="Heading1"/>
      </w:pPr>
      <w:r>
        <w:t>11. Етика, приватност и ограничувања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F3E4"/>
            <w:tcBorders>
              <w:top w:val="single" w:sz="4" w:space="0" w:color="C9971C"/>
              <w:bottom w:val="single" w:sz="4" w:space="0" w:color="C9971C"/>
              <w:right w:val="single" w:sz="4" w:space="0" w:color="C9971C"/>
              <w:left w:val="single" w:sz="24" w:space="0" w:color="C9971C"/>
            </w:tcBorders>
            <w:tcMar>
              <w:top w:w="140" w:type="dxa"/>
              <w:bottom w:w="14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21"/>
              </w:rPr>
              <w:t xml:space="preserve">Ова не е клиничка алатка. </w:t>
            </w:r>
            <w:r>
              <w:rPr>
                <w:rFonts w:ascii="Calibri" w:hAnsi="Calibri"/>
                <w:color w:val="1F2A37"/>
                <w:sz w:val="21"/>
              </w:rPr>
              <w:t>PsyLearn е едукативен прототип изработен за студентски проект по психологија. Не е психолошка проценка, дијагноза, терапија ниту професионална евалуација. Резултатите се приближни и се засноваат на лесен модел на машинско учење трениран на синтетички едукативни податоци.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Приватност: се чуваат само анонимни резултати (16-те под-скорови и 6-те предвидени етикети). Не се собираат имиња, е-пошта ниту лични идентификатори. Дневникот на расположение, низите и историјата на резултати се чуваат локално во прелистувачот на корисникот.</w:t>
      </w:r>
    </w:p>
    <w:p>
      <w:pPr>
        <w:pStyle w:val="Heading1"/>
      </w:pPr>
      <w:r>
        <w:t>12. Заклучок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PsyLearn ја надминува идејата за обична анкета. Тргнувајќи од реален проблем осветлен од студијата HBSC, платформата нуди заокружено искуство: проценка со машинско учење, разбирлив профил, споредба со реални светски норми, библиотека со техники, секојдневни алатки за добросостојба, психолошки игри и тестови, и простор за релаксација — сето тоа на чист, поддржувачки дизајн и целосно на два јазика.</w:t>
      </w:r>
    </w:p>
    <w:p>
      <w:pPr>
        <w:spacing w:after="140"/>
      </w:pPr>
      <w:r>
        <w:rPr>
          <w:rFonts w:ascii="Calibri" w:hAnsi="Calibri"/>
          <w:b w:val="0"/>
          <w:i w:val="0"/>
          <w:color w:val="1F2A37"/>
          <w:sz w:val="22"/>
        </w:rPr>
        <w:t>Со ова сметаме дека ги исполнуваме барањата на задачата: адресиран е конкретен проблем од добросостојбата на младите, промовирани се здрави навики, користени се реални податоци, а решението е визуелно дотерано, интерактивно и двојазично.</w:t>
      </w:r>
    </w:p>
    <w:p>
      <w:pPr>
        <w:spacing w:before="40" w:after="160"/>
        <w:pBdr>
          <w:bottom w:val="single" w:sz="18" w:space="1" w:color="2F6BAB"/>
        </w:pBdr>
      </w:pPr>
    </w:p>
    <w:p>
      <w:pPr>
        <w:jc w:val="center"/>
      </w:pPr>
      <w:r>
        <w:rPr>
          <w:rFonts w:ascii="Calibri" w:hAnsi="Calibri"/>
          <w:i/>
          <w:color w:val="606B7A"/>
          <w:sz w:val="19"/>
        </w:rPr>
        <w:t>Изработиле: Мартин Стаменов и Теодора Санева — проект по Психологија на наставата и учењето (ПНУВ).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5" w:val="center"/>
        <w:tab w:pos="9298" w:val="right"/>
      </w:tabs>
    </w:pPr>
    <w:r/>
    <w:r>
      <w:rPr>
        <w:rFonts w:ascii="Calibri" w:hAnsi="Calibri"/>
        <w:color w:val="606B7A"/>
        <w:sz w:val="16"/>
      </w:rPr>
      <w:t>PsyLearn · Мартин Стаменов и Теодора Санева</w:t>
    </w:r>
    <w:r>
      <w:tab/>
    </w:r>
    <w:r>
      <w:rPr>
        <w:rFonts w:ascii="Calibri" w:hAnsi="Calibri"/>
        <w:color w:val="606B7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 w:cs="Calibri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2F6BA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214E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PsyLearn — проектна документација</dc:title>
  <dc:subject>Психологија на наставата и учењето (ПНУВ)</dc:subject>
  <dc:creator>Мартин Стаменов и Теодора Санева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