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2D270A68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3273A5B4" w14:textId="50E3C540" w:rsidR="00882544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Line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6649F178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359A7251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882544" w:rsidRPr="00882544">
        <w:rPr>
          <w:rFonts w:ascii="TH SarabunPSK" w:hAnsi="TH SarabunPSK" w:cs="TH SarabunPSK"/>
        </w:rPr>
        <w:t>Line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43569B0B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70CA956B" w14:textId="77777777" w:rsidR="00CF7B4E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Line Chatbot system</w:t>
      </w:r>
      <w:r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3A34EC13" w14:textId="09BD9DCC" w:rsidR="00882544" w:rsidRPr="00882544" w:rsidRDefault="000C4E9E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09EDA265" w14:textId="3AD556CD" w:rsidR="002C4FA8" w:rsidRPr="00DB595A" w:rsidRDefault="002C4FA8" w:rsidP="0040516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3A4C2B6" w14:textId="41FF1DED" w:rsidR="003F3F0D" w:rsidRDefault="002C4FA8" w:rsidP="002C4FA8">
      <w:pPr>
        <w:rPr>
          <w:rFonts w:ascii="TH SarabunPSK" w:eastAsia="Calibri" w:hAnsi="TH SarabunPSK" w:cs="TH SarabunPSK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="00DB595A" w:rsidRPr="00E869B0">
        <w:rPr>
          <w:rFonts w:ascii="TH SarabunPSK" w:eastAsia="Calibri" w:hAnsi="TH SarabunPSK" w:cs="TH SarabunPSK" w:hint="cs"/>
          <w:color w:val="000000" w:themeColor="text1"/>
          <w:sz w:val="36"/>
          <w:szCs w:val="36"/>
          <w:cs/>
        </w:rPr>
        <w:t>ใน</w:t>
      </w:r>
      <w:r w:rsidR="00DB595A" w:rsidRPr="00E869B0">
        <w:rPr>
          <w:rFonts w:ascii="TH SarabunPSK" w:eastAsia="Calibri" w:hAnsi="TH SarabunPSK" w:cs="TH SarabunPSK" w:hint="cs"/>
          <w:color w:val="000000" w:themeColor="text1"/>
          <w:cs/>
        </w:rPr>
        <w:t>ปัจจุบัน</w:t>
      </w:r>
      <w:r w:rsidR="00DB595A">
        <w:rPr>
          <w:rFonts w:ascii="TH SarabunPSK" w:eastAsia="Calibri" w:hAnsi="TH SarabunPSK" w:cs="TH SarabunPSK" w:hint="cs"/>
          <w:color w:val="000000" w:themeColor="text1"/>
          <w:cs/>
        </w:rPr>
        <w:t>ได้มีการใช้</w:t>
      </w:r>
      <w:r w:rsidR="003F3F0D">
        <w:rPr>
          <w:rFonts w:ascii="TH SarabunPSK" w:eastAsia="Calibri" w:hAnsi="TH SarabunPSK" w:cs="TH SarabunPSK" w:hint="cs"/>
          <w:color w:val="000000" w:themeColor="text1"/>
          <w:cs/>
        </w:rPr>
        <w:t>เทคโนโลยีสารสนเทศ</w:t>
      </w:r>
    </w:p>
    <w:p w14:paraId="7940AC9A" w14:textId="2015E952" w:rsidR="00046193" w:rsidRPr="00F6506A" w:rsidRDefault="00DB595A" w:rsidP="002C4FA8">
      <w:pPr>
        <w:rPr>
          <w:rFonts w:ascii="TH Sarabun New" w:hAnsi="TH Sarabun New" w:cs="TH Sarabun New"/>
        </w:rPr>
      </w:pPr>
      <w:r>
        <w:rPr>
          <w:rFonts w:ascii="TH SarabunPSK" w:eastAsia="Calibri" w:hAnsi="TH SarabunPSK" w:cs="TH SarabunPSK" w:hint="cs"/>
          <w:color w:val="000000" w:themeColor="text1"/>
          <w:cs/>
        </w:rPr>
        <w:t xml:space="preserve">เทคโนโลยี </w:t>
      </w:r>
      <w:r w:rsidRPr="00E869B0">
        <w:rPr>
          <w:rFonts w:ascii="TH SarabunPSK" w:eastAsia="Calibri" w:hAnsi="TH SarabunPSK" w:cs="TH SarabunPSK"/>
          <w:color w:val="000000" w:themeColor="text1"/>
        </w:rPr>
        <w:t>Line Chatbot</w:t>
      </w:r>
      <w:r w:rsidRPr="00E869B0">
        <w:rPr>
          <w:rFonts w:ascii="TH SarabunPSK" w:eastAsia="Calibri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eastAsia="Calibri" w:hAnsi="TH SarabunPSK" w:cs="TH SarabunPSK" w:hint="cs"/>
          <w:color w:val="000000" w:themeColor="text1"/>
          <w:cs/>
        </w:rPr>
        <w:t xml:space="preserve">คือ </w:t>
      </w:r>
      <w:r w:rsidRPr="00E869B0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บัญชีไลน์ที่ถูกสร้างมาเพื่อสามารถตอบโต้กับผู้ใช้ได้อัตโนมัติ</w:t>
      </w:r>
      <w:r w:rsidRPr="00E869B0">
        <w:rPr>
          <w:rStyle w:val="apple-converted-space"/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4185D1E2" w14:textId="62332821" w:rsidR="007D730D" w:rsidRPr="008A0E0C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E28DCE" w14:textId="7272730C" w:rsidR="00156D6E" w:rsidRPr="007D730D" w:rsidRDefault="007D730D" w:rsidP="002C4FA8">
      <w:pPr>
        <w:rPr>
          <w:rFonts w:ascii="TH SarabunPSK" w:eastAsia="Calibri" w:hAnsi="TH SarabunPSK" w:cs="TH SarabunPSK"/>
          <w:color w:val="000000" w:themeColor="text1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>
        <w:rPr>
          <w:rFonts w:ascii="TH SarabunPSK" w:eastAsia="Calibri" w:hAnsi="TH SarabunPSK" w:cs="TH SarabunPSK" w:hint="cs"/>
          <w:color w:val="000000" w:themeColor="text1"/>
          <w:cs/>
        </w:rPr>
        <w:t>ปัญหาการใช้สาธารณูปโภค</w:t>
      </w:r>
    </w:p>
    <w:p w14:paraId="2C09BF68" w14:textId="2AF63215" w:rsidR="00A67A60" w:rsidRDefault="00F6506A" w:rsidP="002C4FA8">
      <w:pPr>
        <w:rPr>
          <w:rFonts w:ascii="TH SarabunPSK" w:hAnsi="TH SarabunPSK" w:cs="TH SarabunPSK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</w:t>
      </w:r>
      <w:r w:rsidR="00FC4C64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FC4C6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FC4C64" w:rsidRPr="000327F3">
        <w:rPr>
          <w:rFonts w:ascii="TH SarabunPSK" w:hAnsi="TH SarabunPSK" w:cs="TH SarabunPSK"/>
        </w:rPr>
        <w:t xml:space="preserve"> Line Chatbot</w:t>
      </w:r>
      <w:r w:rsidR="00FC4C6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FC4C64">
        <w:rPr>
          <w:rFonts w:ascii="TH SarabunPSK" w:hAnsi="TH SarabunPSK" w:cs="TH SarabunPSK" w:hint="cs"/>
          <w:cs/>
        </w:rPr>
        <w:t>สาธารณูปโภค</w:t>
      </w:r>
      <w:r w:rsidR="00FC4C6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56130F">
        <w:rPr>
          <w:rFonts w:ascii="TH SarabunPSK" w:hAnsi="TH SarabunPSK" w:cs="TH SarabunPSK" w:hint="cs"/>
          <w:cs/>
        </w:rPr>
        <w:t xml:space="preserve"> 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5C183DC2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Line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22D18CEE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3A3D576C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6E1ABED4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10BF8D68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4D44027C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7BD9FBF4" w14:textId="77777777" w:rsidR="0041427D" w:rsidRPr="00590A89" w:rsidRDefault="0041427D" w:rsidP="002C4FA8">
      <w:pPr>
        <w:rPr>
          <w:rFonts w:ascii="TH SarabunPSK" w:hAnsi="TH SarabunPSK" w:cs="TH SarabunPSK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58E563B9" w14:textId="77777777" w:rsidR="00DE52E3" w:rsidRDefault="00DE52E3" w:rsidP="005E60BD">
      <w:pPr>
        <w:rPr>
          <w:rFonts w:ascii="TH SarabunPSK" w:hAnsi="TH SarabunPSK" w:cs="TH SarabunPSK"/>
        </w:rPr>
      </w:pPr>
    </w:p>
    <w:p w14:paraId="0519FA25" w14:textId="77777777" w:rsidR="00DE52E3" w:rsidRDefault="00DE52E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6F34725A" w:rsidR="0031148E" w:rsidRPr="0031148E" w:rsidRDefault="004C00F0" w:rsidP="007857A7">
      <w:pPr>
        <w:jc w:val="thaiDistribute"/>
        <w:rPr>
          <w:rFonts w:ascii="TH SarabunPSK" w:hAnsi="TH SarabunPSK" w:cs="TH SarabunPSK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714594" w:rsidRPr="00714594">
        <w:rPr>
          <w:rFonts w:ascii="TH SarabunPSK" w:hAnsi="TH SarabunPSK" w:cs="TH SarabunPSK"/>
          <w:color w:val="000000" w:themeColor="text1"/>
        </w:rPr>
        <w:t xml:space="preserve">Line Chatbot 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Line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Line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Line 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442160E2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Line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4B330A24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Line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168897F" w14:textId="4F7126FE" w:rsidR="00A058AE" w:rsidRPr="00A058AE" w:rsidRDefault="0012505A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lastRenderedPageBreak/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4225F82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b/>
          <w:bCs/>
          <w:i/>
          <w:color w:val="000000" w:themeColor="text1"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ประกอบด้วย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6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ขั้นตอน ดังนี้</w:t>
      </w:r>
    </w:p>
    <w:p w14:paraId="37A15B19" w14:textId="3D1D4742" w:rsidR="0012505A" w:rsidRDefault="0012505A" w:rsidP="004F3D42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>
        <w:rPr>
          <w:rFonts w:ascii="TH SarabunPSK" w:hAnsi="TH SarabunPSK" w:cs="TH SarabunPSK" w:hint="cs"/>
          <w:i/>
          <w:color w:val="000000" w:themeColor="text1"/>
          <w:cs/>
        </w:rPr>
        <w:t>ศึกษา ค้นคว้า</w:t>
      </w:r>
      <w:r w:rsidR="004A3505">
        <w:rPr>
          <w:rFonts w:ascii="TH SarabunPSK" w:hAnsi="TH SarabunPSK" w:cs="TH SarabunPSK" w:hint="cs"/>
          <w:i/>
          <w:color w:val="000000" w:themeColor="text1"/>
          <w:cs/>
        </w:rPr>
        <w:t xml:space="preserve"> และรวบรวมที่เกี่ยวข้องกับ</w:t>
      </w:r>
      <w:r w:rsidR="004A3505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4A3505"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="004A3505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F87986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F87986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F87986">
        <w:rPr>
          <w:rFonts w:ascii="TH SarabunPSK" w:hAnsi="TH SarabunPSK" w:cs="TH SarabunPSK" w:hint="cs"/>
          <w:cs/>
        </w:rPr>
        <w:t>ถึงปัญหา</w:t>
      </w:r>
      <w:r w:rsidR="00F87986" w:rsidRPr="000327F3">
        <w:rPr>
          <w:rFonts w:ascii="TH SarabunPSK" w:hAnsi="TH SarabunPSK" w:cs="TH SarabunPSK" w:hint="cs"/>
          <w:cs/>
        </w:rPr>
        <w:t>การใช้</w:t>
      </w:r>
      <w:r w:rsidR="00F87986">
        <w:rPr>
          <w:rFonts w:ascii="TH SarabunPSK" w:hAnsi="TH SarabunPSK" w:cs="TH SarabunPSK" w:hint="cs"/>
          <w:cs/>
        </w:rPr>
        <w:t>สาธารณูปโภค</w:t>
      </w:r>
      <w:r w:rsidR="00F87986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526E649C" w14:textId="73FC93CE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70DAD9DE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25C86ED5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2E598DDA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สร้างแบบสอบถามสภาพปัญหาความต้องการที่มีต่อ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</w:t>
      </w:r>
      <w:r w:rsidRPr="000327F3">
        <w:rPr>
          <w:rFonts w:ascii="TH SarabunPSK" w:hAnsi="TH SarabunPSK" w:cs="TH SarabunPSK" w:hint="cs"/>
          <w:cs/>
        </w:rPr>
        <w:lastRenderedPageBreak/>
        <w:t>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21C47BEC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2C5AE5B4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3C51FE">
        <w:rPr>
          <w:rFonts w:ascii="TH SarabunPSK" w:hAnsi="TH SarabunPSK" w:cs="TH SarabunPSK"/>
          <w:cs/>
        </w:rPr>
        <w:tab/>
      </w:r>
      <w:r w:rsidR="003C51FE">
        <w:rPr>
          <w:rFonts w:ascii="TH SarabunPSK" w:hAnsi="TH SarabunPSK" w:cs="TH SarabunPSK"/>
        </w:rPr>
        <w:t xml:space="preserve">4.4.1 </w:t>
      </w:r>
      <w:r>
        <w:rPr>
          <w:rFonts w:ascii="TH SarabunPSK" w:hAnsi="TH SarabunPSK" w:cs="TH SarabunPSK" w:hint="cs"/>
          <w:cs/>
        </w:rPr>
        <w:t>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28687E79" w14:textId="2B8D6D2E" w:rsidR="003C51FE" w:rsidRDefault="003C51FE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4.4.2 </w:t>
      </w:r>
      <w:r w:rsidRPr="003C51FE">
        <w:rPr>
          <w:rFonts w:ascii="TH SarabunPSK" w:hAnsi="TH SarabunPSK" w:cs="TH SarabunPSK"/>
          <w:cs/>
        </w:rPr>
        <w:t xml:space="preserve">แบบประเมินความพึงพอใจของผู้ใช้งานระบบโต้ตอบด้วยเทคโนโลยี </w:t>
      </w:r>
      <w:r w:rsidRPr="003C51FE">
        <w:rPr>
          <w:rFonts w:ascii="TH SarabunPSK" w:hAnsi="TH SarabunPSK" w:cs="TH SarabunPSK"/>
        </w:rPr>
        <w:t xml:space="preserve">LINE Chatbot </w:t>
      </w:r>
      <w:r w:rsidRPr="003C51FE">
        <w:rPr>
          <w:rFonts w:ascii="TH SarabunPSK" w:hAnsi="TH SarabunPSK" w:cs="TH SarabunPSK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3CBF0A07" w14:textId="5516EB14" w:rsidR="00AA77E2" w:rsidRDefault="00D068CC" w:rsidP="003C51F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38C82FC6" w14:textId="77777777" w:rsidR="00F146DA" w:rsidRDefault="00F146DA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796734FA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63548FE8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ข้อคำถามที่มีลักษณะเป็นแบบเลือกตอบเพียงคำตอบเดียวและแบบเลือกได้หลายคำตอบ ใช้สถิติการแจกจแงความถี่และร้อยละ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041FBD0D" w14:textId="506019E4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6AE66E8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Line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7C4BC696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Line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6E700E0A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นิสิตวิทยาลัยนวัตกรรมสื่อสารสังคมมีความสะดวก</w:t>
      </w:r>
      <w:r w:rsidR="00811A51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และรวดเร็ว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1026A64C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B5D7DF2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0E487E3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CC6CDBC" w14:textId="64148988" w:rsidR="003C120E" w:rsidRDefault="003C120E">
      <w:pPr>
        <w:rPr>
          <w:rFonts w:ascii="TH SarabunPSK" w:hAnsi="TH SarabunPSK" w:cs="TH SarabunPSK"/>
          <w:b/>
          <w:bCs/>
        </w:rPr>
      </w:pPr>
    </w:p>
    <w:p w14:paraId="17DFEFC5" w14:textId="0FD7E62E" w:rsidR="00012E39" w:rsidRDefault="003C120E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/>
          <w:b/>
          <w:bCs/>
        </w:rPr>
        <w:br w:type="page"/>
      </w:r>
    </w:p>
    <w:p w14:paraId="48974700" w14:textId="6FD7A754" w:rsidR="006F7CDB" w:rsidRP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lastRenderedPageBreak/>
        <w:t>7. References</w:t>
      </w:r>
    </w:p>
    <w:p w14:paraId="3688D87A" w14:textId="3F2089E9" w:rsidR="006F7CDB" w:rsidRDefault="00A05C88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Lemke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G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and Its</w:t>
      </w:r>
      <w:r w:rsid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Application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Retrieved August 28, 2023, </w:t>
      </w:r>
      <w:r w:rsidR="002A39C1" w:rsidRPr="002A39C1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https://core.ac.uk/download/pdf/268103004.pdf</w:t>
      </w:r>
    </w:p>
    <w:p w14:paraId="4881C10A" w14:textId="77777777" w:rsidR="000515D4" w:rsidRDefault="000515D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7BE0F6F" w14:textId="1B047E9E" w:rsidR="000515D4" w:rsidRDefault="005D502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>Pope P.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(2017). </w:t>
      </w:r>
      <w:r w:rsidR="002609CD" w:rsidRP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(SDLC)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. 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Retrieved August </w:t>
      </w:r>
      <w:r w:rsid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28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, 2023, </w:t>
      </w:r>
      <w:r w:rsidR="000515D4" w:rsidRP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https://silo.tips/download/the-software-development-life-cycle-sdlc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4D45CF17" w14:textId="77777777" w:rsidR="00A06408" w:rsidRDefault="00A06408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03EFDB90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Sustainable Cities and Communities. Retrieved August 28, 2023, from </w:t>
      </w:r>
      <w:hyperlink r:id="rId7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8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3290CDC" w14:textId="77777777" w:rsidR="00E869B0" w:rsidRDefault="00E869B0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F96ADA7" w14:textId="77777777" w:rsidR="009B6F33" w:rsidRDefault="009B6F3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E0F1288" w14:textId="77777777" w:rsidR="00E869B0" w:rsidRDefault="00E869B0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8C21A23" w14:textId="178BC71B" w:rsidR="00416801" w:rsidRDefault="00416801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  <w:cs/>
        </w:rPr>
      </w:pPr>
    </w:p>
    <w:p w14:paraId="68622542" w14:textId="77777777" w:rsidR="00416801" w:rsidRDefault="00416801">
      <w:pPr>
        <w:rPr>
          <w:rFonts w:ascii="TH SarabunPSK" w:hAnsi="TH SarabunPSK" w:cs="TH SarabunPSK"/>
          <w:b/>
          <w:bCs/>
          <w:sz w:val="40"/>
          <w:szCs w:val="40"/>
          <w:u w:val="single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br w:type="page"/>
      </w: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85CC" w14:textId="77777777" w:rsidR="00086934" w:rsidRDefault="00086934" w:rsidP="00EB6A17">
      <w:r>
        <w:separator/>
      </w:r>
    </w:p>
  </w:endnote>
  <w:endnote w:type="continuationSeparator" w:id="0">
    <w:p w14:paraId="03C20675" w14:textId="77777777" w:rsidR="00086934" w:rsidRDefault="00086934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5532" w14:textId="77777777" w:rsidR="00086934" w:rsidRDefault="00086934" w:rsidP="00EB6A17">
      <w:r>
        <w:separator/>
      </w:r>
    </w:p>
  </w:footnote>
  <w:footnote w:type="continuationSeparator" w:id="0">
    <w:p w14:paraId="16EFFCC2" w14:textId="77777777" w:rsidR="00086934" w:rsidRDefault="00086934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6934"/>
    <w:rsid w:val="00087150"/>
    <w:rsid w:val="000928D6"/>
    <w:rsid w:val="00096087"/>
    <w:rsid w:val="000B7816"/>
    <w:rsid w:val="000C4E9E"/>
    <w:rsid w:val="000C54A1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39BE"/>
    <w:rsid w:val="001431DA"/>
    <w:rsid w:val="0015645C"/>
    <w:rsid w:val="00156D6E"/>
    <w:rsid w:val="00157093"/>
    <w:rsid w:val="001614AA"/>
    <w:rsid w:val="00184F97"/>
    <w:rsid w:val="00192C34"/>
    <w:rsid w:val="001A4FB3"/>
    <w:rsid w:val="001B45EB"/>
    <w:rsid w:val="001C707C"/>
    <w:rsid w:val="001C7317"/>
    <w:rsid w:val="001D375D"/>
    <w:rsid w:val="001D67DB"/>
    <w:rsid w:val="001F1D51"/>
    <w:rsid w:val="002301CF"/>
    <w:rsid w:val="00235E38"/>
    <w:rsid w:val="002609CD"/>
    <w:rsid w:val="002634A6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81AF8"/>
    <w:rsid w:val="0038633D"/>
    <w:rsid w:val="003960BD"/>
    <w:rsid w:val="003C120E"/>
    <w:rsid w:val="003C4E87"/>
    <w:rsid w:val="003C51FE"/>
    <w:rsid w:val="003F197A"/>
    <w:rsid w:val="003F30EF"/>
    <w:rsid w:val="003F3F0D"/>
    <w:rsid w:val="00405163"/>
    <w:rsid w:val="00410448"/>
    <w:rsid w:val="0041427D"/>
    <w:rsid w:val="00416801"/>
    <w:rsid w:val="00420F52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770F"/>
    <w:rsid w:val="004C00F0"/>
    <w:rsid w:val="004D37B8"/>
    <w:rsid w:val="004D746D"/>
    <w:rsid w:val="004F3D42"/>
    <w:rsid w:val="00505F7F"/>
    <w:rsid w:val="005067FF"/>
    <w:rsid w:val="00507171"/>
    <w:rsid w:val="005307A6"/>
    <w:rsid w:val="00541518"/>
    <w:rsid w:val="00543ABF"/>
    <w:rsid w:val="00547D55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93E31"/>
    <w:rsid w:val="005B23C3"/>
    <w:rsid w:val="005C2B62"/>
    <w:rsid w:val="005D3181"/>
    <w:rsid w:val="005D5024"/>
    <w:rsid w:val="005E0E35"/>
    <w:rsid w:val="005E60BD"/>
    <w:rsid w:val="005E7E10"/>
    <w:rsid w:val="005F0298"/>
    <w:rsid w:val="0060471E"/>
    <w:rsid w:val="00616C27"/>
    <w:rsid w:val="0062087E"/>
    <w:rsid w:val="00626CCF"/>
    <w:rsid w:val="006602B7"/>
    <w:rsid w:val="0066281C"/>
    <w:rsid w:val="006719AC"/>
    <w:rsid w:val="0068371B"/>
    <w:rsid w:val="00683962"/>
    <w:rsid w:val="00697A83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58FA"/>
    <w:rsid w:val="00736C4B"/>
    <w:rsid w:val="00737E2A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8D0"/>
    <w:rsid w:val="00955E23"/>
    <w:rsid w:val="00966E21"/>
    <w:rsid w:val="00971283"/>
    <w:rsid w:val="009718BC"/>
    <w:rsid w:val="00974854"/>
    <w:rsid w:val="00975F69"/>
    <w:rsid w:val="009A7CC1"/>
    <w:rsid w:val="009B6F33"/>
    <w:rsid w:val="009C0587"/>
    <w:rsid w:val="009C6884"/>
    <w:rsid w:val="009D2CA6"/>
    <w:rsid w:val="009E007F"/>
    <w:rsid w:val="009E30E1"/>
    <w:rsid w:val="00A058AE"/>
    <w:rsid w:val="00A05C88"/>
    <w:rsid w:val="00A06408"/>
    <w:rsid w:val="00A1123E"/>
    <w:rsid w:val="00A13659"/>
    <w:rsid w:val="00A15776"/>
    <w:rsid w:val="00A25F1B"/>
    <w:rsid w:val="00A32799"/>
    <w:rsid w:val="00A3323E"/>
    <w:rsid w:val="00A45244"/>
    <w:rsid w:val="00A61105"/>
    <w:rsid w:val="00A67A60"/>
    <w:rsid w:val="00A77604"/>
    <w:rsid w:val="00A80073"/>
    <w:rsid w:val="00A87567"/>
    <w:rsid w:val="00A876B2"/>
    <w:rsid w:val="00A96D70"/>
    <w:rsid w:val="00AA2D97"/>
    <w:rsid w:val="00AA77E2"/>
    <w:rsid w:val="00AA7B3E"/>
    <w:rsid w:val="00AC5C2F"/>
    <w:rsid w:val="00AD2174"/>
    <w:rsid w:val="00AD516E"/>
    <w:rsid w:val="00AD68C7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B002E"/>
    <w:rsid w:val="00BE215F"/>
    <w:rsid w:val="00BE6067"/>
    <w:rsid w:val="00BF1E22"/>
    <w:rsid w:val="00BF7D15"/>
    <w:rsid w:val="00C07C39"/>
    <w:rsid w:val="00C13B4A"/>
    <w:rsid w:val="00C15900"/>
    <w:rsid w:val="00C32C4B"/>
    <w:rsid w:val="00C360F2"/>
    <w:rsid w:val="00C404D2"/>
    <w:rsid w:val="00C519EB"/>
    <w:rsid w:val="00C855FB"/>
    <w:rsid w:val="00C863E6"/>
    <w:rsid w:val="00C94B13"/>
    <w:rsid w:val="00CB1BA2"/>
    <w:rsid w:val="00CC1397"/>
    <w:rsid w:val="00CD2FA9"/>
    <w:rsid w:val="00CD3719"/>
    <w:rsid w:val="00CF7B4E"/>
    <w:rsid w:val="00D02263"/>
    <w:rsid w:val="00D068CC"/>
    <w:rsid w:val="00D21F8A"/>
    <w:rsid w:val="00D22C7A"/>
    <w:rsid w:val="00D2434E"/>
    <w:rsid w:val="00D652FA"/>
    <w:rsid w:val="00D66752"/>
    <w:rsid w:val="00D71AD0"/>
    <w:rsid w:val="00D81AD4"/>
    <w:rsid w:val="00D900F1"/>
    <w:rsid w:val="00D90CCB"/>
    <w:rsid w:val="00DB595A"/>
    <w:rsid w:val="00DE52E3"/>
    <w:rsid w:val="00DE6EAF"/>
    <w:rsid w:val="00E04557"/>
    <w:rsid w:val="00E06AC8"/>
    <w:rsid w:val="00E31D52"/>
    <w:rsid w:val="00E32F62"/>
    <w:rsid w:val="00E34D1D"/>
    <w:rsid w:val="00E65084"/>
    <w:rsid w:val="00E82051"/>
    <w:rsid w:val="00E82822"/>
    <w:rsid w:val="00E82CF7"/>
    <w:rsid w:val="00E869B0"/>
    <w:rsid w:val="00EA325D"/>
    <w:rsid w:val="00EA7F4A"/>
    <w:rsid w:val="00EB0CE6"/>
    <w:rsid w:val="00EB6A17"/>
    <w:rsid w:val="00EB7593"/>
    <w:rsid w:val="00ED413E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news.prd.go.th/th/news/detail/TCATG230227171238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iland.un.org/th/sdgs/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11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331</cp:revision>
  <dcterms:created xsi:type="dcterms:W3CDTF">2020-05-13T08:45:00Z</dcterms:created>
  <dcterms:modified xsi:type="dcterms:W3CDTF">2023-09-01T04:22:00Z</dcterms:modified>
</cp:coreProperties>
</file>