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2678 HOLDINGS LLC</w:t>
      </w:r>
    </w:p>
    <w:p>
      <w:pPr>
        <w:spacing w:after="60" w:before="0"/>
      </w:pPr>
      <w:r>
        <w:rPr>
          <w:rFonts w:ascii="Arial" w:cs="Arial" w:eastAsia="Arial" w:hAnsi="Arial"/>
          <w:b/>
          <w:bCs/>
          <w:color w:val="2E75B6"/>
          <w:sz w:val="36"/>
          <w:szCs w:val="36"/>
        </w:rPr>
        <w:t xml:space="preserve">TokenCap Miner LLC (TCM)</w:t>
      </w:r>
    </w:p>
    <w:p>
      <w:pPr>
        <w:pBdr>
          <w:bottom w:val="single" w:color="2E75B6" w:sz="6" w:space="1"/>
        </w:pBdr>
        <w:spacing w:after="360" w:before="0"/>
      </w:pPr>
      <w:r>
        <w:rPr>
          <w:rFonts w:ascii="Arial" w:cs="Arial" w:eastAsia="Arial" w:hAnsi="Arial"/>
          <w:b/>
          <w:bCs/>
          <w:color w:val="404040"/>
          <w:sz w:val="32"/>
          <w:szCs w:val="32"/>
        </w:rPr>
        <w:t xml:space="preserve">ENTITY CHARTER &amp; FUNCTIONAL MANDATE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TCM-CHARTER-001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Governing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Policy No. 2678-POL-API-001 v1.1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Foundational Document</w:t>
            </w:r>
          </w:p>
        </w:tc>
      </w:tr>
    </w:tbl>
    <w:p>
      <w:pPr>
        <w:spacing w:after="80" w:before="0"/>
      </w:pPr>
      <w:r>
        <w:t xml:space="preserve"/>
      </w:r>
    </w:p>
    <w:p>
      <w:pPr>
        <w:spacing w:after="300" w:before="60"/>
      </w:pPr>
      <w:r>
        <w:rPr>
          <w:rFonts w:ascii="Arial" w:cs="Arial" w:eastAsia="Arial" w:hAnsi="Arial"/>
          <w:i/>
          <w:iCs/>
          <w:color w:val="808080"/>
          <w:sz w:val="18"/>
          <w:szCs w:val="18"/>
        </w:rPr>
        <w:t xml:space="preserve">PRIVILEGED &amp; CONFIDENTIAL  |  INTERNAL USE ONLY  |  2678 Holdings LLC</w:t>
      </w:r>
    </w:p>
    <w:p>
      <w:r>
        <w:br w:type="page"/>
      </w:r>
    </w:p>
    <w:p>
      <w:pPr>
        <w:pStyle w:val="Heading1"/>
        <w:spacing w:after="120" w:before="360"/>
      </w:pPr>
      <w:r>
        <w:rPr>
          <w:rFonts w:ascii="Arial" w:cs="Arial" w:eastAsia="Arial" w:hAnsi="Arial"/>
          <w:b/>
          <w:bCs/>
          <w:color w:val="1F3864"/>
          <w:sz w:val="32"/>
          <w:szCs w:val="32"/>
        </w:rPr>
        <w:t xml:space="preserve">I. PURPOSE OF THIS CHARTER</w:t>
      </w:r>
    </w:p>
    <w:p>
      <w:pPr>
        <w:spacing w:after="80" w:before="60"/>
      </w:pPr>
      <w:r>
        <w:rPr>
          <w:rFonts w:ascii="Arial" w:cs="Arial" w:eastAsia="Arial" w:hAnsi="Arial"/>
          <w:sz w:val="22"/>
          <w:szCs w:val="22"/>
        </w:rPr>
        <w:t xml:space="preserve">This Charter is the constitutional document of TokenCap Miner LLC (TCM). It establishes TCM's legal identity, sole functional mandate, operational boundaries, governing authority structure, and relationship to the broader 2678 ecosystem. All TCM engineering, compliance, operational, and governance decisions must be consistent with this Charter.</w:t>
      </w:r>
    </w:p>
    <w:p>
      <w:pPr>
        <w:spacing w:after="80" w:before="60"/>
      </w:pPr>
      <w:r>
        <w:rPr>
          <w:rFonts w:ascii="Arial" w:cs="Arial" w:eastAsia="Arial" w:hAnsi="Arial"/>
          <w:sz w:val="22"/>
          <w:szCs w:val="22"/>
        </w:rPr>
        <w:t xml:space="preserve">This Charter is a living document subject to annual review and amendment by the 2678 Holdings Managing Member. It does not replace or supersede the governing documents listed in Section II — it is subordinate to them.</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 GOVERNING DOCUMENTS</w:t>
      </w:r>
    </w:p>
    <w:p>
      <w:pPr>
        <w:spacing w:after="80" w:before="60"/>
      </w:pPr>
      <w:r>
        <w:rPr>
          <w:rFonts w:ascii="Arial" w:cs="Arial" w:eastAsia="Arial" w:hAnsi="Arial"/>
          <w:sz w:val="22"/>
          <w:szCs w:val="22"/>
        </w:rPr>
        <w:t xml:space="preserve">This Charter operates within the following document hierarchy. In the event of conflict, higher-ranked documents prevail.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Provisional Patent Application (May 2026)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architecture. 40 claims in 9 families. Constrains all vocabulary and implementation choices. Non-provisional must be filed by May 2027.</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2678 Regulatory Control Framework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control architecture. Entity separation, token characterization, and ecosystem governance.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API Policy No. 2678-POL-API-001 v1.1 (June 2026)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Binding enterprise API governance policy. Supersedes all prior API guidance.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2678 Ecosystem Technology Architecture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Three-entity architecture, interface design, and build sequencing.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TCM Technical Specifications v2.0 (May 29, 2026)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Definitive build specifications: KYC vendor (JPMorgan Chase), Auth API schema, SLA targets, state machine, database architecture.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TCT Implementation Memorandum Rev 2 (May 2026)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TokenCap Token design, on-chain contract spec, RBAC, wallet model, synchronization pipeline, revenue streams.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2678 Framework Manual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Problem-solving methodology. All TCM work products must follow the Problem → Framework → Process → Procedures → Tasks model.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This Charter (TCM-CHARTER-001)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TCM constitutional document. Subordinate to all above.</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III. TCM IDENTITY &amp; LEGAL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Legal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TokenCap Miner LLC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Parent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2678 Holdings LLC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Role in Ecosystem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Credentialing &amp; Compliance Gateway — Trust Anchor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Token issuance, KYC/AML, identity binding, token lifecycle authority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Ecosystem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Sole operator of the TokenCap Token (TCT) credential system and ecosystem-level audit ledger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KYC/AML Vendor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JPMorgan Chase (production) | Persona (dev/staging sandbox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Blockchain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Polygon PoS mainnet (primary) | Ethereum mainnet (anchoring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Dedicated AWS account — NOT shared with TCN or TCA</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IV. GOVERNING PRINCIPLE</w:t>
      </w:r>
    </w:p>
    <w:p>
      <w:pPr>
        <w:pBdr>
          <w:left w:val="single" w:color="2E75B6" w:sz="12" w:space="4"/>
        </w:pBdr>
        <w:spacing w:after="120" w:before="120"/>
        <w:ind w:left="360"/>
      </w:pPr>
      <w:r>
        <w:rPr>
          <w:rFonts w:ascii="Arial" w:cs="Arial" w:eastAsia="Arial" w:hAnsi="Arial"/>
          <w:i/>
          <w:iCs/>
          <w:color w:val="1F3864"/>
          <w:sz w:val="22"/>
          <w:szCs w:val="22"/>
        </w:rPr>
        <w:t xml:space="preserve">TCT authenticates and reports. TCN executes. Off-chain entities determine, hold, and intermediate value. The Token Engine is the TCM-side kernel that operationalises that rule. Nothing in the build may cause the Engine to determine, calculate, or settle economic outcomes.</w:t>
      </w:r>
    </w:p>
    <w:p>
      <w:pPr>
        <w:spacing w:after="80" w:before="0"/>
      </w:pPr>
      <w:r>
        <w:t xml:space="preserve"/>
      </w:r>
    </w:p>
    <w:p>
      <w:pPr>
        <w:spacing w:after="80" w:before="60"/>
      </w:pPr>
      <w:r>
        <w:rPr>
          <w:rFonts w:ascii="Arial" w:cs="Arial" w:eastAsia="Arial" w:hAnsi="Arial"/>
          <w:sz w:val="22"/>
          <w:szCs w:val="22"/>
        </w:rPr>
        <w:t xml:space="preserve">The TokenCap Token must function exclusively as a permissioned digital credential. All economic participation must arise from separate contractual arrangements outside the token system. TCM is the trust anchor of the 2678 ecosystem — every API interaction requiring participant verification begins and ends with TCM.</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 WHAT TCM GOVERNS</w:t>
      </w:r>
    </w:p>
    <w:p>
      <w:pPr>
        <w:spacing w:after="80" w:before="60"/>
      </w:pPr>
      <w:r>
        <w:rPr>
          <w:rFonts w:ascii="Arial" w:cs="Arial" w:eastAsia="Arial" w:hAnsi="Arial"/>
          <w:b/>
          <w:bCs/>
          <w:sz w:val="22"/>
          <w:szCs w:val="22"/>
        </w:rPr>
        <w:t xml:space="preserve">TCM has exclusive authority over the following functions. No other entity may perform these functions.</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Token issuance: minting of cryptographically unique, non-transferable, identity-bound TokenCap Tokens (TCTs) following completion of all six issuance gates.</w:t>
      </w:r>
    </w:p>
    <w:p>
      <w:pPr>
        <w:pStyle w:val="ListParagraph"/>
        <w:numPr>
          <w:ilvl w:val="0"/>
          <w:numId w:val="2"/>
        </w:numPr>
        <w:spacing w:after="40" w:before="40"/>
      </w:pPr>
      <w:r>
        <w:rPr>
          <w:rFonts w:ascii="Arial" w:cs="Arial" w:eastAsia="Arial" w:hAnsi="Arial"/>
          <w:sz w:val="22"/>
          <w:szCs w:val="22"/>
        </w:rPr>
        <w:t xml:space="preserve">Identity verification: mandatory KYC/AML screening of all participants via JPMorgan Chase before any token is issued.</w:t>
      </w:r>
    </w:p>
    <w:p>
      <w:pPr>
        <w:pStyle w:val="ListParagraph"/>
        <w:numPr>
          <w:ilvl w:val="0"/>
          <w:numId w:val="2"/>
        </w:numPr>
        <w:spacing w:after="40" w:before="40"/>
      </w:pPr>
      <w:r>
        <w:rPr>
          <w:rFonts w:ascii="Arial" w:cs="Arial" w:eastAsia="Arial" w:hAnsi="Arial"/>
          <w:sz w:val="22"/>
          <w:szCs w:val="22"/>
        </w:rPr>
        <w:t xml:space="preserve">Token lifecycle management: activation, suspension, revocation, expiry, and retirement of credentials.</w:t>
      </w:r>
    </w:p>
    <w:p>
      <w:pPr>
        <w:pStyle w:val="ListParagraph"/>
        <w:numPr>
          <w:ilvl w:val="0"/>
          <w:numId w:val="2"/>
        </w:numPr>
        <w:spacing w:after="40" w:before="40"/>
      </w:pPr>
      <w:r>
        <w:rPr>
          <w:rFonts w:ascii="Arial" w:cs="Arial" w:eastAsia="Arial" w:hAnsi="Arial"/>
          <w:sz w:val="22"/>
          <w:szCs w:val="22"/>
        </w:rPr>
        <w:t xml:space="preserve">Credential status authority: TCM is the sole authoritative source of credential status for TCN's access control system.</w:t>
      </w:r>
    </w:p>
    <w:p>
      <w:pPr>
        <w:pStyle w:val="ListParagraph"/>
        <w:numPr>
          <w:ilvl w:val="0"/>
          <w:numId w:val="2"/>
        </w:numPr>
        <w:spacing w:after="40" w:before="40"/>
      </w:pPr>
      <w:r>
        <w:rPr>
          <w:rFonts w:ascii="Arial" w:cs="Arial" w:eastAsia="Arial" w:hAnsi="Arial"/>
          <w:sz w:val="22"/>
          <w:szCs w:val="22"/>
        </w:rPr>
        <w:t xml:space="preserve">Ecosystem audit ledger: TCM operates the ecosystem-level append-only audit ledger that receives events from all three entities (TCM, TCN, TCA). No single entity may alter this ledger unilaterally.</w:t>
      </w:r>
    </w:p>
    <w:p>
      <w:pPr>
        <w:pStyle w:val="ListParagraph"/>
        <w:numPr>
          <w:ilvl w:val="0"/>
          <w:numId w:val="2"/>
        </w:numPr>
        <w:spacing w:after="40" w:before="40"/>
      </w:pPr>
      <w:r>
        <w:rPr>
          <w:rFonts w:ascii="Arial" w:cs="Arial" w:eastAsia="Arial" w:hAnsi="Arial"/>
          <w:sz w:val="22"/>
          <w:szCs w:val="22"/>
        </w:rPr>
        <w:t xml:space="preserve">Authentication API: TCM's Credential Verification API (TCM-CRED-VERIFY-001) is the only interface through which TCN validates participant access. It is classified Critical.</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 WHAT TCM DOES NOT GOVERN</w:t>
      </w:r>
    </w:p>
    <w:p>
      <w:pPr>
        <w:spacing w:after="80" w:before="60"/>
      </w:pPr>
      <w:r>
        <w:rPr>
          <w:rFonts w:ascii="Arial" w:cs="Arial" w:eastAsia="Arial" w:hAnsi="Arial"/>
          <w:b/>
          <w:bCs/>
          <w:sz w:val="22"/>
          <w:szCs w:val="22"/>
        </w:rPr>
        <w:t xml:space="preserve">TCM has no authority over the following functions. Any TCM design, API, or system that crosses these boundaries constitutes a Charter violation.</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Collaboration listings, project evaluation, or advisory outputs — these are TCN and TCA functions respectively.</w:t>
      </w:r>
    </w:p>
    <w:p>
      <w:pPr>
        <w:pStyle w:val="ListParagraph"/>
        <w:numPr>
          <w:ilvl w:val="0"/>
          <w:numId w:val="2"/>
        </w:numPr>
        <w:spacing w:after="40" w:before="40"/>
      </w:pPr>
      <w:r>
        <w:rPr>
          <w:rFonts w:ascii="Arial" w:cs="Arial" w:eastAsia="Arial" w:hAnsi="Arial"/>
          <w:sz w:val="22"/>
          <w:szCs w:val="22"/>
        </w:rPr>
        <w:t xml:space="preserve">Execution of workflow logic, smart-contract deployment, or venture formation — these are TCN functions.</w:t>
      </w:r>
    </w:p>
    <w:p>
      <w:pPr>
        <w:pStyle w:val="ListParagraph"/>
        <w:numPr>
          <w:ilvl w:val="0"/>
          <w:numId w:val="2"/>
        </w:numPr>
        <w:spacing w:after="40" w:before="40"/>
      </w:pPr>
      <w:r>
        <w:rPr>
          <w:rFonts w:ascii="Arial" w:cs="Arial" w:eastAsia="Arial" w:hAnsi="Arial"/>
          <w:sz w:val="22"/>
          <w:szCs w:val="22"/>
        </w:rPr>
        <w:t xml:space="preserve">Economic outcomes, financial transactions, value determination, or settlement — these are exclusively off-chain entity functions.</w:t>
      </w:r>
    </w:p>
    <w:p>
      <w:pPr>
        <w:pStyle w:val="ListParagraph"/>
        <w:numPr>
          <w:ilvl w:val="0"/>
          <w:numId w:val="2"/>
        </w:numPr>
        <w:spacing w:after="40" w:before="40"/>
      </w:pPr>
      <w:r>
        <w:rPr>
          <w:rFonts w:ascii="Arial" w:cs="Arial" w:eastAsia="Arial" w:hAnsi="Arial"/>
          <w:sz w:val="22"/>
          <w:szCs w:val="22"/>
        </w:rPr>
        <w:t xml:space="preserve">Advisory analysis, risk assessments, or research outputs — these are TCA functions.</w:t>
      </w:r>
    </w:p>
    <w:p>
      <w:pPr>
        <w:pStyle w:val="ListParagraph"/>
        <w:numPr>
          <w:ilvl w:val="0"/>
          <w:numId w:val="2"/>
        </w:numPr>
        <w:spacing w:after="40" w:before="40"/>
      </w:pPr>
      <w:r>
        <w:rPr>
          <w:rFonts w:ascii="Arial" w:cs="Arial" w:eastAsia="Arial" w:hAnsi="Arial"/>
          <w:sz w:val="22"/>
          <w:szCs w:val="22"/>
        </w:rPr>
        <w:t xml:space="preserve">Participant data beyond what is necessary for credential issuance and lifecycle management.</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VII. THE FIVE TCM API DOMAINS</w:t>
      </w:r>
    </w:p>
    <w:p>
      <w:pPr>
        <w:spacing w:after="80" w:before="60"/>
      </w:pPr>
      <w:r>
        <w:rPr>
          <w:rFonts w:ascii="Arial" w:cs="Arial" w:eastAsia="Arial" w:hAnsi="Arial"/>
          <w:sz w:val="22"/>
          <w:szCs w:val="22"/>
        </w:rPr>
        <w:t xml:space="preserve">TCM exposes exactly five API functions. No additional APIs may be developed or deployed without amendment to this Charter and registration in the API Inventory.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TCM-CRED-ISSUE-001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Credential Issuance API</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80"/>
                <w:sz w:val="18"/>
                <w:szCs w:val="18"/>
              </w:rPr>
              <w:t xml:space="preserve">Important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Mints and records the TCT credential on Polygon PoS after all six issuance gates pass. Supports cohort batch minting (max 50 tokens per transaction).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TCM-CRED-VERIFY-002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 Verification API</w:t>
            </w:r>
          </w:p>
        </w:tc>
        <w:tc>
          <w:tcPr>
            <w:tcW w:type="dxa" w:w="1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TCN calls this on every participant login and session refresh. Returns status and permission tier only. No identity data leaves TCM. This is the trust anchor of the entire ecosystem.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TCM-CRED-STATUS-003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Credential Status Management API</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80"/>
                <w:sz w:val="18"/>
                <w:szCs w:val="18"/>
              </w:rPr>
              <w:t xml:space="preserve">Important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Governs all lifecycle transitions: activation, suspension, reinstatement, revocation, expiry, retirement. Changes propagate immediately to the verification response 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TCM-AUDIT-RECORD-004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Event Recording API</w:t>
            </w:r>
          </w:p>
        </w:tc>
        <w:tc>
          <w:tcPr>
            <w:tcW w:type="dxa" w:w="1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Receives events from TCN and TCA. Maintains the ecosystem-level append-only audit ledger. No entity may alter ledger records unilaterally.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TCM-TOKEN-STATE-005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Token State Update API</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80"/>
                <w:sz w:val="18"/>
                <w:szCs w:val="18"/>
              </w:rPr>
              <w:t xml:space="preserve">Important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Supports non-credential TCT updates: ERC-1155 sub-token state changes, on-chain and off-chain smart-contract outcomes, token dashboard updates. PATENT-GATED — production deployment requires written Legal/Compliance patent consistency confirmation. Non-waivable.</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VIII. ECOSYSTEM POSITION &amp; INTERFACES</w:t>
      </w:r>
    </w:p>
    <w:p>
      <w:pPr>
        <w:spacing w:after="80" w:before="60"/>
      </w:pPr>
      <w:r>
        <w:rPr>
          <w:rFonts w:ascii="Arial" w:cs="Arial" w:eastAsia="Arial" w:hAnsi="Arial"/>
          <w:sz w:val="22"/>
          <w:szCs w:val="22"/>
        </w:rPr>
        <w:t xml:space="preserve">TCM is one of three sovereign systems in the 2678 ecosystem. It interacts with TCN and TCA only through tightly controlled, purpose-limited interfaces.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TCM → TCN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TCM exposes the Credential Verification API (TCM-CRED-VERIFY-002) only. TCN receives token status and permission tier — no identity data, no compliance detail.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TCN → TCM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TCN writes audit events to TCM's Audit Event Recording API (TCM-AUDIT-RECORD-004). TCM maintains the ecosystem ledger.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TCM ↔ TCA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direct interface. TCM has no visibility into TCA analytical outputs. TCA has no access to TCM operational APIs.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All interfaces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Purpose-limited, logged on both sides, governed by intercompany data access agreements, authenticated via service-to-service mTLS credentials.</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IX. 2678 ONBOARDING KERNEL DEPENDENCY</w:t>
      </w:r>
    </w:p>
    <w:p>
      <w:pPr>
        <w:spacing w:after="80" w:before="60"/>
      </w:pPr>
      <w:r>
        <w:rPr>
          <w:rFonts w:ascii="Arial" w:cs="Arial" w:eastAsia="Arial" w:hAnsi="Arial"/>
          <w:sz w:val="22"/>
          <w:szCs w:val="22"/>
        </w:rPr>
        <w:t xml:space="preserve">TCM's KYC and participant onboarding flows must be built as a TCM overlay on the reusable 2678 Onboarding Kernel — not as a standalone system. This ensures consistency across all three entities and avoids architectural rework when TCN adopts the same kernel.</w:t>
      </w:r>
    </w:p>
    <w:p>
      <w:pPr>
        <w:spacing w:after="80" w:before="0"/>
      </w:pPr>
      <w:r>
        <w:t xml:space="preserve"/>
      </w:r>
    </w:p>
    <w:p>
      <w:pPr>
        <w:spacing w:after="80" w:before="60"/>
      </w:pPr>
      <w:r>
        <w:rPr>
          <w:rFonts w:ascii="Arial" w:cs="Arial" w:eastAsia="Arial" w:hAnsi="Arial"/>
          <w:b/>
          <w:bCs/>
          <w:sz w:val="22"/>
          <w:szCs w:val="22"/>
        </w:rPr>
        <w:t xml:space="preserve">TCM overlay scope includes:</w:t>
      </w:r>
    </w:p>
    <w:p>
      <w:pPr>
        <w:pStyle w:val="ListParagraph"/>
        <w:numPr>
          <w:ilvl w:val="0"/>
          <w:numId w:val="2"/>
        </w:numPr>
        <w:spacing w:after="40" w:before="40"/>
      </w:pPr>
      <w:r>
        <w:rPr>
          <w:rFonts w:ascii="Arial" w:cs="Arial" w:eastAsia="Arial" w:hAnsi="Arial"/>
          <w:sz w:val="22"/>
          <w:szCs w:val="22"/>
        </w:rPr>
        <w:t xml:space="preserve">KYC/AML intake via JPMorgan Chase</w:t>
      </w:r>
    </w:p>
    <w:p>
      <w:pPr>
        <w:pStyle w:val="ListParagraph"/>
        <w:numPr>
          <w:ilvl w:val="0"/>
          <w:numId w:val="2"/>
        </w:numPr>
        <w:spacing w:after="40" w:before="40"/>
      </w:pPr>
      <w:r>
        <w:rPr>
          <w:rFonts w:ascii="Arial" w:cs="Arial" w:eastAsia="Arial" w:hAnsi="Arial"/>
          <w:sz w:val="22"/>
          <w:szCs w:val="22"/>
        </w:rPr>
        <w:t xml:space="preserve">Wallet binding and ownership challenge</w:t>
      </w:r>
    </w:p>
    <w:p>
      <w:pPr>
        <w:pStyle w:val="ListParagraph"/>
        <w:numPr>
          <w:ilvl w:val="0"/>
          <w:numId w:val="2"/>
        </w:numPr>
        <w:spacing w:after="40" w:before="40"/>
      </w:pPr>
      <w:r>
        <w:rPr>
          <w:rFonts w:ascii="Arial" w:cs="Arial" w:eastAsia="Arial" w:hAnsi="Arial"/>
          <w:sz w:val="22"/>
          <w:szCs w:val="22"/>
        </w:rPr>
        <w:t xml:space="preserve">TCT eligibility determination</w:t>
      </w:r>
    </w:p>
    <w:p>
      <w:pPr>
        <w:pStyle w:val="ListParagraph"/>
        <w:numPr>
          <w:ilvl w:val="0"/>
          <w:numId w:val="2"/>
        </w:numPr>
        <w:spacing w:after="40" w:before="40"/>
      </w:pPr>
      <w:r>
        <w:rPr>
          <w:rFonts w:ascii="Arial" w:cs="Arial" w:eastAsia="Arial" w:hAnsi="Arial"/>
          <w:sz w:val="22"/>
          <w:szCs w:val="22"/>
        </w:rPr>
        <w:t xml:space="preserve">Soulbound token issuance workflow (six issuance gates)</w:t>
      </w:r>
    </w:p>
    <w:p>
      <w:pPr>
        <w:pStyle w:val="ListParagraph"/>
        <w:numPr>
          <w:ilvl w:val="0"/>
          <w:numId w:val="2"/>
        </w:numPr>
        <w:spacing w:after="40" w:before="40"/>
      </w:pPr>
      <w:r>
        <w:rPr>
          <w:rFonts w:ascii="Arial" w:cs="Arial" w:eastAsia="Arial" w:hAnsi="Arial"/>
          <w:sz w:val="22"/>
          <w:szCs w:val="22"/>
        </w:rPr>
        <w:t xml:space="preserve">Gas/payment policies</w:t>
      </w:r>
    </w:p>
    <w:p>
      <w:pPr>
        <w:pStyle w:val="ListParagraph"/>
        <w:numPr>
          <w:ilvl w:val="0"/>
          <w:numId w:val="2"/>
        </w:numPr>
        <w:spacing w:after="40" w:before="40"/>
      </w:pPr>
      <w:r>
        <w:rPr>
          <w:rFonts w:ascii="Arial" w:cs="Arial" w:eastAsia="Arial" w:hAnsi="Arial"/>
          <w:sz w:val="22"/>
          <w:szCs w:val="22"/>
        </w:rPr>
        <w:t xml:space="preserve">Identity re-verification triggers</w:t>
      </w:r>
    </w:p>
    <w:p>
      <w:pPr>
        <w:pStyle w:val="ListParagraph"/>
        <w:numPr>
          <w:ilvl w:val="0"/>
          <w:numId w:val="2"/>
        </w:numPr>
        <w:spacing w:after="40" w:before="40"/>
      </w:pPr>
      <w:r>
        <w:rPr>
          <w:rFonts w:ascii="Arial" w:cs="Arial" w:eastAsia="Arial" w:hAnsi="Arial"/>
          <w:sz w:val="22"/>
          <w:szCs w:val="22"/>
        </w:rPr>
        <w:t xml:space="preserve">Restricted-action eligibility</w:t>
      </w:r>
    </w:p>
    <w:p>
      <w:pPr>
        <w:spacing w:after="80" w:before="0"/>
      </w:pPr>
      <w:r>
        <w:t xml:space="preserve"/>
      </w:r>
    </w:p>
    <w:p>
      <w:pPr>
        <w:spacing w:after="80" w:before="60"/>
      </w:pPr>
      <w:r>
        <w:rPr>
          <w:rFonts w:ascii="Arial" w:cs="Arial" w:eastAsia="Arial" w:hAnsi="Arial"/>
          <w:sz w:val="22"/>
          <w:szCs w:val="22"/>
        </w:rPr>
        <w:t xml:space="preserve">Shared kernel objects that TCM must not rebuild independently include: Firm, Person, User Access Grant, Engagement/Account, Document Intake, Workflow State Machine, and Audit/Retention structures.</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X. INFRASTRUCTURE PRINCIPLES</w:t>
      </w:r>
    </w:p>
    <w:p>
      <w:pPr>
        <w:pStyle w:val="ListParagraph"/>
        <w:numPr>
          <w:ilvl w:val="0"/>
          <w:numId w:val="2"/>
        </w:numPr>
        <w:spacing w:after="40" w:before="40"/>
      </w:pPr>
      <w:r>
        <w:rPr>
          <w:rFonts w:ascii="Arial" w:cs="Arial" w:eastAsia="Arial" w:hAnsi="Arial"/>
          <w:sz w:val="22"/>
          <w:szCs w:val="22"/>
        </w:rPr>
        <w:t xml:space="preserve">TCM operates on a dedicated AWS account — not shared with TCN or TCA.</w:t>
      </w:r>
    </w:p>
    <w:p>
      <w:pPr>
        <w:pStyle w:val="ListParagraph"/>
        <w:numPr>
          <w:ilvl w:val="0"/>
          <w:numId w:val="2"/>
        </w:numPr>
        <w:spacing w:after="40" w:before="40"/>
      </w:pPr>
      <w:r>
        <w:rPr>
          <w:rFonts w:ascii="Arial" w:cs="Arial" w:eastAsia="Arial" w:hAnsi="Arial"/>
          <w:sz w:val="22"/>
          <w:szCs w:val="22"/>
        </w:rPr>
        <w:t xml:space="preserve">The current GoDaddy VPS is transitional/staging infrastructure only. It may not host production data, production credentials, or production APIs.</w:t>
      </w:r>
    </w:p>
    <w:p>
      <w:pPr>
        <w:pStyle w:val="ListParagraph"/>
        <w:numPr>
          <w:ilvl w:val="0"/>
          <w:numId w:val="2"/>
        </w:numPr>
        <w:spacing w:after="40" w:before="40"/>
      </w:pPr>
      <w:r>
        <w:rPr>
          <w:rFonts w:ascii="Arial" w:cs="Arial" w:eastAsia="Arial" w:hAnsi="Arial"/>
          <w:sz w:val="22"/>
          <w:szCs w:val="22"/>
        </w:rPr>
        <w:t xml:space="preserve">Production infrastructure requires managed PostgreSQL, managed container cluster (EKS), CloudHSM for signing key material, and Secrets Manager for all credentials.</w:t>
      </w:r>
    </w:p>
    <w:p>
      <w:pPr>
        <w:pStyle w:val="ListParagraph"/>
        <w:numPr>
          <w:ilvl w:val="0"/>
          <w:numId w:val="2"/>
        </w:numPr>
        <w:spacing w:after="40" w:before="40"/>
      </w:pPr>
      <w:r>
        <w:rPr>
          <w:rFonts w:ascii="Arial" w:cs="Arial" w:eastAsia="Arial" w:hAnsi="Arial"/>
          <w:sz w:val="22"/>
          <w:szCs w:val="22"/>
        </w:rPr>
        <w:t xml:space="preserve">Three logically and physically separate environments: Development (synthetic data only), Staging (real KYC test credentials permitted; no live participant PII), Production (real PII in identity vault only; pseudonymous everywhere else).</w:t>
      </w:r>
    </w:p>
    <w:p>
      <w:pPr>
        <w:pStyle w:val="ListParagraph"/>
        <w:numPr>
          <w:ilvl w:val="0"/>
          <w:numId w:val="2"/>
        </w:numPr>
        <w:spacing w:after="40" w:before="40"/>
      </w:pPr>
      <w:r>
        <w:rPr>
          <w:rFonts w:ascii="Arial" w:cs="Arial" w:eastAsia="Arial" w:hAnsi="Arial"/>
          <w:sz w:val="22"/>
          <w:szCs w:val="22"/>
        </w:rPr>
        <w:t xml:space="preserve">No data flows between environments. Separate AWS accounts enforce this at the infrastructure level.</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XI. NON-WAIVABLE REQUIREMENTS</w:t>
      </w:r>
    </w:p>
    <w:p>
      <w:pPr>
        <w:spacing w:after="80" w:before="60"/>
      </w:pPr>
      <w:r>
        <w:rPr>
          <w:rFonts w:ascii="Arial" w:cs="Arial" w:eastAsia="Arial" w:hAnsi="Arial"/>
          <w:b/>
          <w:bCs/>
          <w:sz w:val="22"/>
          <w:szCs w:val="22"/>
        </w:rPr>
        <w:t xml:space="preserve">The following requirements apply to TCM and are non-waivable. No exception process is available.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Patent Consistency — TCM-TOKEN-STATE-005</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Token State Update API shall not be deployed to production until Legal/Compliance issues written confirmation of patent consistency with the TokenCap Token patent.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High/Critical Security Findings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API may be deployed to production with unresolved High or Critical security findings from pre-production testing.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Credential Verification API — Critical Classification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TCM-CRED-VERIFY-002 must be independently penetration tested before initial production deployment and no less than annually thereafter.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Fail-Closed Architecture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TCM unavailability, TCN must deny all participant access. TCM must maintain tested failover procedures co-validated with the TCN Technology Lead.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 Sharing of Infrastructure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TCM's AWS account, databases, and signing infrastructure must never be shared with TCN or TCA.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Intercompany Agreements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inter-entity data exchange may commence until the relevant intercompany data access agreement is fully executed.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Token Characterization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TCT must contain no economic rights, no profit linkage, no price discovery mechanisms, and no linkage to venture economics.</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XII. GOVERNANCE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Charter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Managing Member, 2678 Holdings LLC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Policy Owner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Chief Technology Officer / Technology &amp; Governance Function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Review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minimum. Immediate review triggered by: material change to business or entity structure; significant API security incident; material regulatory change; patent non-provisional filing (by May 2027).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Amendment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Managing Member approval required for all amendments.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Subordinate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TCM foundational documents (TCM-CHARTER-001 through TCM-BUILD-009) are subordinate to this Charter and must be consistent with it.</w:t>
            </w:r>
          </w:p>
        </w:tc>
      </w:tr>
    </w:tbl>
    <w:p>
      <w:pPr>
        <w:spacing w:after="80" w:before="0"/>
      </w:pPr>
      <w:r>
        <w:t xml:space="preserve"/>
      </w:r>
    </w:p>
    <w:p>
      <w:pPr>
        <w:pBdr>
          <w:top w:val="single" w:color="2E75B6" w:sz="4" w:space="1"/>
        </w:pBdr>
        <w:spacing w:after="60" w:before="240"/>
      </w:pPr>
      <w:r>
        <w:rPr>
          <w:rFonts w:ascii="Arial" w:cs="Arial" w:eastAsia="Arial" w:hAnsi="Arial"/>
          <w:i/>
          <w:iCs/>
          <w:color w:val="808080"/>
          <w:sz w:val="18"/>
          <w:szCs w:val="18"/>
        </w:rPr>
        <w:t xml:space="preserve">2678 Holdings LLC  |  TokenCap Miner LLC  |  TCM-CHARTER-001 v1.0  |  June 2026  |  PRIVILEGED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2026-06-04T03:51:03.094Z</dcterms:created>
  <dcterms:modified xsi:type="dcterms:W3CDTF">2026-06-04T03:51:03.094Z</dcterms:modified>
</cp:coreProperties>
</file>

<file path=docProps/custom.xml><?xml version="1.0" encoding="utf-8"?>
<Properties xmlns="http://schemas.openxmlformats.org/officeDocument/2006/custom-properties" xmlns:vt="http://schemas.openxmlformats.org/officeDocument/2006/docPropsVTypes"/>
</file>