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COMPLIANCE CONTROL MANUAL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TCM-COMPLIANCE-002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PURPOSE</w:t>
      </w:r>
    </w:p>
    <w:p>
      <w:pPr>
        <w:spacing w:after="80" w:before="60"/>
      </w:pPr>
      <w:r>
        <w:rPr>
          <w:rFonts w:ascii="Arial" w:cs="Arial" w:eastAsia="Arial" w:hAnsi="Arial"/>
          <w:sz w:val="22"/>
          <w:szCs w:val="22"/>
        </w:rPr>
        <w:t xml:space="preserve">This manual operationalises the five TCM-specific regulatory controls established in the 2678 Regulatory Control Framework. It translates policy into enforceable operating procedures that TCM engineering, compliance, and governance personnel must follow. Compliance with this manual is mandatory.</w:t>
      </w:r>
    </w:p>
    <w:p>
      <w:pPr>
        <w:spacing w:after="80" w:before="60"/>
      </w:pPr>
      <w:r>
        <w:rPr>
          <w:rFonts w:ascii="Arial" w:cs="Arial" w:eastAsia="Arial" w:hAnsi="Arial"/>
          <w:sz w:val="22"/>
          <w:szCs w:val="22"/>
        </w:rPr>
        <w:t xml:space="preserve">Every control in this manual is tied to code, an API, a database constraint, a UI rule, and an audit mechanism. A control that does not appear in this matrix does not exist operationally.</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TCM CONTROL 1 —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Anonymous or fraudulent users obtaining credentials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Regulator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FinCEN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Mandatory KYC verification before any token is issued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KYC Vendor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JPMorgan Chase (production) | Persona sandbox (dev/staging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JPMorgan Chase confirmed by MRB — May 29, 2026</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2.1  System Requirements</w:t>
      </w:r>
    </w:p>
    <w:p>
      <w:pPr>
        <w:pStyle w:val="ListParagraph"/>
        <w:numPr>
          <w:ilvl w:val="0"/>
          <w:numId w:val="2"/>
        </w:numPr>
        <w:spacing w:after="40" w:before="40"/>
      </w:pPr>
      <w:r>
        <w:rPr>
          <w:rFonts w:ascii="Arial" w:cs="Arial" w:eastAsia="Arial" w:hAnsi="Arial"/>
          <w:sz w:val="22"/>
          <w:szCs w:val="22"/>
        </w:rPr>
        <w:t xml:space="preserve">No token may be issued without a completed, Verified KYC result from JPMorgan Chase.</w:t>
      </w:r>
    </w:p>
    <w:p>
      <w:pPr>
        <w:pStyle w:val="ListParagraph"/>
        <w:numPr>
          <w:ilvl w:val="0"/>
          <w:numId w:val="2"/>
        </w:numPr>
        <w:spacing w:after="40" w:before="40"/>
      </w:pPr>
      <w:r>
        <w:rPr>
          <w:rFonts w:ascii="Arial" w:cs="Arial" w:eastAsia="Arial" w:hAnsi="Arial"/>
          <w:sz w:val="22"/>
          <w:szCs w:val="22"/>
        </w:rPr>
        <w:t xml:space="preserve">identity_status field must equal 'VERIFIED' before the issuance API gate passes.</w:t>
      </w:r>
    </w:p>
    <w:p>
      <w:pPr>
        <w:pStyle w:val="ListParagraph"/>
        <w:numPr>
          <w:ilvl w:val="0"/>
          <w:numId w:val="2"/>
        </w:numPr>
        <w:spacing w:after="40" w:before="40"/>
      </w:pPr>
      <w:r>
        <w:rPr>
          <w:rFonts w:ascii="Arial" w:cs="Arial" w:eastAsia="Arial" w:hAnsi="Arial"/>
          <w:sz w:val="22"/>
          <w:szCs w:val="22"/>
        </w:rPr>
        <w:t xml:space="preserve">JPMorgan Chase returns: Verified | Failed | Restricted + jurisdiction_code.</w:t>
      </w:r>
    </w:p>
    <w:p>
      <w:pPr>
        <w:pStyle w:val="ListParagraph"/>
        <w:numPr>
          <w:ilvl w:val="0"/>
          <w:numId w:val="2"/>
        </w:numPr>
        <w:spacing w:after="40" w:before="40"/>
      </w:pPr>
      <w:r>
        <w:rPr>
          <w:rFonts w:ascii="Arial" w:cs="Arial" w:eastAsia="Arial" w:hAnsi="Arial"/>
          <w:sz w:val="22"/>
          <w:szCs w:val="22"/>
        </w:rPr>
        <w:t xml:space="preserve">KYC service is a separate internal module. The Token Engine calls the KYC interface, not JPM directly. This allows vendor swap without touching Engine code.</w:t>
      </w:r>
    </w:p>
    <w:p>
      <w:pPr>
        <w:pStyle w:val="ListParagraph"/>
        <w:numPr>
          <w:ilvl w:val="0"/>
          <w:numId w:val="2"/>
        </w:numPr>
        <w:spacing w:after="40" w:before="40"/>
      </w:pPr>
      <w:r>
        <w:rPr>
          <w:rFonts w:ascii="Arial" w:cs="Arial" w:eastAsia="Arial" w:hAnsi="Arial"/>
          <w:sz w:val="22"/>
          <w:szCs w:val="22"/>
        </w:rPr>
        <w:t xml:space="preserve">Estimated cost: $8/verification + $2,000/month platform fee (pending JPM contract). JPM sales cycle 4–12 weeks — contract must be executed before production launch.</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API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/identity/verify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Initiates KYC verification with JPM. Required fields: applicant identity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 /identity/status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Returns current verification status. identity_status must equal VERIFIED before issuance proceeds.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2.3  Data Constraints</w:t>
      </w:r>
    </w:p>
    <w:p>
      <w:pPr>
        <w:pStyle w:val="ListParagraph"/>
        <w:numPr>
          <w:ilvl w:val="0"/>
          <w:numId w:val="2"/>
        </w:numPr>
        <w:spacing w:after="40" w:before="40"/>
      </w:pPr>
      <w:r>
        <w:rPr>
          <w:rFonts w:ascii="Arial" w:cs="Arial" w:eastAsia="Arial" w:hAnsi="Arial"/>
          <w:sz w:val="22"/>
          <w:szCs w:val="22"/>
        </w:rPr>
        <w:t xml:space="preserve">identity_status must equal 'VERIFIED' before token issuance proceeds.</w:t>
      </w:r>
    </w:p>
    <w:p>
      <w:pPr>
        <w:pStyle w:val="ListParagraph"/>
        <w:numPr>
          <w:ilvl w:val="0"/>
          <w:numId w:val="2"/>
        </w:numPr>
        <w:spacing w:after="40" w:before="40"/>
      </w:pPr>
      <w:r>
        <w:rPr>
          <w:rFonts w:ascii="Arial" w:cs="Arial" w:eastAsia="Arial" w:hAnsi="Arial"/>
          <w:sz w:val="22"/>
          <w:szCs w:val="22"/>
        </w:rPr>
        <w:t xml:space="preserve">All KYC results stored in Identity Vault — isolated PostgreSQL instance, highest security tier.</w:t>
      </w:r>
    </w:p>
    <w:p>
      <w:pPr>
        <w:pStyle w:val="ListParagraph"/>
        <w:numPr>
          <w:ilvl w:val="0"/>
          <w:numId w:val="2"/>
        </w:numPr>
        <w:spacing w:after="40" w:before="40"/>
      </w:pPr>
      <w:r>
        <w:rPr>
          <w:rFonts w:ascii="Arial" w:cs="Arial" w:eastAsia="Arial" w:hAnsi="Arial"/>
          <w:sz w:val="22"/>
          <w:szCs w:val="22"/>
        </w:rPr>
        <w:t xml:space="preserve">No raw PII leaves the Identity Vault. All downstream stores use identity_binding hash (pseudonymous).</w:t>
      </w:r>
    </w:p>
    <w:p>
      <w:pPr>
        <w:pStyle w:val="ListParagraph"/>
        <w:numPr>
          <w:ilvl w:val="0"/>
          <w:numId w:val="2"/>
        </w:numPr>
        <w:spacing w:after="40" w:before="40"/>
      </w:pPr>
      <w:r>
        <w:rPr>
          <w:rFonts w:ascii="Arial" w:cs="Arial" w:eastAsia="Arial" w:hAnsi="Arial"/>
          <w:sz w:val="22"/>
          <w:szCs w:val="22"/>
        </w:rPr>
        <w:t xml:space="preserve">All audit events from KYC verification write to shared append-only audit store with full hash-chain metadata.</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2.4  UI Rules</w:t>
      </w:r>
    </w:p>
    <w:p>
      <w:pPr>
        <w:pStyle w:val="ListParagraph"/>
        <w:numPr>
          <w:ilvl w:val="0"/>
          <w:numId w:val="2"/>
        </w:numPr>
        <w:spacing w:after="40" w:before="40"/>
      </w:pPr>
      <w:r>
        <w:rPr>
          <w:rFonts w:ascii="Arial" w:cs="Arial" w:eastAsia="Arial" w:hAnsi="Arial"/>
          <w:sz w:val="22"/>
          <w:szCs w:val="22"/>
        </w:rPr>
        <w:t xml:space="preserve">Onboarding flow blocks progression until verification is complete.</w:t>
      </w:r>
    </w:p>
    <w:p>
      <w:pPr>
        <w:pStyle w:val="ListParagraph"/>
        <w:numPr>
          <w:ilvl w:val="0"/>
          <w:numId w:val="2"/>
        </w:numPr>
        <w:spacing w:after="40" w:before="40"/>
      </w:pPr>
      <w:r>
        <w:rPr>
          <w:rFonts w:ascii="Arial" w:cs="Arial" w:eastAsia="Arial" w:hAnsi="Arial"/>
          <w:sz w:val="22"/>
          <w:szCs w:val="22"/>
        </w:rPr>
        <w:t xml:space="preserve">'Under Review' state displayed until KYC result received.</w:t>
      </w:r>
    </w:p>
    <w:p>
      <w:pPr>
        <w:pStyle w:val="ListParagraph"/>
        <w:numPr>
          <w:ilvl w:val="0"/>
          <w:numId w:val="2"/>
        </w:numPr>
        <w:spacing w:after="40" w:before="40"/>
      </w:pPr>
      <w:r>
        <w:rPr>
          <w:rFonts w:ascii="Arial" w:cs="Arial" w:eastAsia="Arial" w:hAnsi="Arial"/>
          <w:sz w:val="22"/>
          <w:szCs w:val="22"/>
        </w:rPr>
        <w:t xml:space="preserve">No token display or credential access until VERIFIED status confirmed.</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III. TCM CONTROL 2 — AML / SANCTIONS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Sanctioned or high-risk participants gaining access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Regulator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FinCEN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AML screening, sanctions screening, and PEP checks for all participants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Vendor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JPMorgan Chase (includes AML/OFAC/SDN — confirm scope in contract)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ComplyAdvantage not required if JPM SDN/OFAC coverage is confirmed complete.</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3.1  System Requirements</w:t>
      </w:r>
    </w:p>
    <w:p>
      <w:pPr>
        <w:pStyle w:val="ListParagraph"/>
        <w:numPr>
          <w:ilvl w:val="0"/>
          <w:numId w:val="2"/>
        </w:numPr>
        <w:spacing w:after="40" w:before="40"/>
      </w:pPr>
      <w:r>
        <w:rPr>
          <w:rFonts w:ascii="Arial" w:cs="Arial" w:eastAsia="Arial" w:hAnsi="Arial"/>
          <w:sz w:val="22"/>
          <w:szCs w:val="22"/>
        </w:rPr>
        <w:t xml:space="preserve">All participants must pass AML/sanctions/PEP screening before credential activation.</w:t>
      </w:r>
    </w:p>
    <w:p>
      <w:pPr>
        <w:pStyle w:val="ListParagraph"/>
        <w:numPr>
          <w:ilvl w:val="0"/>
          <w:numId w:val="2"/>
        </w:numPr>
        <w:spacing w:after="40" w:before="40"/>
      </w:pPr>
      <w:r>
        <w:rPr>
          <w:rFonts w:ascii="Arial" w:cs="Arial" w:eastAsia="Arial" w:hAnsi="Arial"/>
          <w:sz w:val="22"/>
          <w:szCs w:val="22"/>
        </w:rPr>
        <w:t xml:space="preserve">compliance_status must equal 'PASS' (Verified) for activation to proceed.</w:t>
      </w:r>
    </w:p>
    <w:p>
      <w:pPr>
        <w:pStyle w:val="ListParagraph"/>
        <w:numPr>
          <w:ilvl w:val="0"/>
          <w:numId w:val="2"/>
        </w:numPr>
        <w:spacing w:after="40" w:before="40"/>
      </w:pPr>
      <w:r>
        <w:rPr>
          <w:rFonts w:ascii="Arial" w:cs="Arial" w:eastAsia="Arial" w:hAnsi="Arial"/>
          <w:sz w:val="22"/>
          <w:szCs w:val="22"/>
        </w:rPr>
        <w:t xml:space="preserve">SDN Kill Switch: if JPM returns a sanctions match at any point post-purchase, REVOCATION_ROLE_TCM immediately revokes credential. Blocked tokens are revoked — not sold, transferred, or priced.</w:t>
      </w:r>
    </w:p>
    <w:p>
      <w:pPr>
        <w:pStyle w:val="ListParagraph"/>
        <w:numPr>
          <w:ilvl w:val="0"/>
          <w:numId w:val="2"/>
        </w:numPr>
        <w:spacing w:after="40" w:before="40"/>
      </w:pPr>
      <w:r>
        <w:rPr>
          <w:rFonts w:ascii="Arial" w:cs="Arial" w:eastAsia="Arial" w:hAnsi="Arial"/>
          <w:sz w:val="22"/>
          <w:szCs w:val="22"/>
        </w:rPr>
        <w:t xml:space="preserve">Constant SDN monitoring is a prerequisite for the Kill Switch to be operable. Verify JPM monitoring coverage in contract.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API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/compliance/screen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Initiates AML/SDN/PEP screening via JPM.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 /compliance/status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Returns screening result. PASS required for activation.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Audit Requirements</w:t>
      </w:r>
    </w:p>
    <w:p>
      <w:pPr>
        <w:pStyle w:val="ListParagraph"/>
        <w:numPr>
          <w:ilvl w:val="0"/>
          <w:numId w:val="2"/>
        </w:numPr>
        <w:spacing w:after="40" w:before="40"/>
      </w:pPr>
      <w:r>
        <w:rPr>
          <w:rFonts w:ascii="Arial" w:cs="Arial" w:eastAsia="Arial" w:hAnsi="Arial"/>
          <w:sz w:val="22"/>
          <w:szCs w:val="22"/>
        </w:rPr>
        <w:t xml:space="preserve">All screening logs write to shared append-only audit store.</w:t>
      </w:r>
    </w:p>
    <w:p>
      <w:pPr>
        <w:pStyle w:val="ListParagraph"/>
        <w:numPr>
          <w:ilvl w:val="0"/>
          <w:numId w:val="2"/>
        </w:numPr>
        <w:spacing w:after="40" w:before="40"/>
      </w:pPr>
      <w:r>
        <w:rPr>
          <w:rFonts w:ascii="Arial" w:cs="Arial" w:eastAsia="Arial" w:hAnsi="Arial"/>
          <w:sz w:val="22"/>
          <w:szCs w:val="22"/>
        </w:rPr>
        <w:t xml:space="preserve">Sanctions events use result_subtype = sanctions_flag in controlled vocabulary.</w:t>
      </w:r>
    </w:p>
    <w:p>
      <w:pPr>
        <w:pStyle w:val="ListParagraph"/>
        <w:numPr>
          <w:ilvl w:val="0"/>
          <w:numId w:val="2"/>
        </w:numPr>
        <w:spacing w:after="40" w:before="40"/>
      </w:pPr>
      <w:r>
        <w:rPr>
          <w:rFonts w:ascii="Arial" w:cs="Arial" w:eastAsia="Arial" w:hAnsi="Arial"/>
          <w:sz w:val="22"/>
          <w:szCs w:val="22"/>
        </w:rPr>
        <w:t xml:space="preserve">SDN Kill Switch invocations are distinguishable from routine revocations in the audit log.</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IV. TCM CONTROL 3 — TOKEN ISSUANCE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Improper token issuance; tokens issued without compliance clearance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Regulator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Issuance only after full compliance clearance; immutable issuance logs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4.1  Six Issuance Gates</w:t>
      </w:r>
    </w:p>
    <w:p>
      <w:pPr>
        <w:pBdr>
          <w:left w:val="single" w:color="2E75B6" w:sz="12" w:space="4"/>
        </w:pBdr>
        <w:spacing w:after="80" w:before="60"/>
        <w:ind w:left="360"/>
      </w:pPr>
      <w:r>
        <w:rPr>
          <w:rFonts w:ascii="Arial" w:cs="Arial" w:eastAsia="Arial" w:hAnsi="Arial"/>
          <w:i/>
          <w:iCs/>
          <w:color w:val="1F3864"/>
          <w:sz w:val="20"/>
          <w:szCs w:val="20"/>
        </w:rPr>
        <w:t xml:space="preserve">Gates 1–5 execute at TCT purchase. Gate 6 (Escrow Gate) executes at project election — a separate, later event. These are temporally distinct.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53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Eligibility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TCT purchase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Applicant fits policy definition for the credential class set by project lister and TCM compliance policy.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TCT purchase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 KYC/AML and sanctions screening complete with Verified result. Returns: Verified | Failed | Restricted + jurisdiction code.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Wallet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 TCT purchase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Wallet established and proven controlled by applicant via signed ownership challenge. ERC-4337 compatible (EIP-1271).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gates 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ISSUER_ROLE mints credential in Pending state. Max 50 tokens per transaction (cohort batch limit). Idempotency key per token_id.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Activation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KYC confirmation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JPM compliance confirmed; ISSUER_ROLE activates. isAuthorized = true. Triggers CredentialActivated event.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Escrow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project election (later)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TCT Owner elects to participate in specific project. Participation agreement accepted. Financial institution sends funds to regulated escrow. Acknowledgment received → TCNWFT minting order generated. Converts TCT Owner to TCT Participant.</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 TCM CONTROL 4 — TOKEN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Continued access by non-compliant, sanctioned, or exited users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lifecycle governance: activation, suspension, revocation, expiry, retirement, re-verification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5.1  Six-State Credential Machine</w:t>
      </w:r>
    </w:p>
    <w:p>
      <w:pPr>
        <w:spacing w:after="80" w:before="60"/>
      </w:pPr>
      <w:r>
        <w:rPr>
          <w:rFonts w:ascii="Arial" w:cs="Arial" w:eastAsia="Arial" w:hAnsi="Arial"/>
          <w:sz w:val="22"/>
          <w:szCs w:val="22"/>
        </w:rPr>
        <w:t xml:space="preserve">The credential status enum has exactly six values: Pending | Active | Suspended | Revoked | Expired | Retired.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2000"/>
        <w:gridCol w:w="3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ISSUER_ROLE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Project-lister mint instruction received. identity_binding bound. network_id recorded.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ISSUER_ROLE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compliance_status = Verified (JPM cleared). isAuthorized = true.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Suspended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REVOCATION_ROLE_TCM or TCN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Compliance event (sanctions, KYC downgrade) or contract breach.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Suspended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REVOCATION_ROLE_TCM or TCN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Underlying condition cleared.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Expired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Time-based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(renewal)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expired_at timestamp reached.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Retired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ISSUER_ROLE or WORKFLOW_ADMIN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Workflow concluded. Token dormant — not destroyed. Fresh KYC required on reactivation.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Any non-Revoked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Revoked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REVOCATION_ROLE_TCM or TCN</w:t>
            </w:r>
          </w:p>
        </w:tc>
        <w:tc>
          <w:tcPr>
            <w:tcW w:type="dxa" w:w="2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18"/>
                <w:szCs w:val="18"/>
              </w:rPr>
              <w:t xml:space="preserve">NO — TERMINAL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Definitive sanctions, fraud, program exit. Token not burned — audit continuity preserved. isAuthorized = false forever.</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Re-Verification Triggers</w:t>
      </w:r>
    </w:p>
    <w:p>
      <w:pPr>
        <w:pStyle w:val="ListParagraph"/>
        <w:numPr>
          <w:ilvl w:val="0"/>
          <w:numId w:val="2"/>
        </w:numPr>
        <w:spacing w:after="40" w:before="40"/>
      </w:pPr>
      <w:r>
        <w:rPr>
          <w:rFonts w:ascii="Arial" w:cs="Arial" w:eastAsia="Arial" w:hAnsi="Arial"/>
          <w:sz w:val="22"/>
          <w:szCs w:val="22"/>
        </w:rPr>
        <w:t xml:space="preserve">Credential expired and participant requests renewal.</w:t>
      </w:r>
    </w:p>
    <w:p>
      <w:pPr>
        <w:pStyle w:val="ListParagraph"/>
        <w:numPr>
          <w:ilvl w:val="0"/>
          <w:numId w:val="2"/>
        </w:numPr>
        <w:spacing w:after="40" w:before="40"/>
      </w:pPr>
      <w:r>
        <w:rPr>
          <w:rFonts w:ascii="Arial" w:cs="Arial" w:eastAsia="Arial" w:hAnsi="Arial"/>
          <w:sz w:val="22"/>
          <w:szCs w:val="22"/>
        </w:rPr>
        <w:t xml:space="preserve">RETIRED credential reactivated for new project (fresh KYC confirmation required before Pending → Active).</w:t>
      </w:r>
    </w:p>
    <w:p>
      <w:pPr>
        <w:pStyle w:val="ListParagraph"/>
        <w:numPr>
          <w:ilvl w:val="0"/>
          <w:numId w:val="2"/>
        </w:numPr>
        <w:spacing w:after="40" w:before="40"/>
      </w:pPr>
      <w:r>
        <w:rPr>
          <w:rFonts w:ascii="Arial" w:cs="Arial" w:eastAsia="Arial" w:hAnsi="Arial"/>
          <w:sz w:val="22"/>
          <w:szCs w:val="22"/>
        </w:rPr>
        <w:t xml:space="preserve">Compliance status downgraded (JPM flags change): COMPLIANCE_ROLE updates compliance_status; REVOCATION_ROLE_TCM evaluates suspension.</w:t>
      </w:r>
    </w:p>
    <w:p>
      <w:pPr>
        <w:pStyle w:val="ListParagraph"/>
        <w:numPr>
          <w:ilvl w:val="0"/>
          <w:numId w:val="2"/>
        </w:numPr>
        <w:spacing w:after="40" w:before="40"/>
      </w:pPr>
      <w:r>
        <w:rPr>
          <w:rFonts w:ascii="Arial" w:cs="Arial" w:eastAsia="Arial" w:hAnsi="Arial"/>
          <w:sz w:val="22"/>
          <w:szCs w:val="22"/>
        </w:rPr>
        <w:t xml:space="preserve">Identity re-verification required by policy after defined period (expiry_policy_months in chain registry — MRB to set before first cohort minted).</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 TCM CONTROL 5 — TOKEN FUNCTION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used as a financial instrument; secondary market; economic rights claim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Regulators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 CFTC, FinCEN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 Objective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Enforce credential-only function at the protocol level</w:t>
            </w:r>
          </w:p>
        </w:tc>
      </w:tr>
    </w:tbl>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All ERC-1155 transfer hooks are overridden to revert: safeTransferFrom, safeBatchTransferFrom, setApprovalForAll. Fuzz-tested — mandatory audit deliverable.</w:t>
      </w:r>
    </w:p>
    <w:p>
      <w:pPr>
        <w:pStyle w:val="ListParagraph"/>
        <w:numPr>
          <w:ilvl w:val="0"/>
          <w:numId w:val="2"/>
        </w:numPr>
        <w:spacing w:after="40" w:before="40"/>
      </w:pPr>
      <w:r>
        <w:rPr>
          <w:rFonts w:ascii="Arial" w:cs="Arial" w:eastAsia="Arial" w:hAnsi="Arial"/>
          <w:sz w:val="22"/>
          <w:szCs w:val="22"/>
        </w:rPr>
        <w:t xml:space="preserve">No pricing, valuation, or secondary market functionality in any TCM system.</w:t>
      </w:r>
    </w:p>
    <w:p>
      <w:pPr>
        <w:pStyle w:val="ListParagraph"/>
        <w:numPr>
          <w:ilvl w:val="0"/>
          <w:numId w:val="2"/>
        </w:numPr>
        <w:spacing w:after="40" w:before="40"/>
      </w:pPr>
      <w:r>
        <w:rPr>
          <w:rFonts w:ascii="Arial" w:cs="Arial" w:eastAsia="Arial" w:hAnsi="Arial"/>
          <w:sz w:val="22"/>
          <w:szCs w:val="22"/>
        </w:rPr>
        <w:t xml:space="preserve">No payment functionality in the token itself. Payment processor handles purchase; token is issued after compliance clearance — these are architecturally separate.</w:t>
      </w:r>
    </w:p>
    <w:p>
      <w:pPr>
        <w:pStyle w:val="ListParagraph"/>
        <w:numPr>
          <w:ilvl w:val="0"/>
          <w:numId w:val="2"/>
        </w:numPr>
        <w:spacing w:after="40" w:before="40"/>
      </w:pPr>
      <w:r>
        <w:rPr>
          <w:rFonts w:ascii="Arial" w:cs="Arial" w:eastAsia="Arial" w:hAnsi="Arial"/>
          <w:sz w:val="22"/>
          <w:szCs w:val="22"/>
        </w:rPr>
        <w:t xml:space="preserve">Blocked/revoked tokens are not sold, transferred, or priced. Revocation is the terminal action.</w:t>
      </w:r>
    </w:p>
    <w:p>
      <w:pPr>
        <w:pStyle w:val="ListParagraph"/>
        <w:numPr>
          <w:ilvl w:val="0"/>
          <w:numId w:val="2"/>
        </w:numPr>
        <w:spacing w:after="40" w:before="40"/>
      </w:pPr>
      <w:r>
        <w:rPr>
          <w:rFonts w:ascii="Arial" w:cs="Arial" w:eastAsia="Arial" w:hAnsi="Arial"/>
          <w:sz w:val="22"/>
          <w:szCs w:val="22"/>
        </w:rPr>
        <w:t xml:space="preserve">Token table contains no financial attributes. No linkage tables between token and venture economics.</w:t>
      </w:r>
    </w:p>
    <w:p>
      <w:pPr>
        <w:pStyle w:val="ListParagraph"/>
        <w:numPr>
          <w:ilvl w:val="0"/>
          <w:numId w:val="2"/>
        </w:numPr>
        <w:spacing w:after="40" w:before="40"/>
      </w:pPr>
      <w:r>
        <w:rPr>
          <w:rFonts w:ascii="Arial" w:cs="Arial" w:eastAsia="Arial" w:hAnsi="Arial"/>
          <w:sz w:val="22"/>
          <w:szCs w:val="22"/>
        </w:rPr>
        <w:t xml:space="preserve">Standard disclaimer UI: 'TokenCap Token is a credential, not a financial instrument.'</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VII. AUDIT REQUIREMENTS — ALL CONTROLS</w:t>
      </w:r>
    </w:p>
    <w:p>
      <w:pPr>
        <w:spacing w:after="80" w:before="60"/>
      </w:pPr>
      <w:r>
        <w:rPr>
          <w:rFonts w:ascii="Arial" w:cs="Arial" w:eastAsia="Arial" w:hAnsi="Arial"/>
          <w:sz w:val="22"/>
          <w:szCs w:val="22"/>
        </w:rPr>
        <w:t xml:space="preserve">All five controls share these audit requirements:</w:t>
      </w:r>
    </w:p>
    <w:p>
      <w:pPr>
        <w:pStyle w:val="ListParagraph"/>
        <w:numPr>
          <w:ilvl w:val="0"/>
          <w:numId w:val="2"/>
        </w:numPr>
        <w:spacing w:after="40" w:before="40"/>
      </w:pPr>
      <w:r>
        <w:rPr>
          <w:rFonts w:ascii="Arial" w:cs="Arial" w:eastAsia="Arial" w:hAnsi="Arial"/>
          <w:sz w:val="22"/>
          <w:szCs w:val="22"/>
        </w:rPr>
        <w:t xml:space="preserve">Every control event writes to the shared append-only audit store using the full hash-chain schema (audit_event_id, actor_type, actor_id, action, object_type, object_id, before_hash, after_hash, metadata, event_time, chain_prev_hash, chain_hash).</w:t>
      </w:r>
    </w:p>
    <w:p>
      <w:pPr>
        <w:pStyle w:val="ListParagraph"/>
        <w:numPr>
          <w:ilvl w:val="0"/>
          <w:numId w:val="2"/>
        </w:numPr>
        <w:spacing w:after="40" w:before="40"/>
      </w:pPr>
      <w:r>
        <w:rPr>
          <w:rFonts w:ascii="Arial" w:cs="Arial" w:eastAsia="Arial" w:hAnsi="Arial"/>
          <w:sz w:val="22"/>
          <w:szCs w:val="22"/>
        </w:rPr>
        <w:t xml:space="preserve">Audit log minimum retention: 7 years (Rule 17a-4 equivalent).</w:t>
      </w:r>
    </w:p>
    <w:p>
      <w:pPr>
        <w:pStyle w:val="ListParagraph"/>
        <w:numPr>
          <w:ilvl w:val="0"/>
          <w:numId w:val="2"/>
        </w:numPr>
        <w:spacing w:after="40" w:before="40"/>
      </w:pPr>
      <w:r>
        <w:rPr>
          <w:rFonts w:ascii="Arial" w:cs="Arial" w:eastAsia="Arial" w:hAnsi="Arial"/>
          <w:sz w:val="22"/>
          <w:szCs w:val="22"/>
        </w:rPr>
        <w:t xml:space="preserve">Quarterly internal review of all five controls. Annual external review recommended.</w:t>
      </w:r>
    </w:p>
    <w:p>
      <w:pPr>
        <w:pStyle w:val="ListParagraph"/>
        <w:numPr>
          <w:ilvl w:val="0"/>
          <w:numId w:val="2"/>
        </w:numPr>
        <w:spacing w:after="40" w:before="40"/>
      </w:pPr>
      <w:r>
        <w:rPr>
          <w:rFonts w:ascii="Arial" w:cs="Arial" w:eastAsia="Arial" w:hAnsi="Arial"/>
          <w:sz w:val="22"/>
          <w:szCs w:val="22"/>
        </w:rPr>
        <w:t xml:space="preserve">Mirror-vs-chain reconciliation: every 5 minutes. Divergence = Sev-1 PagerDuty alert.</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VIII. CONTROL OWNERSHIP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Review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Control 1 — Identity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Compliance + Engineering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Control 2 — AML/Sanctions Screening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Compliance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Control 3 — Token Issuance Governance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TCM Engineering + Compliance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Control 4 — Token Lifecycle Management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Compliance + Engineering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Control 5 — Token Function Enforcement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CTO + Legal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 at every contract change</w:t>
            </w:r>
          </w:p>
        </w:tc>
      </w:tr>
    </w:tbl>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TCM-COMPLIANCE-002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2026-06-04T04:00:28.065Z</dcterms:created>
  <dcterms:modified xsi:type="dcterms:W3CDTF">2026-06-04T04:00:28.077Z</dcterms:modified>
</cp:coreProperties>
</file>

<file path=docProps/custom.xml><?xml version="1.0" encoding="utf-8"?>
<Properties xmlns="http://schemas.openxmlformats.org/officeDocument/2006/custom-properties" xmlns:vt="http://schemas.openxmlformats.org/officeDocument/2006/docPropsVTypes"/>
</file>