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2678 HOLDINGS LLC</w:t>
      </w:r>
    </w:p>
    <w:p>
      <w:pPr>
        <w:spacing w:after="60" w:before="0"/>
      </w:pPr>
      <w:r>
        <w:rPr>
          <w:rFonts w:ascii="Arial" w:cs="Arial" w:eastAsia="Arial" w:hAnsi="Arial"/>
          <w:b/>
          <w:bCs/>
          <w:color w:val="2E75B6"/>
          <w:sz w:val="36"/>
          <w:szCs w:val="36"/>
        </w:rPr>
        <w:t xml:space="preserve">TokenCap Miner LLC (TCM)</w:t>
      </w:r>
    </w:p>
    <w:p>
      <w:pPr>
        <w:pBdr>
          <w:bottom w:val="single" w:color="2E75B6" w:sz="6" w:space="1"/>
        </w:pBdr>
        <w:spacing w:after="360" w:before="0"/>
      </w:pPr>
      <w:r>
        <w:rPr>
          <w:rFonts w:ascii="Arial" w:cs="Arial" w:eastAsia="Arial" w:hAnsi="Arial"/>
          <w:b/>
          <w:bCs/>
          <w:color w:val="404040"/>
          <w:sz w:val="32"/>
          <w:szCs w:val="32"/>
        </w:rPr>
        <w:t xml:space="preserve">TOKEN CHARACTERIZATION POLICY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TCM-TOKEN-CHAR-003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Governing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Policy No. 2678-POL-API-001 v1.1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Legal 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 upon material regulatory development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Regulators Addressed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 CFTC, FinCEN, FTC</w:t>
            </w:r>
          </w:p>
        </w:tc>
      </w:tr>
    </w:tbl>
    <w:p>
      <w:pPr>
        <w:spacing w:after="80" w:before="0"/>
      </w:pPr>
      <w:r>
        <w:t xml:space="preserve"/>
      </w:r>
    </w:p>
    <w:p>
      <w:pPr>
        <w:spacing w:after="300" w:before="60"/>
      </w:pPr>
      <w:r>
        <w:rPr>
          <w:rFonts w:ascii="Arial" w:cs="Arial" w:eastAsia="Arial" w:hAnsi="Arial"/>
          <w:i/>
          <w:iCs/>
          <w:color w:val="808080"/>
          <w:sz w:val="18"/>
          <w:szCs w:val="18"/>
        </w:rPr>
        <w:t xml:space="preserve">PRIVILEGED &amp; CONFIDENTIAL  |  INTERNAL USE ONLY  |  2678 Holdings LLC</w:t>
      </w:r>
    </w:p>
    <w:p>
      <w:r>
        <w:br w:type="page"/>
      </w:r>
    </w:p>
    <w:p>
      <w:pPr>
        <w:pStyle w:val="Heading1"/>
        <w:spacing w:after="120" w:before="360"/>
      </w:pPr>
      <w:r>
        <w:rPr>
          <w:rFonts w:ascii="Arial" w:cs="Arial" w:eastAsia="Arial" w:hAnsi="Arial"/>
          <w:b/>
          <w:bCs/>
          <w:color w:val="1F3864"/>
          <w:sz w:val="32"/>
          <w:szCs w:val="32"/>
        </w:rPr>
        <w:t xml:space="preserve">I. PURPOSE &amp; LEGAL SIGNIFICANCE</w:t>
      </w:r>
    </w:p>
    <w:p>
      <w:pPr>
        <w:spacing w:after="80" w:before="60"/>
      </w:pPr>
      <w:r>
        <w:rPr>
          <w:rFonts w:ascii="Arial" w:cs="Arial" w:eastAsia="Arial" w:hAnsi="Arial"/>
          <w:sz w:val="22"/>
          <w:szCs w:val="22"/>
        </w:rPr>
        <w:t xml:space="preserve">This Policy establishes the legally defensible characterization of the TokenCap Token (TCT). It is a standalone compliance document that must be reviewed by Legal/Compliance annually and upon any material change to the token design, business model, or regulatory environment.</w:t>
      </w:r>
    </w:p>
    <w:p>
      <w:pPr>
        <w:spacing w:after="80" w:before="60"/>
      </w:pPr>
      <w:r>
        <w:rPr>
          <w:rFonts w:ascii="Arial" w:cs="Arial" w:eastAsia="Arial" w:hAnsi="Arial"/>
          <w:sz w:val="22"/>
          <w:szCs w:val="22"/>
        </w:rPr>
        <w:t xml:space="preserve">The characterization set out in this Policy is the basis for the 2678 ecosystem's regulatory defensibility. Every engineering decision, API design, UI element, and marketing communication must be consistent with this Policy.</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 GOVERNING PRINCIPLE</w:t>
      </w:r>
    </w:p>
    <w:p>
      <w:pPr>
        <w:pBdr>
          <w:left w:val="single" w:color="2E75B6" w:sz="12" w:space="4"/>
        </w:pBdr>
        <w:spacing w:after="80" w:before="60"/>
        <w:ind w:left="360"/>
      </w:pPr>
      <w:r>
        <w:rPr>
          <w:rFonts w:ascii="Arial" w:cs="Arial" w:eastAsia="Arial" w:hAnsi="Arial"/>
          <w:i/>
          <w:iCs/>
          <w:color w:val="1F3864"/>
          <w:sz w:val="20"/>
          <w:szCs w:val="20"/>
        </w:rPr>
        <w:t xml:space="preserve">The TokenCap Token is a permissioned digital credential. It authenticates and reports. It does not determine, calculate, settle, or represent economic outcomes. All economic participation arises exclusively from separate contractual arrangements outside the token system.</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III. WHAT THE TCT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Token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Permissioned digital credential. Credential class 0x0001 in v1.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ERC-1155 with all transfer hooks disabled + ERC-5192 soulbound marker interface.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Authenticates participant identity; reports on off-chain and on-chain outcomes determined by external authorities. Does not determine any outcome itself.</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Non-Transferability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Transfer hooks overridden to revert all transfers except mint and burn. Identity-bound to one wallet. One binding per identity.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Lifecycle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Six states: Pending | Active | Suspended | Revoked | Expired | Retired. All transitions logged immutably.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Authentication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Serves as the technical API authentication key for TCN's token-gated access system. Credential status changes propagate immediately to the API auth layer.</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IV. WHAT THE TCT IS NOT</w:t>
      </w:r>
    </w:p>
    <w:p>
      <w:pPr>
        <w:spacing w:after="80" w:before="60"/>
      </w:pPr>
      <w:r>
        <w:rPr>
          <w:rFonts w:ascii="Arial" w:cs="Arial" w:eastAsia="Arial" w:hAnsi="Arial"/>
          <w:b/>
          <w:bCs/>
          <w:sz w:val="22"/>
          <w:szCs w:val="22"/>
        </w:rPr>
        <w:t xml:space="preserve">The following characterizations are PROHIBITED and must never appear in any TCM system, API, UI, marketing, or legal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Prohibited Characterization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Prohibited</w:t>
            </w:r>
          </w:p>
        </w:tc>
      </w:tr>
      <w:tr>
        <w:tc>
          <w:tcPr>
            <w:tcW w:type="dxa" w:w="3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20"/>
                <w:szCs w:val="20"/>
              </w:rPr>
              <w:t xml:space="preserve">Security or investment contract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TCT confers no economic rights, no profit participation, no dividends, and no claim on venture outcomes. Howey test does not apply.</w:t>
            </w:r>
          </w:p>
        </w:tc>
      </w:tr>
      <w:tr>
        <w:tc>
          <w:tcPr>
            <w:tcW w:type="dxa" w:w="3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20"/>
                <w:szCs w:val="20"/>
              </w:rPr>
              <w:t xml:space="preserve">Commodity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TCT has no price discovery mechanism, no spot or futures market, and no commodity-like deliverable.</w:t>
            </w:r>
          </w:p>
        </w:tc>
      </w:tr>
      <w:tr>
        <w:tc>
          <w:tcPr>
            <w:tcW w:type="dxa" w:w="3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20"/>
                <w:szCs w:val="20"/>
              </w:rPr>
              <w:t xml:space="preserve">Asset with monetary value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TCT cannot be sold, transferred, or priced on a secondary market. Blocked/revoked tokens are cancelled, not sold.</w:t>
            </w:r>
          </w:p>
        </w:tc>
      </w:tr>
      <w:tr>
        <w:tc>
          <w:tcPr>
            <w:tcW w:type="dxa" w:w="3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20"/>
                <w:szCs w:val="20"/>
              </w:rPr>
              <w:t xml:space="preserve">Financial instrument of any kind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field in any TCM store represents value, yield, allocation, or financial return.</w:t>
            </w:r>
          </w:p>
        </w:tc>
      </w:tr>
      <w:tr>
        <w:tc>
          <w:tcPr>
            <w:tcW w:type="dxa" w:w="3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20"/>
                <w:szCs w:val="20"/>
              </w:rPr>
              <w:t xml:space="preserve">Investment product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TCM API or UI references 'returns,' 'yield,' 'investment,' or 'price.'</w:t>
            </w:r>
          </w:p>
        </w:tc>
      </w:tr>
      <w:tr>
        <w:tc>
          <w:tcPr>
            <w:tcW w:type="dxa" w:w="3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20"/>
                <w:szCs w:val="20"/>
              </w:rPr>
              <w:t xml:space="preserve">Transferable property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is disabled at the protocol level. Identity binding is immutable. One credential per identity per wallet.</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 ARCHITECTURAL ENFORCEMENT</w:t>
      </w:r>
    </w:p>
    <w:p>
      <w:pPr>
        <w:spacing w:after="80" w:before="60"/>
      </w:pPr>
      <w:r>
        <w:rPr>
          <w:rFonts w:ascii="Arial" w:cs="Arial" w:eastAsia="Arial" w:hAnsi="Arial"/>
          <w:b/>
          <w:bCs/>
          <w:sz w:val="22"/>
          <w:szCs w:val="22"/>
        </w:rPr>
        <w:t xml:space="preserve">This Policy is enforced in code, not policy alone. Each architectural control listed below is mandatory.</w:t>
      </w:r>
    </w:p>
    <w:p>
      <w:pPr>
        <w:pStyle w:val="ListParagraph"/>
        <w:numPr>
          <w:ilvl w:val="0"/>
          <w:numId w:val="2"/>
        </w:numPr>
        <w:spacing w:after="40" w:before="40"/>
      </w:pPr>
      <w:r>
        <w:rPr>
          <w:rFonts w:ascii="Arial" w:cs="Arial" w:eastAsia="Arial" w:hAnsi="Arial"/>
          <w:sz w:val="22"/>
          <w:szCs w:val="22"/>
        </w:rPr>
        <w:t xml:space="preserve">Token table contains no financial attributes and no linkage tables to venture economics.</w:t>
      </w:r>
    </w:p>
    <w:p>
      <w:pPr>
        <w:pStyle w:val="ListParagraph"/>
        <w:numPr>
          <w:ilvl w:val="0"/>
          <w:numId w:val="2"/>
        </w:numPr>
        <w:spacing w:after="40" w:before="40"/>
      </w:pPr>
      <w:r>
        <w:rPr>
          <w:rFonts w:ascii="Arial" w:cs="Arial" w:eastAsia="Arial" w:hAnsi="Arial"/>
          <w:sz w:val="22"/>
          <w:szCs w:val="22"/>
        </w:rPr>
        <w:t xml:space="preserve">No pricing endpoints exist on any TCM API.</w:t>
      </w:r>
    </w:p>
    <w:p>
      <w:pPr>
        <w:pStyle w:val="ListParagraph"/>
        <w:numPr>
          <w:ilvl w:val="0"/>
          <w:numId w:val="2"/>
        </w:numPr>
        <w:spacing w:after="40" w:before="40"/>
      </w:pPr>
      <w:r>
        <w:rPr>
          <w:rFonts w:ascii="Arial" w:cs="Arial" w:eastAsia="Arial" w:hAnsi="Arial"/>
          <w:sz w:val="22"/>
          <w:szCs w:val="22"/>
        </w:rPr>
        <w:t xml:space="preserve">POST /token/issue returns a credential object only — no financial data.</w:t>
      </w:r>
    </w:p>
    <w:p>
      <w:pPr>
        <w:pStyle w:val="ListParagraph"/>
        <w:numPr>
          <w:ilvl w:val="0"/>
          <w:numId w:val="2"/>
        </w:numPr>
        <w:spacing w:after="40" w:before="40"/>
      </w:pPr>
      <w:r>
        <w:rPr>
          <w:rFonts w:ascii="Arial" w:cs="Arial" w:eastAsia="Arial" w:hAnsi="Arial"/>
          <w:sz w:val="22"/>
          <w:szCs w:val="22"/>
        </w:rPr>
        <w:t xml:space="preserve">No transfer endpoint exists. POST /token/validate-owner is the only ownership-related endpoint.</w:t>
      </w:r>
    </w:p>
    <w:p>
      <w:pPr>
        <w:pStyle w:val="ListParagraph"/>
        <w:numPr>
          <w:ilvl w:val="0"/>
          <w:numId w:val="2"/>
        </w:numPr>
        <w:spacing w:after="40" w:before="40"/>
      </w:pPr>
      <w:r>
        <w:rPr>
          <w:rFonts w:ascii="Arial" w:cs="Arial" w:eastAsia="Arial" w:hAnsi="Arial"/>
          <w:sz w:val="22"/>
          <w:szCs w:val="22"/>
        </w:rPr>
        <w:t xml:space="preserve">Automated schema scan for prohibited fields on every deployment.</w:t>
      </w:r>
    </w:p>
    <w:p>
      <w:pPr>
        <w:pStyle w:val="ListParagraph"/>
        <w:numPr>
          <w:ilvl w:val="0"/>
          <w:numId w:val="2"/>
        </w:numPr>
        <w:spacing w:after="40" w:before="40"/>
      </w:pPr>
      <w:r>
        <w:rPr>
          <w:rFonts w:ascii="Arial" w:cs="Arial" w:eastAsia="Arial" w:hAnsi="Arial"/>
          <w:sz w:val="22"/>
          <w:szCs w:val="22"/>
        </w:rPr>
        <w:t xml:space="preserve">Standard disclaimer banner in all participant-facing UI: 'TokenCap Token is a credential, not a financial instrument.'</w:t>
      </w:r>
    </w:p>
    <w:p>
      <w:pPr>
        <w:pStyle w:val="ListParagraph"/>
        <w:numPr>
          <w:ilvl w:val="0"/>
          <w:numId w:val="2"/>
        </w:numPr>
        <w:spacing w:after="40" w:before="40"/>
      </w:pPr>
      <w:r>
        <w:rPr>
          <w:rFonts w:ascii="Arial" w:cs="Arial" w:eastAsia="Arial" w:hAnsi="Arial"/>
          <w:sz w:val="22"/>
          <w:szCs w:val="22"/>
        </w:rPr>
        <w:t xml:space="preserve">All content publication requires compliance flag approval before deployment (POST /content/publish).</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 ECONOMIC SEPARATION PRINCIPLE</w:t>
      </w:r>
    </w:p>
    <w:p>
      <w:pPr>
        <w:spacing w:after="80" w:before="60"/>
      </w:pPr>
      <w:r>
        <w:rPr>
          <w:rFonts w:ascii="Arial" w:cs="Arial" w:eastAsia="Arial" w:hAnsi="Arial"/>
          <w:sz w:val="22"/>
          <w:szCs w:val="22"/>
        </w:rPr>
        <w:t xml:space="preserve">The TCT is not required or sufficient to participate economically in any 2678 venture. Economic rights arise only from separate contractual arrangements:</w:t>
      </w:r>
    </w:p>
    <w:p>
      <w:pPr>
        <w:pStyle w:val="ListParagraph"/>
        <w:numPr>
          <w:ilvl w:val="0"/>
          <w:numId w:val="2"/>
        </w:numPr>
        <w:spacing w:after="40" w:before="40"/>
      </w:pPr>
      <w:r>
        <w:rPr>
          <w:rFonts w:ascii="Arial" w:cs="Arial" w:eastAsia="Arial" w:hAnsi="Arial"/>
          <w:sz w:val="22"/>
          <w:szCs w:val="22"/>
        </w:rPr>
        <w:t xml:space="preserve">Gates 1–5 (purchase and activation): TCT Owner status. Access to TCN platform only.</w:t>
      </w:r>
    </w:p>
    <w:p>
      <w:pPr>
        <w:pStyle w:val="ListParagraph"/>
        <w:numPr>
          <w:ilvl w:val="0"/>
          <w:numId w:val="2"/>
        </w:numPr>
        <w:spacing w:after="40" w:before="40"/>
      </w:pPr>
      <w:r>
        <w:rPr>
          <w:rFonts w:ascii="Arial" w:cs="Arial" w:eastAsia="Arial" w:hAnsi="Arial"/>
          <w:sz w:val="22"/>
          <w:szCs w:val="22"/>
        </w:rPr>
        <w:t xml:space="preserve">Gate 6 (escrow gate): requires off-chain funds confirmation. Creates TCT Participant status. Executed through a financial institution — not through TCM or the token.</w:t>
      </w:r>
    </w:p>
    <w:p>
      <w:pPr>
        <w:pStyle w:val="ListParagraph"/>
        <w:numPr>
          <w:ilvl w:val="0"/>
          <w:numId w:val="2"/>
        </w:numPr>
        <w:spacing w:after="40" w:before="40"/>
      </w:pPr>
      <w:r>
        <w:rPr>
          <w:rFonts w:ascii="Arial" w:cs="Arial" w:eastAsia="Arial" w:hAnsi="Arial"/>
          <w:sz w:val="22"/>
          <w:szCs w:val="22"/>
        </w:rPr>
        <w:t xml:space="preserve">Legal entity formation: a subsequent, separate off-chain activity. Not required to become a TCT Participant.</w:t>
      </w:r>
    </w:p>
    <w:p>
      <w:pPr>
        <w:pBdr>
          <w:left w:val="single" w:color="2E75B6" w:sz="12" w:space="4"/>
        </w:pBdr>
        <w:spacing w:after="80" w:before="60"/>
        <w:ind w:left="360"/>
      </w:pPr>
      <w:r>
        <w:rPr>
          <w:rFonts w:ascii="Arial" w:cs="Arial" w:eastAsia="Arial" w:hAnsi="Arial"/>
          <w:i/>
          <w:iCs/>
          <w:color w:val="1F3864"/>
          <w:sz w:val="20"/>
          <w:szCs w:val="20"/>
        </w:rPr>
        <w:t xml:space="preserve">No foreign key exists from the token to any venture entity. The contract database is separate from the token registry. This separation is structural — it is enforced in the database schema, not just in policy.</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VII. REPORTER — NOT DETERMINER</w:t>
      </w:r>
    </w:p>
    <w:p>
      <w:pPr>
        <w:spacing w:after="80" w:before="60"/>
      </w:pPr>
      <w:r>
        <w:rPr>
          <w:rFonts w:ascii="Arial" w:cs="Arial" w:eastAsia="Arial" w:hAnsi="Arial"/>
          <w:sz w:val="22"/>
          <w:szCs w:val="22"/>
        </w:rPr>
        <w:t xml:space="preserve">The TCT reports on outcomes determined by external authorities. It does not make, calculate, or settle those determinations. This is the operative distinction:</w:t>
      </w:r>
    </w:p>
    <w:p>
      <w:pPr>
        <w:pStyle w:val="ListParagraph"/>
        <w:numPr>
          <w:ilvl w:val="0"/>
          <w:numId w:val="2"/>
        </w:numPr>
        <w:spacing w:after="40" w:before="40"/>
      </w:pPr>
      <w:r>
        <w:rPr>
          <w:rFonts w:ascii="Arial" w:cs="Arial" w:eastAsia="Arial" w:hAnsi="Arial"/>
          <w:sz w:val="22"/>
          <w:szCs w:val="22"/>
        </w:rPr>
        <w:t xml:space="preserve">'Externally determined' does not equate to 'off-chain.' A TCN smart contract outcome is determined by that contract, not by TCM. TCM reports the reference.</w:t>
      </w:r>
    </w:p>
    <w:p>
      <w:pPr>
        <w:pStyle w:val="ListParagraph"/>
        <w:numPr>
          <w:ilvl w:val="0"/>
          <w:numId w:val="2"/>
        </w:numPr>
        <w:spacing w:after="40" w:before="40"/>
      </w:pPr>
      <w:r>
        <w:rPr>
          <w:rFonts w:ascii="Arial" w:cs="Arial" w:eastAsia="Arial" w:hAnsi="Arial"/>
          <w:sz w:val="22"/>
          <w:szCs w:val="22"/>
        </w:rPr>
        <w:t xml:space="preserve">TCTOutcomeRegistry stores event_hash, offchain_authority_ref (opaque pointer), result_type, and finalized flag — not the determined value itself.</w:t>
      </w:r>
    </w:p>
    <w:p>
      <w:pPr>
        <w:pStyle w:val="ListParagraph"/>
        <w:numPr>
          <w:ilvl w:val="0"/>
          <w:numId w:val="2"/>
        </w:numPr>
        <w:spacing w:after="40" w:before="40"/>
      </w:pPr>
      <w:r>
        <w:rPr>
          <w:rFonts w:ascii="Arial" w:cs="Arial" w:eastAsia="Arial" w:hAnsi="Arial"/>
          <w:sz w:val="22"/>
          <w:szCs w:val="22"/>
        </w:rPr>
        <w:t xml:space="preserve">No determined values appear in any TCM store. Only references to determinations made elsewhere.</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VIII. PERIODIC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Annual Legal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Legal/Compliance must review this Policy annually and confirm the characterization remains valid.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Material Change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Immediate review required upon: any change to token design; new token utility proposed; regulatory guidance published by SEC, CFTC, or FinCEN; new API function touching token economics.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Engineering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Pre-production deployment check: confirm no prohibited fields in schema, no pricing endpoints, no transfer endpoints.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Marketing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external communications referencing the TCT must be pre-approved by Legal/Compliance before publication.</w:t>
            </w:r>
          </w:p>
        </w:tc>
      </w:tr>
    </w:tbl>
    <w:p>
      <w:pPr>
        <w:spacing w:after="80" w:before="0"/>
      </w:pPr>
      <w:r>
        <w:t xml:space="preserve"/>
      </w:r>
    </w:p>
    <w:p>
      <w:pPr>
        <w:pBdr>
          <w:top w:val="single" w:color="2E75B6" w:sz="4" w:space="1"/>
        </w:pBdr>
        <w:spacing w:after="60" w:before="240"/>
      </w:pPr>
      <w:r>
        <w:rPr>
          <w:rFonts w:ascii="Arial" w:cs="Arial" w:eastAsia="Arial" w:hAnsi="Arial"/>
          <w:i/>
          <w:iCs/>
          <w:color w:val="808080"/>
          <w:sz w:val="18"/>
          <w:szCs w:val="18"/>
        </w:rPr>
        <w:t xml:space="preserve">2678 Holdings LLC  |  TokenCap Miner LLC  |  TCM-TOKEN-CHAR-003 v1.0  |  June 2026  |  PRIVILEGED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2026-06-04T04:00:28.591Z</dcterms:created>
  <dcterms:modified xsi:type="dcterms:W3CDTF">2026-06-04T04:00:28.591Z</dcterms:modified>
</cp:coreProperties>
</file>

<file path=docProps/custom.xml><?xml version="1.0" encoding="utf-8"?>
<Properties xmlns="http://schemas.openxmlformats.org/officeDocument/2006/custom-properties" xmlns:vt="http://schemas.openxmlformats.org/officeDocument/2006/docPropsVTypes"/>
</file>