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2678 HOLDINGS LLC</w:t>
      </w:r>
    </w:p>
    <w:p>
      <w:pPr>
        <w:spacing w:after="60" w:before="0"/>
      </w:pPr>
      <w:r>
        <w:rPr>
          <w:rFonts w:ascii="Arial" w:cs="Arial" w:eastAsia="Arial" w:hAnsi="Arial"/>
          <w:b/>
          <w:bCs/>
          <w:color w:val="2E75B6"/>
          <w:sz w:val="36"/>
          <w:szCs w:val="36"/>
        </w:rPr>
        <w:t xml:space="preserve">TokenCap Miner LLC (TCM)</w:t>
      </w:r>
    </w:p>
    <w:p>
      <w:pPr>
        <w:pBdr>
          <w:bottom w:val="single" w:color="2E75B6" w:sz="6" w:space="1"/>
        </w:pBdr>
        <w:spacing w:after="360" w:before="0"/>
      </w:pPr>
      <w:r>
        <w:rPr>
          <w:rFonts w:ascii="Arial" w:cs="Arial" w:eastAsia="Arial" w:hAnsi="Arial"/>
          <w:b/>
          <w:bCs/>
          <w:color w:val="404040"/>
          <w:sz w:val="32"/>
          <w:szCs w:val="32"/>
        </w:rPr>
        <w:t xml:space="preserve">PLATFORM ARCHITECTURE SPECIFICATION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TCM-ARCH-004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Governing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Policy No. 2678-POL-API-001 v1.1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Senior Engineer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confirmed — TCM Lead: Stan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Blockchain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PoS mainnet (primary)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KYC Vendor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JPMorgan Chase (production)</w:t>
            </w:r>
          </w:p>
        </w:tc>
      </w:tr>
    </w:tbl>
    <w:p>
      <w:pPr>
        <w:spacing w:after="80" w:before="0"/>
      </w:pPr>
      <w:r>
        <w:t xml:space="preserve"/>
      </w:r>
    </w:p>
    <w:p>
      <w:pPr>
        <w:spacing w:after="300" w:before="60"/>
      </w:pPr>
      <w:r>
        <w:rPr>
          <w:rFonts w:ascii="Arial" w:cs="Arial" w:eastAsia="Arial" w:hAnsi="Arial"/>
          <w:i/>
          <w:iCs/>
          <w:color w:val="808080"/>
          <w:sz w:val="18"/>
          <w:szCs w:val="18"/>
        </w:rPr>
        <w:t xml:space="preserve">PRIVILEGED &amp; CONFIDENTIAL  |  INTERNAL USE ONLY  |  2678 Holdings LLC</w:t>
      </w:r>
    </w:p>
    <w:p>
      <w:r>
        <w:br w:type="page"/>
      </w:r>
    </w:p>
    <w:p>
      <w:pPr>
        <w:pStyle w:val="Heading1"/>
        <w:spacing w:after="120" w:before="360"/>
      </w:pPr>
      <w:r>
        <w:rPr>
          <w:rFonts w:ascii="Arial" w:cs="Arial" w:eastAsia="Arial" w:hAnsi="Arial"/>
          <w:b/>
          <w:bCs/>
          <w:color w:val="1F3864"/>
          <w:sz w:val="32"/>
          <w:szCs w:val="32"/>
        </w:rPr>
        <w:t xml:space="preserve">I. ARCHITECTURAL MANDATE</w:t>
      </w:r>
    </w:p>
    <w:p>
      <w:pPr>
        <w:pBdr>
          <w:left w:val="single" w:color="2E75B6" w:sz="12" w:space="4"/>
        </w:pBdr>
        <w:spacing w:after="80" w:before="60"/>
        <w:ind w:left="360"/>
      </w:pPr>
      <w:r>
        <w:rPr>
          <w:rFonts w:ascii="Arial" w:cs="Arial" w:eastAsia="Arial" w:hAnsi="Arial"/>
          <w:i/>
          <w:iCs/>
          <w:color w:val="1F3864"/>
          <w:sz w:val="20"/>
          <w:szCs w:val="20"/>
        </w:rPr>
        <w:t xml:space="preserve">TCM is the entry point and identity layer of the 2678 ecosystem. Its technology mandate is narrow but security-critical: issue cryptographically unique, non-transferable, identity-bound credentials to participants who have passed defined compliance checks, and serve as the authoritative source of credential status for TCN's access control system. TCM must do these things and nothing else.</w:t>
      </w:r>
    </w:p>
    <w:p>
      <w:pPr>
        <w:spacing w:after="80" w:before="0"/>
      </w:pPr>
      <w:r>
        <w:t xml:space="preserve"/>
      </w:r>
    </w:p>
    <w:p>
      <w:pPr>
        <w:spacing w:after="80" w:before="60"/>
      </w:pPr>
      <w:r>
        <w:rPr>
          <w:rFonts w:ascii="Arial" w:cs="Arial" w:eastAsia="Arial" w:hAnsi="Arial"/>
          <w:sz w:val="22"/>
          <w:szCs w:val="22"/>
        </w:rPr>
        <w:t xml:space="preserve">Every architectural decision must be consistent with the governing principle: TCT authenticates and reports. TCM does not determine, calculate, or settle economic outcomes.</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 SEVEN-LAYER SYSTEM ARCHITECTURE</w:t>
      </w:r>
    </w:p>
    <w:p>
      <w:pPr>
        <w:spacing w:after="80" w:before="60"/>
      </w:pPr>
      <w:r>
        <w:rPr>
          <w:rFonts w:ascii="Arial" w:cs="Arial" w:eastAsia="Arial" w:hAnsi="Arial"/>
          <w:sz w:val="22"/>
          <w:szCs w:val="22"/>
        </w:rPr>
        <w:t xml:space="preserve">TCM's architecture maps to the seven layers defined in the Patent Figures (FIG. 1–10):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TCM Responsibility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Participant Interaction (110)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FIG.1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TCM website — three surfaces: project listers, credential holders/participants, TCM staff. Each surface reads from Engine APIs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Credential Layer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FIG.2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TCTCredential + TCTOutcomeRegistry on Polygon PoS. Six-state machine. Outcome references written only by SYNC_ROLE.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Credential Operational Kernel (120)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FIG.6,9,10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Token Engine: all 12 off-chain components. Receives instructions, enforces policy invariants, produces canonical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Execution Layer (140)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TCN — not TCM. TCM Engine consumes TCN events via chain abstraction adapters. TCM does not run workflow logic.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Issuance Gate (130)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FIG.3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Six-gate issuance flow. Gates 1–5 at purchase. Gate 6 at project election (separate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Representation Layer (150)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FIG.4,5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TCNWFT — produced by TCN, consumed by TCM Engine via adapter. Out of scope for TCM 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Event Layer (160) + Sync (170)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FIG.7,9</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Chain abstraction adapters + finality translation + canonical event normalizer + outcome sync gateway.</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III. THREE-ENVIRONMENT MATRIX</w:t>
      </w:r>
    </w:p>
    <w:p>
      <w:pPr>
        <w:pBdr>
          <w:left w:val="single" w:color="2E75B6" w:sz="12" w:space="4"/>
        </w:pBdr>
        <w:spacing w:after="80" w:before="60"/>
        <w:ind w:left="360"/>
      </w:pPr>
      <w:r>
        <w:rPr>
          <w:rFonts w:ascii="Arial" w:cs="Arial" w:eastAsia="Arial" w:hAnsi="Arial"/>
          <w:i/>
          <w:iCs/>
          <w:color w:val="1F3864"/>
          <w:sz w:val="20"/>
          <w:szCs w:val="20"/>
        </w:rPr>
        <w:t xml:space="preserve">No data flows between environments. Separate AWS accounts enforce this at the infrastructure level — shared VPC or shared RDS between environments is a deployment error, not a policy question.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400"/>
        <w:gridCol w:w="3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AWS Account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Blockchain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KYC Vendor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PII &amp; Purpose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Development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Single shared (all engineers)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Polygon PoS Mumbai testnet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Persona sandbox (free)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 real PII — synthetic data only. Fast iteration. No compliance constraints.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TCM AWS account (non-prod)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Polygon PoS Amoy testnet (primary) + Base Sepolia (second adapter dual-run)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JPM sandbox (when available); Persona sandbox parallel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 KYC test credentials permitted; no live participant PII. Integration testing, UAT.</w:t>
            </w:r>
          </w:p>
        </w:tc>
      </w:tr>
      <w:tr>
        <w:tc>
          <w:tcPr>
            <w:tcW w:type="dxa" w:w="1400"/>
            <w:tcBorders>
              <w:top w:val="single" w:color="CCCCCC" w:sz="1"/>
              <w:left w:val="single" w:color="CCCCCC" w:sz="1"/>
              <w:bottom w:val="single" w:color="CCCCCC" w:sz="1"/>
              <w:right w:val="single" w:color="CCCCCC" w:sz="1"/>
            </w:tcBorders>
            <w:shd w:fill="D7F0D7" w:val="clear"/>
            <w:tcMar>
              <w:top w:type="dxa" w:w="80"/>
              <w:left w:type="dxa" w:w="120"/>
              <w:bottom w:type="dxa" w:w="80"/>
              <w:right w:type="dxa" w:w="120"/>
            </w:tcMar>
          </w:tcPr>
          <w:p>
            <w:r>
              <w:rPr>
                <w:rFonts w:ascii="Arial" w:cs="Arial" w:eastAsia="Arial" w:hAnsi="Arial"/>
                <w:b/>
                <w:bCs/>
                <w:sz w:val="18"/>
                <w:szCs w:val="18"/>
              </w:rPr>
              <w:t xml:space="preserve">Production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TCM AWS account (full spec)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Polygon PoS mainnet (primary); Ethereum mainnet (anchoring only)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JPMorgan Chase KYC/AML production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Real PII in identity vault only. Pseudonymous everywhere else. All SLAs apply. Fail-closed on TCM outage.</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IV. AWS PRODUCTION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Specification &amp; Purpose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Amazon EKS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m6i.xlarge (4 vCPU, 16GB RAM) min production. Auto-scaling: min 2, max 8 nodes. Multi-AZ. Hosts all Token Engine off-chain services. Multi-AZ supports 99.9% Auth API availability SLA.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Amazon RDS PostgreSQL 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db.r6g.large (production). Multi-AZ. AES-256 encryption at rest. 7-day automated backups with PITR. Three separate instances: (1) Identity Vault, (2) Credential-State Mirror + Outcome Store + Audit Log, (3) Merchandising + Billing.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CloudHSM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2 HSM instances per cluster for HA. Hot signer key material for ISSUER_ROLE and SYNC_ROLE. No private key material in application memory or environment variables.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Secrets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JPM KYC API keys, DB connection strings, RPC endpoint credentials. Automatic rotation enabled. Zero secrets in environment variables, code, or git.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Amazon 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Standard storage with versioning + Object Lock COMPLIANCE mode for audit archive. SSE-KMS encryption. Audit log archive (append-only, tamper-evident).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Amazon CloudWatch + EventBridge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Per-service log groups. EventBridge rules for reconciliation job schedules. Sev-1 alerting.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WAF + Shield 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AWS Managed Rules + rate limiting: 1,000 req/5min per IP on Auth API. Protects Auth API, participant portal, lister portal.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AWS Certificate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1.3 enforcement. mTLS certificates for Auth API. All external surfaces HTTPS. mTLS for TCN service-to-service.</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 BLOCKCHAIN &amp; RPC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RPC</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Failover /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Polygon PoS mainnet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Alchemy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Infura — all credential operations, sync writes, gas cost recording.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Base Sepolia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Alchemy Base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staging second adapter dual-run validation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Ethereum mainnet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Alchemy or Infura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anchoring only: periodic merkle-root commitments.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Polygon PoS Amoy testnet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Alchemy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staging integration testing.</w:t>
            </w:r>
          </w:p>
        </w:tc>
      </w:tr>
    </w:tbl>
    <w:p>
      <w:pPr>
        <w:spacing w:after="80" w:before="0"/>
      </w:pPr>
      <w:r>
        <w:t xml:space="preserve"/>
      </w:r>
    </w:p>
    <w:p>
      <w:pPr>
        <w:pBdr>
          <w:left w:val="single" w:color="2E75B6" w:sz="12" w:space="4"/>
        </w:pBdr>
        <w:spacing w:after="80" w:before="60"/>
        <w:ind w:left="360"/>
      </w:pPr>
      <w:r>
        <w:rPr>
          <w:rFonts w:ascii="Arial" w:cs="Arial" w:eastAsia="Arial" w:hAnsi="Arial"/>
          <w:i/>
          <w:iCs/>
          <w:color w:val="1F3864"/>
          <w:sz w:val="20"/>
          <w:szCs w:val="20"/>
        </w:rPr>
        <w:t xml:space="preserve">Two RPC providers per network behind the adapter with automatic failover. Single-provider dependency is a Sev-2 risk item. Do not launch production with only one RPC provider configured.</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VI. 12-STORE DATABASE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Contents + Retention</w:t>
            </w:r>
          </w:p>
        </w:tc>
      </w:tr>
      <w:tr>
        <w:tc>
          <w:tcPr>
            <w:tcW w:type="dxa" w:w="2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8"/>
                <w:szCs w:val="18"/>
              </w:rPr>
              <w:t xml:space="preserve">Identity Vault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Raw KYC records, JPM verification results, salt material. TCM holds data + attestation ONLY — not documents. RTBF via salt destruction. Retention: per KYC/AML regulatory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Credential-State Mirror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token_id, network_id, identity_binding hash, status (6 states incl. Retired), compliance_status, all audit timestamps. Retention: indefinite.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Outcome Reference Store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Low-Med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Mirror of TCTOutcomeRegistry. result_type from v1.0.0 controlled vocabulary. offchain_authority_ref as opaque pointer. Retention: indefinite.</w:t>
            </w:r>
          </w:p>
        </w:tc>
      </w:tr>
      <w:tr>
        <w:tc>
          <w:tcPr>
            <w:tcW w:type="dxa" w:w="2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bCs/>
                <w:sz w:val="18"/>
                <w:szCs w:val="18"/>
              </w:rPr>
              <w:t xml:space="preserve">Audit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Engine</w:t>
            </w:r>
          </w:p>
        </w:tc>
        <w:tc>
          <w:tcPr>
            <w:tcW w:type="dxa" w:w="1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Tamper-evident append-only. Every issuance, role grant, status change, sync write, reconciliation job outcome. Divergence = Sev-1. Retention: minimum 7 years.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Sync Pipeline State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Adapter cursors, finality-state snapshots, idempotency-key index, replay checkpoints. Retention: 90-day cursor history + permanent idempotency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Chain Registry / Config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Supported networks, contract addresses, Polygon PoS finality thresholds, gas markup %, adapter versions, RPC endpoints. Retention: indefinite with version history.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Controlled-Vocabulary Registry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Versioned result_type and result_subtype definitions. v1.0.0 bootstrap. Deprecation policy enforced. Retention: indefinite.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Commercial / Merchandising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Merchandising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Project-lister accounts, catalog items, pricing. TWO order types: LISTER_COHORT and INDIVIDUAL_PURCHASE. Separate invoice lineage per type. Retention: 7 years.</w:t>
            </w:r>
          </w:p>
        </w:tc>
      </w:tr>
      <w:tr>
        <w:tc>
          <w:tcPr>
            <w:tcW w:type="dxa" w:w="2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bCs/>
                <w:sz w:val="18"/>
                <w:szCs w:val="18"/>
              </w:rPr>
              <w:t xml:space="preserve">KYC / Compliance Workflow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JPM verification cases, AML/SDN screening state, jurisdiction determinations, escalations. Linked to identity vault by case ID only. Retention: minimum 5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 Attestation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attestation records and data ONLY — not documents. Access model with offchain_authority_ref. 2678 accesses but does not own the underlying database (MRB C1).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Customer Support / Case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Post-purchase ops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Support tickets, communications, case state. Reads from credential-state mirror and audit log only. Retention: 2 years accessible; 5 years archived.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Analytics Feed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Engine downstream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{feed_record_id, pseudonym_id, credential_class, jurisdiction_code, event_type, result_type, result_subtype, effective_at, network_id, finalized}. No PII. Downstream-only.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Billing &amp; Reconciliation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Merchandising + Engine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Medium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Metered units, chain-cost ledger, gas markup. Two revenue streams per order type. Revenue recognized at Audit Final only. Retention: 7 years.</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VII. 2678 ONBOARDING KERNEL DEPENDENCY</w:t>
      </w:r>
    </w:p>
    <w:p>
      <w:pPr>
        <w:spacing w:after="80" w:before="60"/>
      </w:pPr>
      <w:r>
        <w:rPr>
          <w:rFonts w:ascii="Arial" w:cs="Arial" w:eastAsia="Arial" w:hAnsi="Arial"/>
          <w:sz w:val="22"/>
          <w:szCs w:val="22"/>
        </w:rPr>
        <w:t xml:space="preserve">TCM's KYC and onboarding flows must be built as a TCM overlay on the shared 2678 Onboarding Kernel. Core objects must not be hard-coded to TCM-only assumptions.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Kernel Object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TCM Use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TCM Overlay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Firm / Person / Party Role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KYC participant, beneficial owner, miner participant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 ID hash, entity type, jurisdiction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User Access Grant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KYC-approved wallet/user access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Restricted-action permission, TCT eligibility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Engagement / Account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TCT purchase/KYC relationship; miner account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JPM case ID link, compliance_status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 Intake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KYC/AML identity documents, wallet attestations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Attestation-only (no raw documents); offchain_authority_ref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Workflow State Machine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KYC approval, wallet binding, TCT issuance, access renewal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Six issuance gates, RETIRED/re-verification triggers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Audit / Retention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KYC/AML audit, token binding audit, wallet/action logs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7-year minimum retention, hash-chain format</w:t>
            </w:r>
          </w:p>
        </w:tc>
      </w:tr>
    </w:tbl>
    <w:p>
      <w:pPr>
        <w:spacing w:after="80" w:before="0"/>
      </w:pPr>
      <w:r>
        <w:t xml:space="preserve"/>
      </w:r>
    </w:p>
    <w:p>
      <w:pPr>
        <w:pBdr>
          <w:top w:val="single" w:color="2E75B6" w:sz="4" w:space="1"/>
        </w:pBdr>
        <w:spacing w:after="60" w:before="240"/>
      </w:pPr>
      <w:r>
        <w:rPr>
          <w:rFonts w:ascii="Arial" w:cs="Arial" w:eastAsia="Arial" w:hAnsi="Arial"/>
          <w:i/>
          <w:iCs/>
          <w:color w:val="808080"/>
          <w:sz w:val="18"/>
          <w:szCs w:val="18"/>
        </w:rPr>
        <w:t xml:space="preserve">2678 Holdings LLC  |  TokenCap Miner LLC  |  TCM-ARCH-004 v1.0  |  June 2026  |  PRIVILEGED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2026-06-04T04:00:28.688Z</dcterms:created>
  <dcterms:modified xsi:type="dcterms:W3CDTF">2026-06-04T04:00:28.688Z</dcterms:modified>
</cp:coreProperties>
</file>

<file path=docProps/custom.xml><?xml version="1.0" encoding="utf-8"?>
<Properties xmlns="http://schemas.openxmlformats.org/officeDocument/2006/custom-properties" xmlns:vt="http://schemas.openxmlformats.org/officeDocument/2006/docPropsVTypes"/>
</file>