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3864"/>
          <w:sz w:val="48"/>
          <w:szCs w:val="48"/>
        </w:rPr>
        <w:t xml:space="preserve">2678 HOLDINGS LLC</w:t>
      </w:r>
    </w:p>
    <w:p>
      <w:pPr>
        <w:spacing w:after="60" w:before="0"/>
      </w:pPr>
      <w:r>
        <w:rPr>
          <w:rFonts w:ascii="Arial" w:cs="Arial" w:eastAsia="Arial" w:hAnsi="Arial"/>
          <w:b/>
          <w:bCs/>
          <w:color w:val="2E75B6"/>
          <w:sz w:val="36"/>
          <w:szCs w:val="36"/>
        </w:rPr>
        <w:t xml:space="preserve">TokenCap Miner LLC (TCM)</w:t>
      </w:r>
    </w:p>
    <w:p>
      <w:pPr>
        <w:pBdr>
          <w:bottom w:val="single" w:color="2E75B6" w:sz="6" w:space="1"/>
        </w:pBdr>
        <w:spacing w:after="360" w:before="0"/>
      </w:pPr>
      <w:r>
        <w:rPr>
          <w:rFonts w:ascii="Arial" w:cs="Arial" w:eastAsia="Arial" w:hAnsi="Arial"/>
          <w:b/>
          <w:bCs/>
          <w:color w:val="404040"/>
          <w:sz w:val="32"/>
          <w:szCs w:val="32"/>
        </w:rPr>
        <w:t xml:space="preserve">DATA GOVERNANCE &amp; PII MINIMIZATION POLICY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TCM-DATAGOV-007</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 Privileged &amp; Confidential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Document 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2678 Holdings LLC — Managing Member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Governing 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Policy No. 2678-POL-API-001 v1.1</w:t>
            </w:r>
          </w:p>
        </w:tc>
      </w:tr>
    </w:tbl>
    <w:p>
      <w:pPr>
        <w:spacing w:after="80" w:before="0"/>
      </w:pPr>
      <w:r>
        <w:t xml:space="preserve"/>
      </w:r>
    </w:p>
    <w:p>
      <w:pPr>
        <w:spacing w:after="300" w:before="60"/>
      </w:pPr>
      <w:r>
        <w:rPr>
          <w:rFonts w:ascii="Arial" w:cs="Arial" w:eastAsia="Arial" w:hAnsi="Arial"/>
          <w:i/>
          <w:iCs/>
          <w:color w:val="808080"/>
          <w:sz w:val="18"/>
          <w:szCs w:val="18"/>
        </w:rPr>
        <w:t xml:space="preserve">PRIVILEGED &amp; CONFIDENTIAL  |  INTERNAL USE ONLY  |  2678 Holdings LLC</w:t>
      </w:r>
    </w:p>
    <w:p>
      <w:r>
        <w:br w:type="page"/>
      </w:r>
    </w:p>
    <w:p>
      <w:pPr>
        <w:pStyle w:val="Heading1"/>
        <w:spacing w:after="120" w:before="360"/>
      </w:pPr>
      <w:r>
        <w:rPr>
          <w:rFonts w:ascii="Arial" w:cs="Arial" w:eastAsia="Arial" w:hAnsi="Arial"/>
          <w:b/>
          <w:bCs/>
          <w:color w:val="1F3864"/>
          <w:sz w:val="32"/>
          <w:szCs w:val="32"/>
        </w:rPr>
        <w:t xml:space="preserve">I. PURPOSE</w:t>
      </w:r>
    </w:p>
    <w:p>
      <w:pPr>
        <w:spacing w:after="80" w:before="60"/>
      </w:pPr>
      <w:r>
        <w:rPr>
          <w:rFonts w:ascii="Arial" w:cs="Arial" w:eastAsia="Arial" w:hAnsi="Arial"/>
          <w:sz w:val="22"/>
          <w:szCs w:val="22"/>
        </w:rPr>
        <w:t xml:space="preserve">This Policy establishes mandatory data governance, PII protection, API log masking, secrets management, and data retention requirements for all TCM systems. PII isolation is structural, not procedural. Every data design decision must minimize PII exposure and enforce pseudonymization at every store boundary outside the Identity Vault.</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II. PII ISOLATION ARCHITECTURE</w:t>
      </w:r>
    </w:p>
    <w:p>
      <w:pPr>
        <w:pBdr>
          <w:left w:val="single" w:color="2E75B6" w:sz="12" w:space="4"/>
        </w:pBdr>
        <w:spacing w:after="80" w:before="60"/>
        <w:ind w:left="360"/>
      </w:pPr>
      <w:r>
        <w:rPr>
          <w:rFonts w:ascii="Arial" w:cs="Arial" w:eastAsia="Arial" w:hAnsi="Arial"/>
          <w:i/>
          <w:iCs/>
          <w:color w:val="1F3864"/>
          <w:sz w:val="20"/>
          <w:szCs w:val="20"/>
        </w:rPr>
        <w:t xml:space="preserve">Cross-cutting rule: pseudonymization at every store boundary outside the Identity Vault. No determined values in any store — only references to determinations made elsewhere. Right-to-be-forgotten via vault-resident salt destruction.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Tier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Rule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Identity Vault (PostgreSQL — isolated instance)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Raw KYC records, JPM verification results, government ID hashes, salt material. Access restricted to compliance function and legally required disclosures only. AES-256 at rest. No direct access from public subnets.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All other stores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identity_binding hash only (SHA-256 of canonical_identity_record + salt). Salt is vault-resident. Never PII. Wallet-agnostic (ERC-4337 compatible).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Authentication API (TCM-CRED-VERIFY-002)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status and permission_tier only. No identity data, no compliance detail, no participant name or contact information leaves TCM through this API.</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Analytics Feed 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pseudonym_id (UUID — not identity_binding). No PII, no wallet address, no identity_binding. Downstream-only — no operational writes back.</w:t>
            </w:r>
          </w:p>
        </w:tc>
      </w:tr>
    </w:tbl>
    <w:p>
      <w:pPr>
        <w:spacing w:after="80" w:before="0"/>
      </w:pPr>
      <w:r>
        <w:t xml:space="preserve"/>
      </w:r>
    </w:p>
    <w:p>
      <w:pPr>
        <w:pStyle w:val="Heading1"/>
        <w:spacing w:after="120" w:before="360"/>
      </w:pPr>
      <w:r>
        <w:rPr>
          <w:rFonts w:ascii="Arial" w:cs="Arial" w:eastAsia="Arial" w:hAnsi="Arial"/>
          <w:b/>
          <w:bCs/>
          <w:color w:val="1F3864"/>
          <w:sz w:val="32"/>
          <w:szCs w:val="32"/>
        </w:rPr>
        <w:t xml:space="preserve">III. API LOG MASKING REQUIREMENTS</w:t>
      </w:r>
    </w:p>
    <w:p>
      <w:pPr>
        <w:spacing w:after="80" w:before="60"/>
      </w:pPr>
      <w:r>
        <w:rPr>
          <w:rFonts w:ascii="Arial" w:cs="Arial" w:eastAsia="Arial" w:hAnsi="Arial"/>
          <w:b/>
          <w:bCs/>
          <w:sz w:val="22"/>
          <w:szCs w:val="22"/>
        </w:rPr>
        <w:t xml:space="preserve">These requirements apply to all TCM API logs across all environments.</w:t>
      </w:r>
    </w:p>
    <w:p>
      <w:pPr>
        <w:pStyle w:val="ListParagraph"/>
        <w:numPr>
          <w:ilvl w:val="0"/>
          <w:numId w:val="2"/>
        </w:numPr>
        <w:spacing w:after="40" w:before="40"/>
      </w:pPr>
      <w:r>
        <w:rPr>
          <w:rFonts w:ascii="Arial" w:cs="Arial" w:eastAsia="Arial" w:hAnsi="Arial"/>
          <w:sz w:val="22"/>
          <w:szCs w:val="22"/>
        </w:rPr>
        <w:t xml:space="preserve">API log records containing sensitive fields (participant identity, credential status, compliance data) must be masked or tokenized before writing to log storage.</w:t>
      </w:r>
    </w:p>
    <w:p>
      <w:pPr>
        <w:pStyle w:val="ListParagraph"/>
        <w:numPr>
          <w:ilvl w:val="0"/>
          <w:numId w:val="2"/>
        </w:numPr>
        <w:spacing w:after="40" w:before="40"/>
      </w:pPr>
      <w:r>
        <w:rPr>
          <w:rFonts w:ascii="Arial" w:cs="Arial" w:eastAsia="Arial" w:hAnsi="Arial"/>
          <w:sz w:val="22"/>
          <w:szCs w:val="22"/>
        </w:rPr>
        <w:t xml:space="preserve">Raw participant identifiers must NOT appear in cleartext in log records accessible to operational personnel without a documented access justification.</w:t>
      </w:r>
    </w:p>
    <w:p>
      <w:pPr>
        <w:pStyle w:val="ListParagraph"/>
        <w:numPr>
          <w:ilvl w:val="0"/>
          <w:numId w:val="2"/>
        </w:numPr>
        <w:spacing w:after="40" w:before="40"/>
      </w:pPr>
      <w:r>
        <w:rPr>
          <w:rFonts w:ascii="Arial" w:cs="Arial" w:eastAsia="Arial" w:hAnsi="Arial"/>
          <w:sz w:val="22"/>
          <w:szCs w:val="22"/>
        </w:rPr>
        <w:t xml:space="preserve">API responses containing participant identity data or credential status must NOT be cached in intermediate systems (proxies, CDNs) unless within TCM's controlled environment subject to equivalent security controls.</w:t>
      </w:r>
    </w:p>
    <w:p>
      <w:pPr>
        <w:pStyle w:val="ListParagraph"/>
        <w:numPr>
          <w:ilvl w:val="0"/>
          <w:numId w:val="2"/>
        </w:numPr>
        <w:spacing w:after="40" w:before="40"/>
      </w:pPr>
      <w:r>
        <w:rPr>
          <w:rFonts w:ascii="Arial" w:cs="Arial" w:eastAsia="Arial" w:hAnsi="Arial"/>
          <w:sz w:val="22"/>
          <w:szCs w:val="22"/>
        </w:rPr>
        <w:t xml:space="preserve">All API call logs must include: requesting system identity, Token ID queried, response returned (status + permission_tier only), timestamp. No PII in operational log records.</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IV. SECRETS MANAGEMENT</w:t>
      </w:r>
    </w:p>
    <w:p>
      <w:pPr>
        <w:pBdr>
          <w:left w:val="single" w:color="2E75B6" w:sz="12" w:space="4"/>
        </w:pBdr>
        <w:spacing w:after="80" w:before="60"/>
        <w:ind w:left="360"/>
      </w:pPr>
      <w:r>
        <w:rPr>
          <w:rFonts w:ascii="Arial" w:cs="Arial" w:eastAsia="Arial" w:hAnsi="Arial"/>
          <w:i/>
          <w:iCs/>
          <w:color w:val="1F3864"/>
          <w:sz w:val="20"/>
          <w:szCs w:val="20"/>
        </w:rPr>
        <w:t xml:space="preserve">API credentials are sensitive assets equivalent to system access credentials. No credential in code is the absolute rule. Violation requires immediate credential rotation.</w:t>
      </w:r>
    </w:p>
    <w:p>
      <w:pPr>
        <w:spacing w:after="80" w:before="0"/>
      </w:pPr>
      <w:r>
        <w:t xml:space="preserve"/>
      </w:r>
    </w:p>
    <w:p>
      <w:pPr>
        <w:pStyle w:val="ListParagraph"/>
        <w:numPr>
          <w:ilvl w:val="0"/>
          <w:numId w:val="2"/>
        </w:numPr>
        <w:spacing w:after="40" w:before="40"/>
      </w:pPr>
      <w:r>
        <w:rPr>
          <w:rFonts w:ascii="Arial" w:cs="Arial" w:eastAsia="Arial" w:hAnsi="Arial"/>
          <w:sz w:val="22"/>
          <w:szCs w:val="22"/>
        </w:rPr>
        <w:t xml:space="preserve">No credential in code: API credentials shall never be embedded in source code, configuration files committed to version control, documentation, or environment variables. Violation = security incident requiring immediate rotation.</w:t>
      </w:r>
    </w:p>
    <w:p>
      <w:pPr>
        <w:pStyle w:val="ListParagraph"/>
        <w:numPr>
          <w:ilvl w:val="0"/>
          <w:numId w:val="2"/>
        </w:numPr>
        <w:spacing w:after="40" w:before="40"/>
      </w:pPr>
      <w:r>
        <w:rPr>
          <w:rFonts w:ascii="Arial" w:cs="Arial" w:eastAsia="Arial" w:hAnsi="Arial"/>
          <w:sz w:val="22"/>
          <w:szCs w:val="22"/>
        </w:rPr>
        <w:t xml:space="preserve">Secrets vault: all API credentials (JPM KYC API keys, DB credentials, RPC endpoints, mTLS private keys) stored in AWS Secrets Manager. Automatic rotation enabled. Access to the vault is logged and restricted.</w:t>
      </w:r>
    </w:p>
    <w:p>
      <w:pPr>
        <w:pStyle w:val="ListParagraph"/>
        <w:numPr>
          <w:ilvl w:val="0"/>
          <w:numId w:val="2"/>
        </w:numPr>
        <w:spacing w:after="40" w:before="40"/>
      </w:pPr>
      <w:r>
        <w:rPr>
          <w:rFonts w:ascii="Arial" w:cs="Arial" w:eastAsia="Arial" w:hAnsi="Arial"/>
          <w:sz w:val="22"/>
          <w:szCs w:val="22"/>
        </w:rPr>
        <w:t xml:space="preserve">Critical-rated API credentials (TCM-CRED-VERIFY-002): rotate no less than every 90 days. mTLS certificates: quarterly rotation with 14-day overlap window.</w:t>
      </w:r>
    </w:p>
    <w:p>
      <w:pPr>
        <w:pStyle w:val="ListParagraph"/>
        <w:numPr>
          <w:ilvl w:val="0"/>
          <w:numId w:val="2"/>
        </w:numPr>
        <w:spacing w:after="40" w:before="40"/>
      </w:pPr>
      <w:r>
        <w:rPr>
          <w:rFonts w:ascii="Arial" w:cs="Arial" w:eastAsia="Arial" w:hAnsi="Arial"/>
          <w:sz w:val="22"/>
          <w:szCs w:val="22"/>
        </w:rPr>
        <w:t xml:space="preserve">Personnel departure: when a staff member with access to API credentials departs or changes role, all credentials to which they had access must be rotated within 24 hours.</w:t>
      </w:r>
    </w:p>
    <w:p>
      <w:pPr>
        <w:pStyle w:val="ListParagraph"/>
        <w:numPr>
          <w:ilvl w:val="0"/>
          <w:numId w:val="2"/>
        </w:numPr>
        <w:spacing w:after="40" w:before="40"/>
      </w:pPr>
      <w:r>
        <w:rPr>
          <w:rFonts w:ascii="Arial" w:cs="Arial" w:eastAsia="Arial" w:hAnsi="Arial"/>
          <w:sz w:val="22"/>
          <w:szCs w:val="22"/>
        </w:rPr>
        <w:t xml:space="preserve">Decommissioned integrations: all tokens, service accounts, webhooks, and data sync permissions must be revoked and confirmed inactive within 5 business days of termination.</w:t>
      </w:r>
    </w:p>
    <w:p>
      <w:pPr>
        <w:pStyle w:val="ListParagraph"/>
        <w:numPr>
          <w:ilvl w:val="0"/>
          <w:numId w:val="2"/>
        </w:numPr>
        <w:spacing w:after="40" w:before="40"/>
      </w:pPr>
      <w:r>
        <w:rPr>
          <w:rFonts w:ascii="Arial" w:cs="Arial" w:eastAsia="Arial" w:hAnsi="Arial"/>
          <w:sz w:val="22"/>
          <w:szCs w:val="22"/>
        </w:rPr>
        <w:t xml:space="preserve">CloudHSM for hot signer key material (ISSUER_ROLE and SYNC_ROLE). No private key material in application memory or environment variables.</w:t>
      </w:r>
    </w:p>
    <w:p>
      <w:pPr>
        <w:spacing w:after="80" w:before="0"/>
      </w:pPr>
      <w:r>
        <w:t xml:space="preserve"/>
      </w:r>
    </w:p>
    <w:p>
      <w:pPr>
        <w:pStyle w:val="Heading1"/>
        <w:spacing w:after="120" w:before="360"/>
      </w:pPr>
      <w:r>
        <w:rPr>
          <w:rFonts w:ascii="Arial" w:cs="Arial" w:eastAsia="Arial" w:hAnsi="Arial"/>
          <w:b/>
          <w:bCs/>
          <w:color w:val="1F3864"/>
          <w:sz w:val="32"/>
          <w:szCs w:val="32"/>
        </w:rPr>
        <w:t xml:space="preserve">V. DATA CLASSIFICATION &amp; ACCESS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 Rule</w:t>
            </w:r>
          </w:p>
        </w:tc>
      </w:tr>
      <w:tr>
        <w:tc>
          <w:tcPr>
            <w:tcW w:type="dxa" w:w="22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sz w:val="18"/>
                <w:szCs w:val="18"/>
              </w:rPr>
              <w:t xml:space="preserve">Raw KYC / PII</w:t>
            </w:r>
          </w:p>
        </w:tc>
        <w:tc>
          <w:tcPr>
            <w:tcW w:type="dxa" w:w="16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CRITICAL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Identity Vault only. Compliance function and legally required disclosures only. No direct DB access from public subnets.</w:t>
            </w:r>
          </w:p>
        </w:tc>
      </w:tr>
      <w:tr>
        <w:tc>
          <w:tcPr>
            <w:tcW w:type="dxa" w:w="22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sz w:val="18"/>
                <w:szCs w:val="18"/>
              </w:rPr>
              <w:t xml:space="preserve">JPM verification results</w:t>
            </w:r>
          </w:p>
        </w:tc>
        <w:tc>
          <w:tcPr>
            <w:tcW w:type="dxa" w:w="16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CRITICAL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Identity Vault only. Linked to KYC/Compliance Workflow store by case ID only.</w:t>
            </w:r>
          </w:p>
        </w:tc>
      </w:tr>
      <w:tr>
        <w:tc>
          <w:tcPr>
            <w:tcW w:type="dxa" w:w="2200"/>
            <w:tcBorders>
              <w:top w:val="single" w:color="CCCCCC" w:sz="1"/>
              <w:left w:val="single" w:color="CCCCCC" w:sz="1"/>
              <w:bottom w:val="single" w:color="CCCCCC" w:sz="1"/>
              <w:right w:val="single" w:color="CCCCCC" w:sz="1"/>
            </w:tcBorders>
            <w:shd w:fill="FFF0D7" w:val="clear"/>
            <w:tcMar>
              <w:top w:type="dxa" w:w="80"/>
              <w:left w:type="dxa" w:w="120"/>
              <w:bottom w:type="dxa" w:w="80"/>
              <w:right w:type="dxa" w:w="120"/>
            </w:tcMar>
          </w:tcPr>
          <w:p>
            <w:r>
              <w:rPr>
                <w:rFonts w:ascii="Arial" w:cs="Arial" w:eastAsia="Arial" w:hAnsi="Arial"/>
                <w:b/>
                <w:bCs/>
                <w:sz w:val="18"/>
                <w:szCs w:val="18"/>
              </w:rPr>
              <w:t xml:space="preserve">identity_binding hash</w:t>
            </w:r>
          </w:p>
        </w:tc>
        <w:tc>
          <w:tcPr>
            <w:tcW w:type="dxa" w:w="1600"/>
            <w:tcBorders>
              <w:top w:val="single" w:color="CCCCCC" w:sz="1"/>
              <w:left w:val="single" w:color="CCCCCC" w:sz="1"/>
              <w:bottom w:val="single" w:color="CCCCCC" w:sz="1"/>
              <w:right w:val="single" w:color="CCCCCC" w:sz="1"/>
            </w:tcBorders>
            <w:shd w:fill="FFF0D7" w:val="clear"/>
            <w:tcMar>
              <w:top w:type="dxa" w:w="80"/>
              <w:left w:type="dxa" w:w="120"/>
              <w:bottom w:type="dxa" w:w="80"/>
              <w:right w:type="dxa" w:w="120"/>
            </w:tcMar>
          </w:tcPr>
          <w:p>
            <w:pPr>
              <w:jc w:val="center"/>
            </w:pPr>
            <w:r>
              <w:rPr>
                <w:rFonts w:ascii="Arial" w:cs="Arial" w:eastAsia="Arial" w:hAnsi="Arial"/>
                <w:b/>
                <w:bCs/>
                <w:color w:val="CC6600"/>
                <w:sz w:val="18"/>
                <w:szCs w:val="18"/>
              </w:rPr>
              <w:t xml:space="preserve">High</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Pseudonymous. Not PII. Restricted to Credential-State Mirror and Token Registry. Never returned in API responses to TCN.</w:t>
            </w:r>
          </w:p>
        </w:tc>
      </w:tr>
      <w:tr>
        <w:tc>
          <w:tcPr>
            <w:tcW w:type="dxa" w:w="2200"/>
            <w:tcBorders>
              <w:top w:val="single" w:color="CCCCCC" w:sz="1"/>
              <w:left w:val="single" w:color="CCCCCC" w:sz="1"/>
              <w:bottom w:val="single" w:color="CCCCCC" w:sz="1"/>
              <w:right w:val="single" w:color="CCCCCC" w:sz="1"/>
            </w:tcBorders>
            <w:shd w:fill="FFF0D7" w:val="clear"/>
            <w:tcMar>
              <w:top w:type="dxa" w:w="80"/>
              <w:left w:type="dxa" w:w="120"/>
              <w:bottom w:type="dxa" w:w="80"/>
              <w:right w:type="dxa" w:w="120"/>
            </w:tcMar>
          </w:tcPr>
          <w:p>
            <w:r>
              <w:rPr>
                <w:rFonts w:ascii="Arial" w:cs="Arial" w:eastAsia="Arial" w:hAnsi="Arial"/>
                <w:b/>
                <w:bCs/>
                <w:sz w:val="18"/>
                <w:szCs w:val="18"/>
              </w:rPr>
              <w:t xml:space="preserve">Credential status</w:t>
            </w:r>
          </w:p>
        </w:tc>
        <w:tc>
          <w:tcPr>
            <w:tcW w:type="dxa" w:w="1600"/>
            <w:tcBorders>
              <w:top w:val="single" w:color="CCCCCC" w:sz="1"/>
              <w:left w:val="single" w:color="CCCCCC" w:sz="1"/>
              <w:bottom w:val="single" w:color="CCCCCC" w:sz="1"/>
              <w:right w:val="single" w:color="CCCCCC" w:sz="1"/>
            </w:tcBorders>
            <w:shd w:fill="FFF0D7" w:val="clear"/>
            <w:tcMar>
              <w:top w:type="dxa" w:w="80"/>
              <w:left w:type="dxa" w:w="120"/>
              <w:bottom w:type="dxa" w:w="80"/>
              <w:right w:type="dxa" w:w="120"/>
            </w:tcMar>
          </w:tcPr>
          <w:p>
            <w:pPr>
              <w:jc w:val="center"/>
            </w:pPr>
            <w:r>
              <w:rPr>
                <w:rFonts w:ascii="Arial" w:cs="Arial" w:eastAsia="Arial" w:hAnsi="Arial"/>
                <w:b/>
                <w:bCs/>
                <w:color w:val="CC6600"/>
                <w:sz w:val="18"/>
                <w:szCs w:val="18"/>
              </w:rPr>
              <w:t xml:space="preserve">High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Returned via Auth API in masked form (status enum only). Logged with masking. No caching beyond session window.</w:t>
            </w:r>
          </w:p>
        </w:tc>
      </w:tr>
      <w:tr>
        <w:tc>
          <w:tcPr>
            <w:tcW w:type="dxa" w:w="22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sz w:val="18"/>
                <w:szCs w:val="18"/>
              </w:rPr>
              <w:t xml:space="preserve">Salt material</w:t>
            </w:r>
          </w:p>
        </w:tc>
        <w:tc>
          <w:tcPr>
            <w:tcW w:type="dxa" w:w="16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CRITICAL</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Vault-resident only. Salt destruction = right-to-be-forgotten mechanism.</w:t>
            </w:r>
          </w:p>
        </w:tc>
      </w:tr>
      <w:tr>
        <w:tc>
          <w:tcPr>
            <w:tcW w:type="dxa" w:w="2200"/>
            <w:tcBorders>
              <w:top w:val="single" w:color="CCCCCC" w:sz="1"/>
              <w:left w:val="single" w:color="CCCCCC" w:sz="1"/>
              <w:bottom w:val="single" w:color="CCCCCC" w:sz="1"/>
              <w:right w:val="single" w:color="CCCCCC" w:sz="1"/>
            </w:tcBorders>
            <w:shd w:fill="FFF0D7" w:val="clear"/>
            <w:tcMar>
              <w:top w:type="dxa" w:w="80"/>
              <w:left w:type="dxa" w:w="120"/>
              <w:bottom w:type="dxa" w:w="80"/>
              <w:right w:type="dxa" w:w="120"/>
            </w:tcMar>
          </w:tcPr>
          <w:p>
            <w:r>
              <w:rPr>
                <w:rFonts w:ascii="Arial" w:cs="Arial" w:eastAsia="Arial" w:hAnsi="Arial"/>
                <w:b/>
                <w:bCs/>
                <w:sz w:val="18"/>
                <w:szCs w:val="18"/>
              </w:rPr>
              <w:t xml:space="preserve">Audit log records</w:t>
            </w:r>
          </w:p>
        </w:tc>
        <w:tc>
          <w:tcPr>
            <w:tcW w:type="dxa" w:w="1600"/>
            <w:tcBorders>
              <w:top w:val="single" w:color="CCCCCC" w:sz="1"/>
              <w:left w:val="single" w:color="CCCCCC" w:sz="1"/>
              <w:bottom w:val="single" w:color="CCCCCC" w:sz="1"/>
              <w:right w:val="single" w:color="CCCCCC" w:sz="1"/>
            </w:tcBorders>
            <w:shd w:fill="FFF0D7" w:val="clear"/>
            <w:tcMar>
              <w:top w:type="dxa" w:w="80"/>
              <w:left w:type="dxa" w:w="120"/>
              <w:bottom w:type="dxa" w:w="80"/>
              <w:right w:type="dxa" w:w="120"/>
            </w:tcMar>
          </w:tcPr>
          <w:p>
            <w:pPr>
              <w:jc w:val="center"/>
            </w:pPr>
            <w:r>
              <w:rPr>
                <w:rFonts w:ascii="Arial" w:cs="Arial" w:eastAsia="Arial" w:hAnsi="Arial"/>
                <w:b/>
                <w:bCs/>
                <w:color w:val="CC6600"/>
                <w:sz w:val="18"/>
                <w:szCs w:val="18"/>
              </w:rPr>
              <w:t xml:space="preserve">High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Append-only. Tamper-evident. No PII in operational records. 7-year minimum retention.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Analytics feed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Low</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Pseudonymized (pseudonym_id UUID). No PII. No wallet address. No identity_binding.</w:t>
            </w:r>
          </w:p>
        </w:tc>
      </w:tr>
      <w:tr>
        <w:tc>
          <w:tcPr>
            <w:tcW w:type="dxa" w:w="22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r>
              <w:rPr>
                <w:rFonts w:ascii="Arial" w:cs="Arial" w:eastAsia="Arial" w:hAnsi="Arial"/>
                <w:b/>
                <w:bCs/>
                <w:sz w:val="18"/>
                <w:szCs w:val="18"/>
              </w:rPr>
              <w:t xml:space="preserve">API keys and credentials</w:t>
            </w:r>
          </w:p>
        </w:tc>
        <w:tc>
          <w:tcPr>
            <w:tcW w:type="dxa" w:w="16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jc w:val="center"/>
            </w:pPr>
            <w:r>
              <w:rPr>
                <w:rFonts w:ascii="Arial" w:cs="Arial" w:eastAsia="Arial" w:hAnsi="Arial"/>
                <w:b/>
                <w:bCs/>
                <w:color w:val="CC0000"/>
                <w:sz w:val="18"/>
                <w:szCs w:val="18"/>
              </w:rPr>
              <w:t xml:space="preserve">CRITICAL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AWS Secrets Manager only. Never in code, config, or git.</w:t>
            </w:r>
          </w:p>
        </w:tc>
      </w:tr>
    </w:tbl>
    <w:p>
      <w:pPr>
        <w:spacing w:after="80" w:before="0"/>
      </w:pPr>
      <w:r>
        <w:t xml:space="preserve"/>
      </w:r>
    </w:p>
    <w:p>
      <w:pPr>
        <w:pStyle w:val="Heading1"/>
        <w:spacing w:after="120" w:before="360"/>
      </w:pPr>
      <w:r>
        <w:rPr>
          <w:rFonts w:ascii="Arial" w:cs="Arial" w:eastAsia="Arial" w:hAnsi="Arial"/>
          <w:b/>
          <w:bCs/>
          <w:color w:val="1F3864"/>
          <w:sz w:val="32"/>
          <w:szCs w:val="32"/>
        </w:rPr>
        <w:t xml:space="preserve">VI. DATA RETENTION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Store / Record Type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color w:val="FFFFFF"/>
                <w:sz w:val="20"/>
                <w:szCs w:val="20"/>
              </w:rPr>
              <w:t xml:space="preserve">Retention Requirement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Identity Vault (KYC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 KYC/AML regulatory minimum. Deletion = RTBF via salt destruction (on-chain pseudonym persists for audit).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Audit 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Minimum 7 years (Rule 17a-4 equivalent). Append-only — no deletion during retention window.</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KYC / Compliance Workflow 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Minimum 5 years.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Credential-State Mirror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Indefinite — audit continuity.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Outcome Reference 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Indefinite — audit continuity.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Commercial / Merchandising 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 years.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Billing &amp; Reconciliation 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 years.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Sync Pipeline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Rolling 90-day cursor history + permanent idempotency index.</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Customer Support / Case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years accessible; 5 years archived.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Analytics Feed 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 analytics retention policy (to be defined before analytics feed is live).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Chain Registry / Config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Indefinite with version history.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Controlled-Vocabulary Registry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Indefinite with version history.</w:t>
            </w:r>
          </w:p>
        </w:tc>
      </w:tr>
    </w:tbl>
    <w:p>
      <w:pPr>
        <w:spacing w:after="80" w:before="0"/>
      </w:pPr>
      <w:r>
        <w:t xml:space="preserve"/>
      </w:r>
    </w:p>
    <w:p>
      <w:pPr>
        <w:pStyle w:val="Heading1"/>
        <w:spacing w:after="120" w:before="360"/>
      </w:pPr>
      <w:r>
        <w:rPr>
          <w:rFonts w:ascii="Arial" w:cs="Arial" w:eastAsia="Arial" w:hAnsi="Arial"/>
          <w:b/>
          <w:bCs/>
          <w:color w:val="1F3864"/>
          <w:sz w:val="32"/>
          <w:szCs w:val="32"/>
        </w:rPr>
        <w:t xml:space="preserve">VII. 2678 ONBOARDING KERNEL — PII CONTROLS</w:t>
      </w:r>
    </w:p>
    <w:p>
      <w:pPr>
        <w:spacing w:after="80" w:before="60"/>
      </w:pPr>
      <w:r>
        <w:rPr>
          <w:rFonts w:ascii="Arial" w:cs="Arial" w:eastAsia="Arial" w:hAnsi="Arial"/>
          <w:sz w:val="22"/>
          <w:szCs w:val="22"/>
        </w:rPr>
        <w:t xml:space="preserve">When the TCM overlay on the 2678 Onboarding Kernel is built, the following PII controls apply:</w:t>
      </w:r>
    </w:p>
    <w:p>
      <w:pPr>
        <w:pStyle w:val="ListParagraph"/>
        <w:numPr>
          <w:ilvl w:val="0"/>
          <w:numId w:val="2"/>
        </w:numPr>
        <w:spacing w:after="40" w:before="40"/>
      </w:pPr>
      <w:r>
        <w:rPr>
          <w:rFonts w:ascii="Arial" w:cs="Arial" w:eastAsia="Arial" w:hAnsi="Arial"/>
          <w:sz w:val="22"/>
          <w:szCs w:val="22"/>
        </w:rPr>
        <w:t xml:space="preserve">PII fields (raw identity data, tax ID, government document hashes) must have scoped access and export controls.</w:t>
      </w:r>
    </w:p>
    <w:p>
      <w:pPr>
        <w:pStyle w:val="ListParagraph"/>
        <w:numPr>
          <w:ilvl w:val="0"/>
          <w:numId w:val="2"/>
        </w:numPr>
        <w:spacing w:after="40" w:before="40"/>
      </w:pPr>
      <w:r>
        <w:rPr>
          <w:rFonts w:ascii="Arial" w:cs="Arial" w:eastAsia="Arial" w:hAnsi="Arial"/>
          <w:sz w:val="22"/>
          <w:szCs w:val="22"/>
        </w:rPr>
        <w:t xml:space="preserve">PII must not be replicated to Reference Engine, Risk Engine, or any downstream engine beyond explicit access grants.</w:t>
      </w:r>
    </w:p>
    <w:p>
      <w:pPr>
        <w:pStyle w:val="ListParagraph"/>
        <w:numPr>
          <w:ilvl w:val="0"/>
          <w:numId w:val="2"/>
        </w:numPr>
        <w:spacing w:after="40" w:before="40"/>
      </w:pPr>
      <w:r>
        <w:rPr>
          <w:rFonts w:ascii="Arial" w:cs="Arial" w:eastAsia="Arial" w:hAnsi="Arial"/>
          <w:sz w:val="22"/>
          <w:szCs w:val="22"/>
        </w:rPr>
        <w:t xml:space="preserve">Every engagement, document, approval, export, and audit event must bind to a retention class.</w:t>
      </w:r>
    </w:p>
    <w:p>
      <w:pPr>
        <w:pStyle w:val="ListParagraph"/>
        <w:numPr>
          <w:ilvl w:val="0"/>
          <w:numId w:val="2"/>
        </w:numPr>
        <w:spacing w:after="40" w:before="40"/>
      </w:pPr>
      <w:r>
        <w:rPr>
          <w:rFonts w:ascii="Arial" w:cs="Arial" w:eastAsia="Arial" w:hAnsi="Arial"/>
          <w:sz w:val="22"/>
          <w:szCs w:val="22"/>
        </w:rPr>
        <w:t xml:space="preserve">Access revocation (access.revoked event) does not delete historical audit records.</w:t>
      </w:r>
    </w:p>
    <w:p>
      <w:pPr>
        <w:spacing w:after="80" w:before="0"/>
      </w:pPr>
      <w:r>
        <w:t xml:space="preserve"/>
      </w:r>
    </w:p>
    <w:p>
      <w:pPr>
        <w:pBdr>
          <w:top w:val="single" w:color="2E75B6" w:sz="4" w:space="1"/>
        </w:pBdr>
        <w:spacing w:after="60" w:before="240"/>
      </w:pPr>
      <w:r>
        <w:rPr>
          <w:rFonts w:ascii="Arial" w:cs="Arial" w:eastAsia="Arial" w:hAnsi="Arial"/>
          <w:i/>
          <w:iCs/>
          <w:color w:val="808080"/>
          <w:sz w:val="18"/>
          <w:szCs w:val="18"/>
        </w:rPr>
        <w:t xml:space="preserve">2678 Holdings LLC  |  TokenCap Miner LLC  |  TCM-DATAGOV-007 v1.0  |  June 2026  |  PRIVILEGED &amp;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2026-06-04T04:00:28.938Z</dcterms:created>
  <dcterms:modified xsi:type="dcterms:W3CDTF">2026-06-04T04:00:28.938Z</dcterms:modified>
</cp:coreProperties>
</file>

<file path=docProps/custom.xml><?xml version="1.0" encoding="utf-8"?>
<Properties xmlns="http://schemas.openxmlformats.org/officeDocument/2006/custom-properties" xmlns:vt="http://schemas.openxmlformats.org/officeDocument/2006/docPropsVTypes"/>
</file>