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2678 HOLDINGS LLC</w:t>
      </w:r>
    </w:p>
    <w:p>
      <w:pPr>
        <w:spacing w:after="60" w:before="0"/>
      </w:pPr>
      <w:r>
        <w:rPr>
          <w:rFonts w:ascii="Arial" w:cs="Arial" w:eastAsia="Arial" w:hAnsi="Arial"/>
          <w:b/>
          <w:bCs/>
          <w:color w:val="2E75B6"/>
          <w:sz w:val="36"/>
          <w:szCs w:val="36"/>
        </w:rPr>
        <w:t xml:space="preserve">TokenCap Miner LLC (TCM)</w:t>
      </w:r>
    </w:p>
    <w:p>
      <w:pPr>
        <w:pBdr>
          <w:bottom w:val="single" w:color="2E75B6" w:sz="6" w:space="1"/>
        </w:pBdr>
        <w:spacing w:after="360" w:before="0"/>
      </w:pPr>
      <w:r>
        <w:rPr>
          <w:rFonts w:ascii="Arial" w:cs="Arial" w:eastAsia="Arial" w:hAnsi="Arial"/>
          <w:b/>
          <w:bCs/>
          <w:color w:val="404040"/>
          <w:sz w:val="32"/>
          <w:szCs w:val="32"/>
        </w:rPr>
        <w:t xml:space="preserve">AUDIT &amp; MONITORING FRAMEWORK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TCM-AUDIT-008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Governing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Policy No. 2678-POL-API-001 v1.1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2678 API Control and Monitoring Dashboard (primary operational tool)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Audit 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7 years (Rule 17a-4 equivalent)</w:t>
            </w:r>
          </w:p>
        </w:tc>
      </w:tr>
    </w:tbl>
    <w:p>
      <w:pPr>
        <w:spacing w:after="80" w:before="0"/>
      </w:pPr>
      <w:r>
        <w:t xml:space="preserve"/>
      </w:r>
    </w:p>
    <w:p>
      <w:pPr>
        <w:spacing w:after="300" w:before="60"/>
      </w:pPr>
      <w:r>
        <w:rPr>
          <w:rFonts w:ascii="Arial" w:cs="Arial" w:eastAsia="Arial" w:hAnsi="Arial"/>
          <w:i/>
          <w:iCs/>
          <w:color w:val="808080"/>
          <w:sz w:val="18"/>
          <w:szCs w:val="18"/>
        </w:rPr>
        <w:t xml:space="preserve">PRIVILEGED &amp; CONFIDENTIAL  |  INTERNAL USE ONLY  |  2678 Holdings LLC</w:t>
      </w:r>
    </w:p>
    <w:p>
      <w:r>
        <w:br w:type="page"/>
      </w:r>
    </w:p>
    <w:p>
      <w:pPr>
        <w:pStyle w:val="Heading1"/>
        <w:spacing w:after="120" w:before="360"/>
      </w:pPr>
      <w:r>
        <w:rPr>
          <w:rFonts w:ascii="Arial" w:cs="Arial" w:eastAsia="Arial" w:hAnsi="Arial"/>
          <w:b/>
          <w:bCs/>
          <w:color w:val="1F3864"/>
          <w:sz w:val="32"/>
          <w:szCs w:val="32"/>
        </w:rPr>
        <w:t xml:space="preserve">I. PURPOSE</w:t>
      </w:r>
    </w:p>
    <w:p>
      <w:pPr>
        <w:spacing w:after="80" w:before="60"/>
      </w:pPr>
      <w:r>
        <w:rPr>
          <w:rFonts w:ascii="Arial" w:cs="Arial" w:eastAsia="Arial" w:hAnsi="Arial"/>
          <w:sz w:val="22"/>
          <w:szCs w:val="22"/>
        </w:rPr>
        <w:t xml:space="preserve">This Framework defines TCM's mandatory audit architecture, monitoring requirements, the 2678 API Control and Monitoring Dashboard integration, seven mandatory API-specific incident response playbooks, and KPIs tracked quarterly. Every API interaction that touches participant data, credential status, financial workflow signals, smart-contract events, or entity governance must generate a timestamped, tamper-evident audit record.</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 AUDIT EVENT SCHEMA</w:t>
      </w:r>
    </w:p>
    <w:p>
      <w:pPr>
        <w:spacing w:after="80" w:before="60"/>
      </w:pPr>
      <w:r>
        <w:rPr>
          <w:rFonts w:ascii="Arial" w:cs="Arial" w:eastAsia="Arial" w:hAnsi="Arial"/>
          <w:b/>
          <w:bCs/>
          <w:sz w:val="22"/>
          <w:szCs w:val="22"/>
        </w:rPr>
        <w:t xml:space="preserve">Every material action in TCM writes to the shared append-only audit store using the following schema. This schema is mandatory for all stores and all engines. Corrections are new records — not destructive edits.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Type &amp; Purpose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audit_event_id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 — unique identifier for every audit event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actor_type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 — HUMAN | SERVICE | SYSTEM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actor_id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 — identity of the actor (user UUID, service name, or system identifier)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 — specific action taken (e.g., 'token.issued', 'credential.revoked', 'kycresult.received')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object_type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 — type of object acted upon (e.g., 'TCTCredential', 'ComplianceCase', 'AccessGrant')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object_id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 identifier of the specific object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before_hash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bytes32 — SHA-256 of the object state before the action (null for create events)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after_hash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bytes32 — SHA-256 of the object state after the action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metadata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JSONB — additional context (jurisdiction, network_id, result_type, etc.)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event_time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timestamptz — when the event occurred (business-effective time)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chain_prev_hash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bytes32 — hash of the immediately preceding audit event in the chain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chain_hash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bytes32 — SHA-256 of (audit_event_id + after_hash + chain_prev_hash) — integrity of the chain</w:t>
            </w:r>
          </w:p>
        </w:tc>
      </w:tr>
    </w:tbl>
    <w:p>
      <w:pPr>
        <w:spacing w:after="80" w:before="0"/>
      </w:pPr>
      <w:r>
        <w:t xml:space="preserve"/>
      </w:r>
    </w:p>
    <w:p>
      <w:pPr>
        <w:pBdr>
          <w:left w:val="single" w:color="2E75B6" w:sz="12" w:space="4"/>
        </w:pBdr>
        <w:spacing w:after="80" w:before="60"/>
        <w:ind w:left="360"/>
      </w:pPr>
      <w:r>
        <w:rPr>
          <w:rFonts w:ascii="Arial" w:cs="Arial" w:eastAsia="Arial" w:hAnsi="Arial"/>
          <w:i/>
          <w:iCs/>
          <w:color w:val="1F3864"/>
          <w:sz w:val="20"/>
          <w:szCs w:val="20"/>
        </w:rPr>
        <w:t xml:space="preserve">The audit chain is the evidentiary record that demonstrates TCM's compliance operation to regulators. TCM's audit ledger receives events from all three entities (TCM, TCN, TCA). No entity may alter or delete records. Divergence = Sev-1.</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III. REQUIRED AUDIT EVENTS</w:t>
      </w:r>
    </w:p>
    <w:p>
      <w:pPr>
        <w:pStyle w:val="Heading2"/>
        <w:spacing w:after="80" w:before="240"/>
      </w:pPr>
      <w:r>
        <w:rPr>
          <w:rFonts w:ascii="Arial" w:cs="Arial" w:eastAsia="Arial" w:hAnsi="Arial"/>
          <w:b/>
          <w:bCs/>
          <w:color w:val="2E75B6"/>
          <w:sz w:val="26"/>
          <w:szCs w:val="26"/>
        </w:rPr>
        <w:t xml:space="preserve">3.1  TCM-Generated Events (minimum set)</w:t>
      </w:r>
    </w:p>
    <w:p>
      <w:pPr>
        <w:pStyle w:val="ListParagraph"/>
        <w:numPr>
          <w:ilvl w:val="0"/>
          <w:numId w:val="2"/>
        </w:numPr>
        <w:spacing w:after="40" w:before="40"/>
      </w:pPr>
      <w:r>
        <w:rPr>
          <w:rFonts w:ascii="Arial" w:cs="Arial" w:eastAsia="Arial" w:hAnsi="Arial"/>
          <w:sz w:val="22"/>
          <w:szCs w:val="22"/>
        </w:rPr>
        <w:t xml:space="preserve">token.minted — every TCT mint, including cohort batch entries</w:t>
      </w:r>
    </w:p>
    <w:p>
      <w:pPr>
        <w:pStyle w:val="ListParagraph"/>
        <w:numPr>
          <w:ilvl w:val="0"/>
          <w:numId w:val="2"/>
        </w:numPr>
        <w:spacing w:after="40" w:before="40"/>
      </w:pPr>
      <w:r>
        <w:rPr>
          <w:rFonts w:ascii="Arial" w:cs="Arial" w:eastAsia="Arial" w:hAnsi="Arial"/>
          <w:sz w:val="22"/>
          <w:szCs w:val="22"/>
        </w:rPr>
        <w:t xml:space="preserve">token.activated — credential status → Active</w:t>
      </w:r>
    </w:p>
    <w:p>
      <w:pPr>
        <w:pStyle w:val="ListParagraph"/>
        <w:numPr>
          <w:ilvl w:val="0"/>
          <w:numId w:val="2"/>
        </w:numPr>
        <w:spacing w:after="40" w:before="40"/>
      </w:pPr>
      <w:r>
        <w:rPr>
          <w:rFonts w:ascii="Arial" w:cs="Arial" w:eastAsia="Arial" w:hAnsi="Arial"/>
          <w:sz w:val="22"/>
          <w:szCs w:val="22"/>
        </w:rPr>
        <w:t xml:space="preserve">token.suspended — credential status → Suspended</w:t>
      </w:r>
    </w:p>
    <w:p>
      <w:pPr>
        <w:pStyle w:val="ListParagraph"/>
        <w:numPr>
          <w:ilvl w:val="0"/>
          <w:numId w:val="2"/>
        </w:numPr>
        <w:spacing w:after="40" w:before="40"/>
      </w:pPr>
      <w:r>
        <w:rPr>
          <w:rFonts w:ascii="Arial" w:cs="Arial" w:eastAsia="Arial" w:hAnsi="Arial"/>
          <w:sz w:val="22"/>
          <w:szCs w:val="22"/>
        </w:rPr>
        <w:t xml:space="preserve">token.revoked — credential status → Revoked</w:t>
      </w:r>
    </w:p>
    <w:p>
      <w:pPr>
        <w:pStyle w:val="ListParagraph"/>
        <w:numPr>
          <w:ilvl w:val="0"/>
          <w:numId w:val="2"/>
        </w:numPr>
        <w:spacing w:after="40" w:before="40"/>
      </w:pPr>
      <w:r>
        <w:rPr>
          <w:rFonts w:ascii="Arial" w:cs="Arial" w:eastAsia="Arial" w:hAnsi="Arial"/>
          <w:sz w:val="22"/>
          <w:szCs w:val="22"/>
        </w:rPr>
        <w:t xml:space="preserve">token.expired — credential status → Expired</w:t>
      </w:r>
    </w:p>
    <w:p>
      <w:pPr>
        <w:pStyle w:val="ListParagraph"/>
        <w:numPr>
          <w:ilvl w:val="0"/>
          <w:numId w:val="2"/>
        </w:numPr>
        <w:spacing w:after="40" w:before="40"/>
      </w:pPr>
      <w:r>
        <w:rPr>
          <w:rFonts w:ascii="Arial" w:cs="Arial" w:eastAsia="Arial" w:hAnsi="Arial"/>
          <w:sz w:val="22"/>
          <w:szCs w:val="22"/>
        </w:rPr>
        <w:t xml:space="preserve">token.retired — credential status → Retired</w:t>
      </w:r>
    </w:p>
    <w:p>
      <w:pPr>
        <w:pStyle w:val="ListParagraph"/>
        <w:numPr>
          <w:ilvl w:val="0"/>
          <w:numId w:val="2"/>
        </w:numPr>
        <w:spacing w:after="40" w:before="40"/>
      </w:pPr>
      <w:r>
        <w:rPr>
          <w:rFonts w:ascii="Arial" w:cs="Arial" w:eastAsia="Arial" w:hAnsi="Arial"/>
          <w:sz w:val="22"/>
          <w:szCs w:val="22"/>
        </w:rPr>
        <w:t xml:space="preserve">kyc.verification.initiated — KYC case opened with JPM</w:t>
      </w:r>
    </w:p>
    <w:p>
      <w:pPr>
        <w:pStyle w:val="ListParagraph"/>
        <w:numPr>
          <w:ilvl w:val="0"/>
          <w:numId w:val="2"/>
        </w:numPr>
        <w:spacing w:after="40" w:before="40"/>
      </w:pPr>
      <w:r>
        <w:rPr>
          <w:rFonts w:ascii="Arial" w:cs="Arial" w:eastAsia="Arial" w:hAnsi="Arial"/>
          <w:sz w:val="22"/>
          <w:szCs w:val="22"/>
        </w:rPr>
        <w:t xml:space="preserve">kyc.verification.completed — JPM result received (Verified | Failed | Restricted)</w:t>
      </w:r>
    </w:p>
    <w:p>
      <w:pPr>
        <w:pStyle w:val="ListParagraph"/>
        <w:numPr>
          <w:ilvl w:val="0"/>
          <w:numId w:val="2"/>
        </w:numPr>
        <w:spacing w:after="40" w:before="40"/>
      </w:pPr>
      <w:r>
        <w:rPr>
          <w:rFonts w:ascii="Arial" w:cs="Arial" w:eastAsia="Arial" w:hAnsi="Arial"/>
          <w:sz w:val="22"/>
          <w:szCs w:val="22"/>
        </w:rPr>
        <w:t xml:space="preserve">aml.screening.completed — AML/SDN result received</w:t>
      </w:r>
    </w:p>
    <w:p>
      <w:pPr>
        <w:pStyle w:val="ListParagraph"/>
        <w:numPr>
          <w:ilvl w:val="0"/>
          <w:numId w:val="2"/>
        </w:numPr>
        <w:spacing w:after="40" w:before="40"/>
      </w:pPr>
      <w:r>
        <w:rPr>
          <w:rFonts w:ascii="Arial" w:cs="Arial" w:eastAsia="Arial" w:hAnsi="Arial"/>
          <w:sz w:val="22"/>
          <w:szCs w:val="22"/>
        </w:rPr>
        <w:t xml:space="preserve">wallet.bound — wallet ownership challenge completed</w:t>
      </w:r>
    </w:p>
    <w:p>
      <w:pPr>
        <w:pStyle w:val="ListParagraph"/>
        <w:numPr>
          <w:ilvl w:val="0"/>
          <w:numId w:val="2"/>
        </w:numPr>
        <w:spacing w:after="40" w:before="40"/>
      </w:pPr>
      <w:r>
        <w:rPr>
          <w:rFonts w:ascii="Arial" w:cs="Arial" w:eastAsia="Arial" w:hAnsi="Arial"/>
          <w:sz w:val="22"/>
          <w:szCs w:val="22"/>
        </w:rPr>
        <w:t xml:space="preserve">role.granted — on-chain role grant event (all RBAC roles)</w:t>
      </w:r>
    </w:p>
    <w:p>
      <w:pPr>
        <w:pStyle w:val="ListParagraph"/>
        <w:numPr>
          <w:ilvl w:val="0"/>
          <w:numId w:val="2"/>
        </w:numPr>
        <w:spacing w:after="40" w:before="40"/>
      </w:pPr>
      <w:r>
        <w:rPr>
          <w:rFonts w:ascii="Arial" w:cs="Arial" w:eastAsia="Arial" w:hAnsi="Arial"/>
          <w:sz w:val="22"/>
          <w:szCs w:val="22"/>
        </w:rPr>
        <w:t xml:space="preserve">role.revoked — on-chain role revocation event</w:t>
      </w:r>
    </w:p>
    <w:p>
      <w:pPr>
        <w:pStyle w:val="ListParagraph"/>
        <w:numPr>
          <w:ilvl w:val="0"/>
          <w:numId w:val="2"/>
        </w:numPr>
        <w:spacing w:after="40" w:before="40"/>
      </w:pPr>
      <w:r>
        <w:rPr>
          <w:rFonts w:ascii="Arial" w:cs="Arial" w:eastAsia="Arial" w:hAnsi="Arial"/>
          <w:sz w:val="22"/>
          <w:szCs w:val="22"/>
        </w:rPr>
        <w:t xml:space="preserve">sync.write — outcome reference written to TCTOutcomeRegistry</w:t>
      </w:r>
    </w:p>
    <w:p>
      <w:pPr>
        <w:pStyle w:val="ListParagraph"/>
        <w:numPr>
          <w:ilvl w:val="0"/>
          <w:numId w:val="2"/>
        </w:numPr>
        <w:spacing w:after="40" w:before="40"/>
      </w:pPr>
      <w:r>
        <w:rPr>
          <w:rFonts w:ascii="Arial" w:cs="Arial" w:eastAsia="Arial" w:hAnsi="Arial"/>
          <w:sz w:val="22"/>
          <w:szCs w:val="22"/>
        </w:rPr>
        <w:t xml:space="preserve">reconciliation.run — result of every mirror-vs-chain, audit-vs-mirror, billing-vs-events job</w:t>
      </w:r>
    </w:p>
    <w:p>
      <w:pPr>
        <w:pStyle w:val="ListParagraph"/>
        <w:numPr>
          <w:ilvl w:val="0"/>
          <w:numId w:val="2"/>
        </w:numPr>
        <w:spacing w:after="40" w:before="40"/>
      </w:pPr>
      <w:r>
        <w:rPr>
          <w:rFonts w:ascii="Arial" w:cs="Arial" w:eastAsia="Arial" w:hAnsi="Arial"/>
          <w:sz w:val="22"/>
          <w:szCs w:val="22"/>
        </w:rPr>
        <w:t xml:space="preserve">auth.api.called — every TCM-CRED-VERIFY-002 call (token_id, response status, caller identity, timestamp)</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Events Received from TCN and TCA</w:t>
      </w:r>
    </w:p>
    <w:p>
      <w:pPr>
        <w:pStyle w:val="ListParagraph"/>
        <w:numPr>
          <w:ilvl w:val="0"/>
          <w:numId w:val="2"/>
        </w:numPr>
        <w:spacing w:after="40" w:before="40"/>
      </w:pPr>
      <w:r>
        <w:rPr>
          <w:rFonts w:ascii="Arial" w:cs="Arial" w:eastAsia="Arial" w:hAnsi="Arial"/>
          <w:sz w:val="22"/>
          <w:szCs w:val="22"/>
        </w:rPr>
        <w:t xml:space="preserve">tcn.platform.access.granted — participant authenticated into TCN via TCM Auth API</w:t>
      </w:r>
    </w:p>
    <w:p>
      <w:pPr>
        <w:pStyle w:val="ListParagraph"/>
        <w:numPr>
          <w:ilvl w:val="0"/>
          <w:numId w:val="2"/>
        </w:numPr>
        <w:spacing w:after="40" w:before="40"/>
      </w:pPr>
      <w:r>
        <w:rPr>
          <w:rFonts w:ascii="Arial" w:cs="Arial" w:eastAsia="Arial" w:hAnsi="Arial"/>
          <w:sz w:val="22"/>
          <w:szCs w:val="22"/>
        </w:rPr>
        <w:t xml:space="preserve">tcn.platform.access.denied — authentication denied (with denial reason)</w:t>
      </w:r>
    </w:p>
    <w:p>
      <w:pPr>
        <w:pStyle w:val="ListParagraph"/>
        <w:numPr>
          <w:ilvl w:val="0"/>
          <w:numId w:val="2"/>
        </w:numPr>
        <w:spacing w:after="40" w:before="40"/>
      </w:pPr>
      <w:r>
        <w:rPr>
          <w:rFonts w:ascii="Arial" w:cs="Arial" w:eastAsia="Arial" w:hAnsi="Arial"/>
          <w:sz w:val="22"/>
          <w:szCs w:val="22"/>
        </w:rPr>
        <w:t xml:space="preserve">tcn.collaboration.signal — participant expressed interest in project</w:t>
      </w:r>
    </w:p>
    <w:p>
      <w:pPr>
        <w:pStyle w:val="ListParagraph"/>
        <w:numPr>
          <w:ilvl w:val="0"/>
          <w:numId w:val="2"/>
        </w:numPr>
        <w:spacing w:after="40" w:before="40"/>
      </w:pPr>
      <w:r>
        <w:rPr>
          <w:rFonts w:ascii="Arial" w:cs="Arial" w:eastAsia="Arial" w:hAnsi="Arial"/>
          <w:sz w:val="22"/>
          <w:szCs w:val="22"/>
        </w:rPr>
        <w:t xml:space="preserve">tcn.smart_contract.deployed — smart-contract deployment event</w:t>
      </w:r>
    </w:p>
    <w:p>
      <w:pPr>
        <w:pStyle w:val="ListParagraph"/>
        <w:numPr>
          <w:ilvl w:val="0"/>
          <w:numId w:val="2"/>
        </w:numPr>
        <w:spacing w:after="40" w:before="40"/>
      </w:pPr>
      <w:r>
        <w:rPr>
          <w:rFonts w:ascii="Arial" w:cs="Arial" w:eastAsia="Arial" w:hAnsi="Arial"/>
          <w:sz w:val="22"/>
          <w:szCs w:val="22"/>
        </w:rPr>
        <w:t xml:space="preserve">tcn.venture.formation.milestone — venture formation workflow milestone</w:t>
      </w:r>
    </w:p>
    <w:p>
      <w:pPr>
        <w:pStyle w:val="ListParagraph"/>
        <w:numPr>
          <w:ilvl w:val="0"/>
          <w:numId w:val="2"/>
        </w:numPr>
        <w:spacing w:after="40" w:before="40"/>
      </w:pPr>
      <w:r>
        <w:rPr>
          <w:rFonts w:ascii="Arial" w:cs="Arial" w:eastAsia="Arial" w:hAnsi="Arial"/>
          <w:sz w:val="22"/>
          <w:szCs w:val="22"/>
        </w:rPr>
        <w:t xml:space="preserve">tcn.escrow.gateway.signal — escrow gateway event</w:t>
      </w:r>
    </w:p>
    <w:p>
      <w:pPr>
        <w:pStyle w:val="ListParagraph"/>
        <w:numPr>
          <w:ilvl w:val="0"/>
          <w:numId w:val="2"/>
        </w:numPr>
        <w:spacing w:after="40" w:before="40"/>
      </w:pPr>
      <w:r>
        <w:rPr>
          <w:rFonts w:ascii="Arial" w:cs="Arial" w:eastAsia="Arial" w:hAnsi="Arial"/>
          <w:sz w:val="22"/>
          <w:szCs w:val="22"/>
        </w:rPr>
        <w:t xml:space="preserve">tca.analytics.accessed — analytics data access event (when TCA integration is live)</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IV. RECONCILIATION JOB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Divergence Alert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Missed Run Alert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Mirror-vs-chain reconciliation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Every 5 min</w:t>
            </w:r>
          </w:p>
        </w:tc>
        <w:tc>
          <w:tcPr>
            <w:tcW w:type="dxa" w:w="2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18"/>
                <w:szCs w:val="18"/>
              </w:rPr>
              <w:t xml:space="preserve">Sev-1 PagerDuty — immediate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Sev-2 after 2 consecutive missed runs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Audit-vs-mirror reconciliation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15 min</w:t>
            </w:r>
          </w:p>
        </w:tc>
        <w:tc>
          <w:tcPr>
            <w:tcW w:type="dxa" w:w="2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color w:val="CC0000"/>
                <w:sz w:val="18"/>
                <w:szCs w:val="18"/>
              </w:rPr>
              <w:t xml:space="preserve">Sev-1 PagerDuty — immediate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Sev-2 after 2 consecutive missed runs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Billing-vs-events reconciliation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Every hour</w:t>
            </w:r>
          </w:p>
        </w:tc>
        <w:tc>
          <w:tcPr>
            <w:tcW w:type="dxa" w:w="20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r>
              <w:rPr>
                <w:rFonts w:ascii="Arial" w:cs="Arial" w:eastAsia="Arial" w:hAnsi="Arial"/>
                <w:b w:val="false"/>
                <w:bCs w:val="false"/>
                <w:color w:val="000000"/>
                <w:sz w:val="18"/>
                <w:szCs w:val="18"/>
              </w:rPr>
              <w:t xml:space="preserve">Sev-2 PagerDuty — 15-min response SLA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Sev-3 after 3 consecutive missed runs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Chain registry health check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2 min</w:t>
            </w:r>
          </w:p>
        </w:tc>
        <w:tc>
          <w:tcPr>
            <w:tcW w:type="dxa" w:w="20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r>
              <w:rPr>
                <w:rFonts w:ascii="Arial" w:cs="Arial" w:eastAsia="Arial" w:hAnsi="Arial"/>
                <w:b w:val="false"/>
                <w:bCs w:val="false"/>
                <w:color w:val="000000"/>
                <w:sz w:val="18"/>
                <w:szCs w:val="18"/>
              </w:rPr>
              <w:t xml:space="preserve">Sev-2 if primary RPC unreachable (failover triggered)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Idempotency key index cleanup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Daily at 02:00 UTC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Sev-3 if not run for 48 hours</w:t>
            </w:r>
          </w:p>
        </w:tc>
      </w:tr>
    </w:tbl>
    <w:p>
      <w:pPr>
        <w:spacing w:after="80" w:before="0"/>
      </w:pPr>
      <w:r>
        <w:t xml:space="preserve"/>
      </w:r>
    </w:p>
    <w:p>
      <w:pPr>
        <w:spacing w:after="80" w:before="60"/>
      </w:pPr>
      <w:r>
        <w:rPr>
          <w:rFonts w:ascii="Arial" w:cs="Arial" w:eastAsia="Arial" w:hAnsi="Arial"/>
          <w:sz w:val="22"/>
          <w:szCs w:val="22"/>
        </w:rPr>
        <w:t xml:space="preserve">Every reconciliation job outcome is written to the audit log: job name, run timestamp, records checked, divergences found, action taken. A clean run with zero divergences is logged as a positive confirmation — not silently skipped.</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 2678 API CONTROL AND MONITORING DASHBOARD</w:t>
      </w:r>
    </w:p>
    <w:p>
      <w:pPr>
        <w:spacing w:after="80" w:before="60"/>
      </w:pPr>
      <w:r>
        <w:rPr>
          <w:rFonts w:ascii="Arial" w:cs="Arial" w:eastAsia="Arial" w:hAnsi="Arial"/>
          <w:b/>
          <w:bCs/>
          <w:sz w:val="22"/>
          <w:szCs w:val="22"/>
        </w:rPr>
        <w:t xml:space="preserve">The 2678 API Control and Monitoring Dashboard is the primary operational tool for all API monitoring and governance across TCM. Integration is mandatory before production launch.</w:t>
      </w:r>
    </w:p>
    <w:p>
      <w:pPr>
        <w:pStyle w:val="ListParagraph"/>
        <w:numPr>
          <w:ilvl w:val="0"/>
          <w:numId w:val="2"/>
        </w:numPr>
        <w:spacing w:after="40" w:before="40"/>
      </w:pPr>
      <w:r>
        <w:rPr>
          <w:rFonts w:ascii="Arial" w:cs="Arial" w:eastAsia="Arial" w:hAnsi="Arial"/>
          <w:sz w:val="22"/>
          <w:szCs w:val="22"/>
        </w:rPr>
        <w:t xml:space="preserve">Provides real-time, automated monitoring of all APIs registered in the API Inventory.</w:t>
      </w:r>
    </w:p>
    <w:p>
      <w:pPr>
        <w:pStyle w:val="ListParagraph"/>
        <w:numPr>
          <w:ilvl w:val="0"/>
          <w:numId w:val="2"/>
        </w:numPr>
        <w:spacing w:after="40" w:before="40"/>
      </w:pPr>
      <w:r>
        <w:rPr>
          <w:rFonts w:ascii="Arial" w:cs="Arial" w:eastAsia="Arial" w:hAnsi="Arial"/>
          <w:sz w:val="22"/>
          <w:szCs w:val="22"/>
        </w:rPr>
        <w:t xml:space="preserve">Surfaces inventory currency status in real time; alerts TCM Technology Lead when any Inventory record becomes stale (&gt;30 days without review).</w:t>
      </w:r>
    </w:p>
    <w:p>
      <w:pPr>
        <w:pStyle w:val="ListParagraph"/>
        <w:numPr>
          <w:ilvl w:val="0"/>
          <w:numId w:val="2"/>
        </w:numPr>
        <w:spacing w:after="40" w:before="40"/>
      </w:pPr>
      <w:r>
        <w:rPr>
          <w:rFonts w:ascii="Arial" w:cs="Arial" w:eastAsia="Arial" w:hAnsi="Arial"/>
          <w:sz w:val="22"/>
          <w:szCs w:val="22"/>
        </w:rPr>
        <w:t xml:space="preserve">Generates automated alerts for all defined alert conditions (see Playbooks below).</w:t>
      </w:r>
    </w:p>
    <w:p>
      <w:pPr>
        <w:pStyle w:val="ListParagraph"/>
        <w:numPr>
          <w:ilvl w:val="0"/>
          <w:numId w:val="2"/>
        </w:numPr>
        <w:spacing w:after="40" w:before="40"/>
      </w:pPr>
      <w:r>
        <w:rPr>
          <w:rFonts w:ascii="Arial" w:cs="Arial" w:eastAsia="Arial" w:hAnsi="Arial"/>
          <w:sz w:val="22"/>
          <w:szCs w:val="22"/>
        </w:rPr>
        <w:t xml:space="preserve">Incident records are opened, tracked, and resolved within the Dashboard.</w:t>
      </w:r>
    </w:p>
    <w:p>
      <w:pPr>
        <w:pStyle w:val="ListParagraph"/>
        <w:numPr>
          <w:ilvl w:val="0"/>
          <w:numId w:val="2"/>
        </w:numPr>
        <w:spacing w:after="40" w:before="40"/>
      </w:pPr>
      <w:r>
        <w:rPr>
          <w:rFonts w:ascii="Arial" w:cs="Arial" w:eastAsia="Arial" w:hAnsi="Arial"/>
          <w:sz w:val="22"/>
          <w:szCs w:val="22"/>
        </w:rPr>
        <w:t xml:space="preserve">Dashboard exports are the evidentiary basis for API Governance Working Group quarterly reporting.</w:t>
      </w:r>
    </w:p>
    <w:p>
      <w:pPr>
        <w:pStyle w:val="ListParagraph"/>
        <w:numPr>
          <w:ilvl w:val="0"/>
          <w:numId w:val="2"/>
        </w:numPr>
        <w:spacing w:after="40" w:before="40"/>
      </w:pPr>
      <w:r>
        <w:rPr>
          <w:rFonts w:ascii="Arial" w:cs="Arial" w:eastAsia="Arial" w:hAnsi="Arial"/>
          <w:sz w:val="22"/>
          <w:szCs w:val="22"/>
        </w:rPr>
        <w:t xml:space="preserve">Provider change monitoring: automated detection of third-party provider release notes, deprecation notices, security advisories.</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 SEVEN MANDATORY INCIDENT RESPONSE PLAYBOOKS</w:t>
      </w:r>
    </w:p>
    <w:p>
      <w:pPr>
        <w:spacing w:after="80" w:before="60"/>
      </w:pPr>
      <w:r>
        <w:rPr>
          <w:rFonts w:ascii="Arial" w:cs="Arial" w:eastAsia="Arial" w:hAnsi="Arial"/>
          <w:b/>
          <w:bCs/>
          <w:sz w:val="22"/>
          <w:szCs w:val="22"/>
        </w:rPr>
        <w:t xml:space="preserve">The following playbooks are mandatory. Each must be written, assigned an engineering owner, and tabletop-tested before production cutover. Target: Month 4 of build.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Playbook</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Actions Required</w:t>
            </w:r>
          </w:p>
        </w:tc>
      </w:tr>
      <w:tr>
        <w:tc>
          <w:tcPr>
            <w:tcW w:type="dxa" w:w="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P1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Token / Credential Compromise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Immediate revocation via REVOCATION_ROLE_TCM. TCN notification via TCT_GATEWAY_ROLE. WorkflowParticipantRevoked event emitted. All associated API credentials rotated. Escalate to Managing Member.</w:t>
            </w:r>
          </w:p>
        </w:tc>
      </w:tr>
      <w:tr>
        <w:tc>
          <w:tcPr>
            <w:tcW w:type="dxa" w:w="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Broken Authentication Discovery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Immediate suspension of affected endpoint. OWASP assessment. Root cause investigation. All potentially affected credentials reviewed and rotated. Regulator notification assessment by Legal.</w:t>
            </w:r>
          </w:p>
        </w:tc>
      </w:tr>
      <w:tr>
        <w:tc>
          <w:tcPr>
            <w:tcW w:type="dxa" w:w="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P3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Unauthorized Data Access via API</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Identify affected records. Assess PII exposure. FinCEN/SEC notification assessment by Legal. Participant notification assessment. Forensic log review. Endpoint suspended pending remediation.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80"/>
                <w:sz w:val="18"/>
                <w:szCs w:val="18"/>
              </w:rPr>
              <w:t xml:space="preserve">P4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Third-Party Provider Outage (JPM or RPC)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Activate failover per tested procedures. If JPM: TCM/TCN access in degraded mode per documented policy. If primary RPC: automatic failover to secondary (Alchemy → Infura). Escalate to on-call within 5 minutes. Notify TCN Technology Lead.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80"/>
                <w:sz w:val="18"/>
                <w:szCs w:val="18"/>
              </w:rPr>
              <w:t xml:space="preserve">P5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Provider Deprecation Creating Disruption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Migration plan activation. Parallel provider operation during transition. Dual-run validation before cutover. Managed decommissioning per Section 4.6 of API Policy.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80"/>
                <w:sz w:val="18"/>
                <w:szCs w:val="18"/>
              </w:rPr>
              <w:t xml:space="preserve">P6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Shadow / Undocumented API Discovery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Immediate escalation to Policy Owner (24 hours). Suspension of undocumented endpoint. Inventory registration if retained. Security assessment before any return to operation. Disciplinary review if human error.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80"/>
                <w:sz w:val="18"/>
                <w:szCs w:val="18"/>
              </w:rPr>
              <w:t xml:space="preserve">P7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Third-Party Provider Security Breach</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Immediate credential rotation for all keys issued by affected provider. Access audit for all data exchanged through affected API. Legal/Compliance assessment of breach notification obligations. Provider incident report review.</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VII. KPIS — TRACKED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API Inventory Completeness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of known production APIs with current, complete Inventory registrations.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Critical API Availability (TCM-CRED-VERIFY-002)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99.9% against defined SLA target.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Mean Time to Detect (MTTD)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Average time from initiation of unauthorized API use to detection. Target: downward trend.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Shadow API Discovery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of undocumented APIs discovered per quarter. Target: zero.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Pre-Production Testing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of APIs deployed in the reporting period with completed pre-production security testing.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Third-Party Assessment 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of third-party APIs with completed risk assessment within past 12 months.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Deprecated Versions in 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 API versions flagged as deprecated by provider remaining in active production.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Credential Rotation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 of API credentials rotated within defined rotation schedule.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Critical API Failover Test Currency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TCM-CRED-VERIFY-002 failover test completed within the past 12 months.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Exception 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of active exceptions and their age. Exceptions &gt;90 days require Working Group re-review.</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VIII. 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Continuous (real-time)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monitors all APIs. Automated alerts for all defined conditions. No human action required to initiate monitoring.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Monthly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Entity Technology Lead reviews: Inventory currency report; open alerts; newly discovered shadow APIs; security events. Results recorded in Dashboard incident log.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Quarterly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Governance Working Group structured review: all KPIs; active exceptions; third-party risk; provider deprecation; credential rotation; patent review status; intercompany agreement status. Findings reported to Managing Member.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Annual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Policy review; Critical API penetration test completion; third-party API reassessments; credential rotation audit; all API Inventory entries confirmed current.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Event-Driven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generates immediate alerts and opens incident records for: security incidents; shadow API discovery; provider deprecation for Critical/Important APIs; entity-separation concerns; intercompany agreement violations; patent consistency issues; credential compromise.</w:t>
            </w:r>
          </w:p>
        </w:tc>
      </w:tr>
    </w:tbl>
    <w:p>
      <w:pPr>
        <w:spacing w:after="80" w:before="0"/>
      </w:pPr>
      <w:r>
        <w:t xml:space="preserve"/>
      </w:r>
    </w:p>
    <w:p>
      <w:pPr>
        <w:pBdr>
          <w:top w:val="single" w:color="2E75B6" w:sz="4" w:space="1"/>
        </w:pBdr>
        <w:spacing w:after="60" w:before="240"/>
      </w:pPr>
      <w:r>
        <w:rPr>
          <w:rFonts w:ascii="Arial" w:cs="Arial" w:eastAsia="Arial" w:hAnsi="Arial"/>
          <w:i/>
          <w:iCs/>
          <w:color w:val="808080"/>
          <w:sz w:val="18"/>
          <w:szCs w:val="18"/>
        </w:rPr>
        <w:t xml:space="preserve">2678 Holdings LLC  |  TokenCap Miner LLC  |  TCM-AUDIT-008 v1.0  |  June 2026  |  PRIVILEGED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2026-06-04T04:00:29.030Z</dcterms:created>
  <dcterms:modified xsi:type="dcterms:W3CDTF">2026-06-04T04:00:29.030Z</dcterms:modified>
</cp:coreProperties>
</file>

<file path=docProps/custom.xml><?xml version="1.0" encoding="utf-8"?>
<Properties xmlns="http://schemas.openxmlformats.org/officeDocument/2006/custom-properties" xmlns:vt="http://schemas.openxmlformats.org/officeDocument/2006/docPropsVTypes"/>
</file>