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60" w:before="0"/>
        <w:jc w:val="center"/>
      </w:pPr>
      <w:r>
        <w:rPr>
          <w:rFonts w:ascii="Arial" w:cs="Arial" w:eastAsia="Arial" w:hAnsi="Arial"/>
          <w:b/>
          <w:bCs/>
          <w:caps/>
          <w:color w:val="888780"/>
          <w:spacing w:val="60"/>
          <w:sz w:val="18"/>
          <w:szCs w:val="18"/>
        </w:rPr>
        <w:t xml:space="preserve">2678 HOLDINGS LLC  ·  TCM — TOKENCAP MINER</w:t>
      </w:r>
    </w:p>
    <w:p>
      <w:pPr>
        <w:spacing w:after="60" w:before="0"/>
        <w:jc w:val="center"/>
      </w:pPr>
      <w:r>
        <w:rPr>
          <w:rFonts w:ascii="Arial" w:cs="Arial" w:eastAsia="Arial" w:hAnsi="Arial"/>
          <w:caps/>
          <w:color w:val="AAAAAA"/>
          <w:spacing w:val="60"/>
          <w:sz w:val="16"/>
          <w:szCs w:val="16"/>
        </w:rPr>
        <w:t xml:space="preserve">PRIVILEGED &amp; CONFIDENTIAL  ·  INTERNAL USE ONLY</w:t>
      </w:r>
    </w:p>
    <w:p>
      <w:pPr>
        <w:spacing w:after="160" w:before="0"/>
      </w:pPr>
      <w:r>
        <w:t xml:space="preserve"/>
      </w:r>
    </w:p>
    <w:p>
      <w:pPr>
        <w:spacing w:after="40" w:before="0"/>
        <w:jc w:val="center"/>
      </w:pPr>
      <w:r>
        <w:rPr>
          <w:rFonts w:ascii="Arial" w:cs="Arial" w:eastAsia="Arial" w:hAnsi="Arial"/>
          <w:b/>
          <w:bCs/>
          <w:color w:val="1A1A1A"/>
          <w:sz w:val="52"/>
          <w:szCs w:val="52"/>
        </w:rPr>
        <w:t xml:space="preserve">Technical Specifications</w:t>
      </w:r>
    </w:p>
    <w:p>
      <w:pPr>
        <w:spacing w:after="40" w:before="0"/>
        <w:jc w:val="center"/>
      </w:pPr>
      <w:r>
        <w:rPr>
          <w:rFonts w:ascii="Arial" w:cs="Arial" w:eastAsia="Arial" w:hAnsi="Arial"/>
          <w:color w:val="534AB7"/>
          <w:sz w:val="32"/>
          <w:szCs w:val="32"/>
        </w:rPr>
        <w:t xml:space="preserve">Hardware &amp; Software Requirements</w:t>
      </w:r>
    </w:p>
    <w:p>
      <w:pPr>
        <w:spacing w:after="40" w:before="0"/>
        <w:jc w:val="center"/>
      </w:pPr>
      <w:r>
        <w:rPr>
          <w:rFonts w:ascii="Arial" w:cs="Arial" w:eastAsia="Arial" w:hAnsi="Arial"/>
          <w:i/>
          <w:iCs/>
          <w:color w:val="5F5E5A"/>
          <w:sz w:val="24"/>
          <w:szCs w:val="24"/>
        </w:rPr>
        <w:t xml:space="preserve">TokenCap Token Engine — Miner Build</w:t>
      </w:r>
    </w:p>
    <w:p>
      <w:pPr>
        <w:spacing w:after="160" w:before="0"/>
      </w:pPr>
      <w:r>
        <w:t xml:space="preserve"/>
      </w:r>
    </w:p>
    <w:p>
      <w:pPr>
        <w:spacing w:after="40" w:before="0"/>
        <w:jc w:val="center"/>
      </w:pPr>
      <w:r>
        <w:rPr>
          <w:rFonts w:ascii="Arial" w:cs="Arial" w:eastAsia="Arial" w:hAnsi="Arial"/>
          <w:b/>
          <w:bCs/>
          <w:color w:val="A32D2D"/>
          <w:sz w:val="24"/>
          <w:szCs w:val="24"/>
        </w:rPr>
        <w:t xml:space="preserve">VERSION 2.0  ·  May 29, 2026</w:t>
      </w:r>
    </w:p>
    <w:p>
      <w:pPr>
        <w:spacing w:after="40" w:before="0"/>
        <w:jc w:val="center"/>
      </w:pPr>
      <w:r>
        <w:rPr>
          <w:rFonts w:ascii="Arial" w:cs="Arial" w:eastAsia="Arial" w:hAnsi="Arial"/>
          <w:i/>
          <w:iCs/>
          <w:color w:val="5F5E5A"/>
          <w:sz w:val="20"/>
          <w:szCs w:val="20"/>
        </w:rPr>
        <w:t xml:space="preserve">All v1 review findings incorporated. JPMorgan Chase confirmed as KYC vendor. 20 additions and corrections from senior engineer review.</w:t>
      </w:r>
    </w:p>
    <w:p>
      <w:pPr>
        <w:spacing w:after="120" w:before="0"/>
      </w:pPr>
      <w:r>
        <w:t xml:space="preserve"/>
      </w:r>
    </w:p>
    <w:p>
      <w:pPr>
        <w:spacing w:after="0" w:before="0"/>
        <w:jc w:val="center"/>
      </w:pPr>
      <w:r>
        <w:rPr>
          <w:rFonts w:ascii="Arial" w:cs="Arial" w:eastAsia="Arial" w:hAnsi="Arial"/>
          <w:i/>
          <w:iCs/>
          <w:color w:val="AAAAAA"/>
          <w:sz w:val="18"/>
          <w:szCs w:val="18"/>
        </w:rPr>
        <w:t xml:space="preserve">Governing documents: Provisional Patent Application · TCT Implementation Memo Rev 2 · Token Engine Staff Memo · TCNWFT Implementation Memo · Patent Figures FIG. 1–10</w:t>
      </w:r>
    </w:p>
    <w:p>
      <w:r>
        <w:br w:type="page"/>
      </w:r>
    </w:p>
    <w:p>
      <w:pPr>
        <w:pStyle w:val="Heading1"/>
        <w:spacing w:after="160" w:before="400"/>
      </w:pPr>
      <w:r>
        <w:rPr>
          <w:rFonts w:ascii="Arial" w:cs="Arial" w:eastAsia="Arial" w:hAnsi="Arial"/>
          <w:b/>
          <w:bCs/>
          <w:color w:val="1A1A1A"/>
          <w:sz w:val="32"/>
          <w:szCs w:val="32"/>
        </w:rPr>
        <w:t xml:space="preserve">Change Log: V1 → V2</w:t>
      </w:r>
    </w:p>
    <w:p>
      <w:pPr>
        <w:spacing w:after="100" w:before="60"/>
      </w:pPr>
      <w:r>
        <w:rPr>
          <w:rFonts w:ascii="Arial" w:cs="Arial" w:eastAsia="Arial" w:hAnsi="Arial"/>
          <w:color w:val="3A3A3A"/>
          <w:sz w:val="20"/>
          <w:szCs w:val="20"/>
        </w:rPr>
        <w:t xml:space="preserve">Version 2 closes all six critical gaps identified in the v1 review, adds eight important items, and incorporates six minor improvements. JPMorgan Chase replaces Persona as the confirmed KYC vendor per MRB decision of May 29, 2026.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6200"/>
        <w:gridCol w:w="1400"/>
      </w:tblGrid>
      <w:tr>
        <w:tc>
          <w:tcPr>
            <w:tcW w:type="dxa" w:w="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Section</w:t>
            </w:r>
          </w:p>
        </w:tc>
        <w:tc>
          <w:tcPr>
            <w:tcW w:type="dxa" w:w="6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Change</w:t>
            </w:r>
          </w:p>
        </w:tc>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Severity</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Parts I, VI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JPMorgan Chase confirmed as primary KYC/AML vendor. Persona retained for dev/staging sandbox only. All vendor references updated.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Decision</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X (new)</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Auth API exact request/response JSON schema added. v1 schema agreement required before TCN builds middleware.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XI (new)</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SLA and performance requirements added: 99.9% availability, p95 ≤150ms latency, RTO 15min, RPO 5min.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IV</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finality block thresholds added: Soft Final 32 blocks, Operational Final 64, Audit Final 128.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III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RETIRED added as a sixth credential status (reversible dormant state). Distinguished from REVOKED (terminal). State machine updated.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III</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v1 Controlled vocabulary bootstrap table added. Normalizer cannot be coded without it.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All parts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Global terminology fix: "externally determined" no longer equates to "off-chain." Replaced with "determined elsewhere" throughout. Aligns with Patent Comments C1/C2.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fix</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III</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ERC-1155 cohort batch size limit added: maximum 50 tokens per transaction on Polygon PoS.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Three-environment matrix added: Dev, Staging, Production with chain, vendor, and data rules per environment.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IV</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Reconciliation job schedules added: mirror-vs-chain every 5 min, audit-vs-mirror every 15 min, billing-vs-events every hour.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VII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mTLS certificate rotation schedule added: 90-day certificates, quarterly rotation, 30-day expiry alert.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IX</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ERC-4337 v2 upgrade compatibility requirements added at contract level: EIP-1271, wallet-agnostic identity_binding.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 dashboard minimum v1 UX requirements added per MRB TCNWFT Comment 14.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IV</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Gas markup instrumentation added: chain-cost ledger schema, 20% placeholder markup, config in chain registry.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IV</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Second adapter acceptance criteria defined: 50+ events, identical hashes, all finality states, outcome reference writes.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Important add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V</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Analytics feed record schema added: pseudonymized fields, no PII, downstream-only.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Minor</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VI</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SDN kill switch explicit statement added: blocked tokens are revoked, not sold or priced.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Minor</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IX</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UAT pilot acceptance criteria defined: 5 participants, 1 lister, 1 cohort mint, 6-gate completion test.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Minor</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C19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IX</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Canonical event schema versioning strategy added: semantic versioning, normalizer accepts MAJOR ±1 during migrations.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Minor</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C20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 V</w:t>
            </w:r>
          </w:p>
        </w:tc>
        <w:tc>
          <w:tcPr>
            <w:tcW w:type="dxa" w:w="6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Two pricing tiers reflected in commercial/merchandising store: LISTER_COHORT and INDIVIDUAL_PURCHASE order types.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Minor</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I — Governing Architecture &amp; Scope</w:t>
      </w:r>
    </w:p>
    <w:p>
      <w:pPr>
        <w:spacing w:after="100" w:before="60"/>
      </w:pPr>
      <w:r>
        <w:rPr>
          <w:rFonts w:ascii="Arial" w:cs="Arial" w:eastAsia="Arial" w:hAnsi="Arial"/>
          <w:color w:val="3A3A3A"/>
          <w:sz w:val="20"/>
          <w:szCs w:val="20"/>
        </w:rPr>
        <w:t xml:space="preserve">These specifications govern the build of the TCM (TokenCap Miner) platform and the TokenCap Token Engine. Version 2 incorporates all findings from the senior engineer review of v1 and reflects MRB's May 29, 2026 decision to use JPMorgan Chase as the KYC/AML vendor.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4"/>
              <w:bottom w:val="single" w:color="CCCCCC" w:sz="1"/>
              <w:right w:val="none" w:color="FFFFFF" w:sz="0"/>
            </w:tcBorders>
            <w:shd w:fill="EEEDFE" w:val="clear"/>
            <w:tcMar>
              <w:top w:type="dxa" w:w="100"/>
              <w:left w:type="dxa" w:w="160"/>
              <w:bottom w:type="dxa" w:w="100"/>
              <w:right w:type="dxa" w:w="160"/>
            </w:tcMar>
          </w:tcPr>
          <w:p>
            <w:pPr>
              <w:spacing w:after="30" w:before="0"/>
            </w:pPr>
            <w:r>
              <w:rPr>
                <w:rFonts w:ascii="Arial" w:cs="Arial" w:eastAsia="Arial" w:hAnsi="Arial"/>
                <w:b/>
                <w:bCs/>
                <w:color w:val="534AB7"/>
                <w:sz w:val="18"/>
                <w:szCs w:val="18"/>
              </w:rPr>
              <w:t xml:space="preserve">Architectural rule</w:t>
            </w:r>
          </w:p>
          <w:p>
            <w:pPr>
              <w:spacing w:after="0" w:before="0"/>
            </w:pPr>
            <w:r>
              <w:rPr>
                <w:rFonts w:ascii="Arial" w:cs="Arial" w:eastAsia="Arial" w:hAnsi="Arial"/>
                <w:color w:val="3A3A3A"/>
                <w:sz w:val="19"/>
                <w:szCs w:val="19"/>
              </w:rPr>
              <w:t xml:space="preserve">TCT authenticates and reports. TCN executes. Off-chain entities determine, hold, and intermediate value. The Token Engine is the TCM-side kernel that operationalises that rule. Nothing in the build may cause the Engine to determine, calculate, or settle economic outcomes.</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Document</w:t>
            </w:r>
          </w:p>
        </w:tc>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Version</w:t>
            </w:r>
          </w:p>
        </w:tc>
        <w:tc>
          <w:tcPr>
            <w:tcW w:type="dxa" w:w="5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Governs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Provisional Patent Application (35 U.S.C. §111(b))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May 2026 draft — filing-ready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Full system architecture. 40 claims in 9 families. Constrains all vocabulary and implementation choices. Non-provisional must be filed by May 2027 — patent-alignment engineering owner required during this window.</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TCT Implementation Memorandum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 2 — May 2026</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TokenCap Token design, on-chain contract spec, RBAC, wallet model, synchronization pipeline, revenue streams.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TokenCap Token Engine Staff Memo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v1 — May 2026</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Four operational aspects of TCM website, Token Engine component map, 12-store database architecture.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TCNWFT Implementation Memo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 1 — May 2026</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 Workflow Token design. TCM Engine consumes TCNWFT events via same adapter pipeline.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Patent Figures FIG. 1–10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Filed with patent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FIG.1 system overview, FIG.2 credential lifecycle, FIG.3 conversion/escrow gate, FIG.4 dual-token model, FIG.5 recordation-event model, FIG.6 RBAC, FIG.7 finality state machine, FIG.8 reporter-not-determiner, FIG.9 chain abstraction, FIG.10 database portfolio.</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MRB Comment Resolutions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TCT Impl Memo C1 [V2] — Resolution</w:t>
            </w:r>
          </w:p>
          <w:p>
            <w:pPr>
              <w:spacing w:after="0" w:before="0"/>
            </w:pPr>
            <w:r>
              <w:rPr>
                <w:rFonts w:ascii="Arial" w:cs="Arial" w:eastAsia="Arial" w:hAnsi="Arial"/>
                <w:color w:val="3A3A3A"/>
                <w:sz w:val="19"/>
                <w:szCs w:val="19"/>
              </w:rPr>
              <w:t xml:space="preserve">Two distinct pricing tiers exist. (1) Minting fee: project lister pays TCM to mint a cohort for a specific project. (2) Individual TCT sales price: individual participant pays to acquire the credential. Commercial/merchandising store models both as distinct order types (LISTER_COHORT and INDIVIDUAL_PURCHASE). Billing store reconciles each independently. See Part V.</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Token Engine Memo C0 [V2] — Resolution</w:t>
            </w:r>
          </w:p>
          <w:p>
            <w:pPr>
              <w:spacing w:after="0" w:before="0"/>
            </w:pPr>
            <w:r>
              <w:rPr>
                <w:rFonts w:ascii="Arial" w:cs="Arial" w:eastAsia="Arial" w:hAnsi="Arial"/>
                <w:color w:val="3A3A3A"/>
                <w:sz w:val="19"/>
                <w:szCs w:val="19"/>
              </w:rPr>
              <w:t xml:space="preserve">Legal gate fires at project election, NOT at purchase. The issuance flow (gates 1–5: eligibility through activation) is temporally separate from the escrow-trigger conversion event (gate 6). See Part VI issuance gate table.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Token Engine Memo C1 [V2] — Resolution</w:t>
            </w:r>
          </w:p>
          <w:p>
            <w:pPr>
              <w:spacing w:after="0" w:before="0"/>
            </w:pPr>
            <w:r>
              <w:rPr>
                <w:rFonts w:ascii="Arial" w:cs="Arial" w:eastAsia="Arial" w:hAnsi="Arial"/>
                <w:color w:val="3A3A3A"/>
                <w:sz w:val="19"/>
                <w:szCs w:val="19"/>
              </w:rPr>
              <w:t xml:space="preserve">Document Attestation Store is an access model, not an ownership model. 2678 may access but not own or maintain the underlying database. Build the integration surface (offchain_authority_ref as opaque ID) without assuming 2678 owns the store. See Part V.</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Token Engine Memo C2 [V2] — Resolution</w:t>
            </w:r>
          </w:p>
          <w:p>
            <w:pPr>
              <w:spacing w:after="0" w:before="0"/>
            </w:pPr>
            <w:r>
              <w:rPr>
                <w:rFonts w:ascii="Arial" w:cs="Arial" w:eastAsia="Arial" w:hAnsi="Arial"/>
                <w:color w:val="3A3A3A"/>
                <w:sz w:val="19"/>
                <w:szCs w:val="19"/>
              </w:rPr>
              <w:t xml:space="preserve">TCM holds structured data records and attestations ONLY — not the documents themselves. This eliminates document-custody risk. The Document Attestation Store schema reflects data + attestation metadata, no document binary content. See Part V.</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Patent Comments C1/C2 [V2] — Resolution</w:t>
            </w:r>
          </w:p>
          <w:p>
            <w:pPr>
              <w:spacing w:after="0" w:before="0"/>
            </w:pPr>
            <w:r>
              <w:rPr>
                <w:rFonts w:ascii="Arial" w:cs="Arial" w:eastAsia="Arial" w:hAnsi="Arial"/>
                <w:color w:val="3A3A3A"/>
                <w:sz w:val="19"/>
                <w:szCs w:val="19"/>
              </w:rPr>
              <w:t xml:space="preserve">"Externally determined" does not equate to "off-chain." The operative distinction is reporter vs. determiner, not on-chain vs. off-chain. A TCN smart contract outcome is determined elsewhere even though it is on-chain. All code, comments, and documentation use "determined elsewhere." The phrase "off-chain authoritative record" is replaced with "authoritative record (which may be off-chain or on an external on-chain contract)." See Change Log C7.</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32D2D" w:sz="4"/>
              <w:bottom w:val="single" w:color="CCCCCC" w:sz="1"/>
              <w:right w:val="none" w:color="FFFFFF" w:sz="0"/>
            </w:tcBorders>
            <w:shd w:fill="FCEBEB" w:val="clear"/>
            <w:tcMar>
              <w:top w:type="dxa" w:w="100"/>
              <w:left w:type="dxa" w:w="160"/>
              <w:bottom w:type="dxa" w:w="100"/>
              <w:right w:type="dxa" w:w="160"/>
            </w:tcMar>
          </w:tcPr>
          <w:p>
            <w:pPr>
              <w:spacing w:after="30" w:before="0"/>
            </w:pPr>
            <w:r>
              <w:rPr>
                <w:rFonts w:ascii="Arial" w:cs="Arial" w:eastAsia="Arial" w:hAnsi="Arial"/>
                <w:b/>
                <w:bCs/>
                <w:color w:val="A32D2D"/>
                <w:sz w:val="18"/>
                <w:szCs w:val="18"/>
              </w:rPr>
              <w:t xml:space="preserve">MRB Comment KYC Vendor Decision — May 29 2026 [NEW V2] — Resolution</w:t>
            </w:r>
          </w:p>
          <w:p>
            <w:pPr>
              <w:spacing w:after="0" w:before="0"/>
            </w:pPr>
            <w:r>
              <w:rPr>
                <w:rFonts w:ascii="Arial" w:cs="Arial" w:eastAsia="Arial" w:hAnsi="Arial"/>
                <w:color w:val="3A3A3A"/>
                <w:sz w:val="19"/>
                <w:szCs w:val="19"/>
              </w:rPr>
              <w:t xml:space="preserve">JPMorgan Chase is confirmed as the primary KYC/AML vendor. Decision made by MRB. Rationale: US bank, includes bank account verification, institutional credibility ("JPM is the vetting agent" removes adoption barriers). Persona retained for development and staging sandbox environments only. All spec references updated. Estimated: $8/verification + $2,000/month platform fee (pending contract). JPM sales cycle 4–12 weeks — initiate contact immediately this is critical-path.</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II — System Architecture</w:t>
      </w:r>
    </w:p>
    <w:p>
      <w:pPr>
        <w:pStyle w:val="Heading2"/>
        <w:spacing w:after="120" w:before="280"/>
      </w:pPr>
      <w:r>
        <w:rPr>
          <w:rFonts w:ascii="Arial" w:cs="Arial" w:eastAsia="Arial" w:hAnsi="Arial"/>
          <w:b/>
          <w:bCs/>
          <w:color w:val="1A1A1A"/>
          <w:sz w:val="24"/>
          <w:szCs w:val="24"/>
        </w:rPr>
        <w:t xml:space="preserve">Seven-Layer System (FIG.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Layer</w:t>
            </w:r>
          </w:p>
        </w:tc>
        <w:tc>
          <w:tcPr>
            <w:tcW w:type="dxa" w:w="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FIG.</w:t>
            </w:r>
          </w:p>
        </w:tc>
        <w:tc>
          <w:tcPr>
            <w:tcW w:type="dxa" w:w="6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TCM/Engine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 Interaction Layer (110)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FIG.1</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website — three distinct surfaces: project listers (commercial buyers), credential holders/participants, and TCM staff. Each surface reads from Engine APIs only; no surface writes to chain directly.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 Layer (100)</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FIG.2</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TCTCredential + TCTOutcomeRegistry on Polygon PoS. Credential state machine with six states (Pending, Active, Suspended, Revoked, Expired, Retired). Outcome references written only by SYNC_ROLE.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 Operational Kernel (120)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FIG.6, FIG.9, FIG.10</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The Token Engine: all 12 off-chain components. The kernel receives instructions from surrounding activities, enforces policy invariants, and produces canonical records that everything else depends 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Execution Layer (140)</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 — not TCM. TCM Engine consumes TCN events via chain abstraction adapters. TCM does not run workflow logic.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Issuance Gate (130)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FIG.3</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Six-gate issuance flow. Gates 1–5 (eligibility through activation) execute at TCT purchase. Gate 6 (legal + escrow-trigger) executes at project election — temporally separate from purchase.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Representation Layer (150)</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FIG.4, FIG.5</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TCNWFT (TCN Workflow Token) — produced by TCN, consumed by TCM Engine via adapter. Out of scope for TCM v1. TCM Engine ingests TCNWFT events as canonical events via the same pipeline as any other outcome.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Event Layer (160) + Sync (170)</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FIG.7, FIG.9</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Chain abstraction adapters + finality translation + canonical event normalizer + outcome sync gateway. The synchronization layer is where most correctness work lives.</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Three-Environment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C9). Environment matrix required before AWS infrastructure is provisioned.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200"/>
        <w:gridCol w:w="800"/>
      </w:tblGrid>
      <w:tr>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Environment</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AWS account</w:t>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Blockchain</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KYC/AML vendor</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PII permitted</w:t>
            </w:r>
          </w:p>
        </w:tc>
        <w:tc>
          <w:tcPr>
            <w:tcW w:type="dxa" w:w="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Single shared account (all engineers)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Mumbai testnet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Persona sandbox (free tier)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 real PII — synthetic data only</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Build and unit test. Fast iteration. No compliance constraints.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Staging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AWS account (separate from prod; non-prod resources)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Amoy testnet (primary) + Base Sepolia (second adapter dual-run validation)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sandbox (when available); Persona sandbox (parallel dev)</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Real KYC test credentials permitted; no live participant PII</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Integration testing, dual-run adapter validation, UAT. Must mirror prod separation.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AWS account (full resource spec per Part VIII)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mainnet (primary); Base (staging validation live); Ethereum mainnet (anchoring only)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JPMorgan Chase KYC/AML production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Real PII in identity vault only. Pseudonymous everywhere else.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Live participant operations. Fail-closed on TCM outage. All SLAs apply.</w:t>
            </w:r>
          </w:p>
        </w:tc>
      </w:tr>
    </w:tbl>
    <w:p>
      <w:pPr>
        <w:spacing w:after="60" w:before="0"/>
      </w:pPr>
      <w:r>
        <w:t xml:space="preserve"/>
      </w:r>
    </w:p>
    <w:p>
      <w:pPr>
        <w:spacing w:after="100" w:before="60"/>
      </w:pPr>
      <w:r>
        <w:rPr>
          <w:rFonts w:ascii="Arial" w:cs="Arial" w:eastAsia="Arial" w:hAnsi="Arial"/>
          <w:color w:val="3A3A3A"/>
          <w:sz w:val="20"/>
          <w:szCs w:val="20"/>
        </w:rPr>
        <w:t xml:space="preserve">No data flows between environments. Separate AWS accounts enforce this at the infrastructure level — shared VPC or shared RDS between environments is a deployment error, not a policy question.</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Four Operational Aspects of the TCM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Aspect</w:t>
            </w:r>
          </w:p>
        </w:tc>
        <w:tc>
          <w:tcPr>
            <w:tcW w:type="dxa" w:w="3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Owns</w:t>
            </w:r>
          </w:p>
        </w:tc>
        <w:tc>
          <w:tcPr>
            <w:tcW w:type="dxa" w:w="3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Databases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 The TCT (artifact)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On-chain credential record, identity binding hash, status, compliance metadata, jurisdiction, claims version, outcome references.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On-chain (Polygon PoS) + Credential-State Mirror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 The Token Engine (kernel)</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Contracts, signing keys, adapters, finality service, normalizer, sync gateway, audit log, chain registry, controlled-vocab registry, all internal APIs.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Credential-State Mirror, Outcome Reference Store, Audit Log, Sync Pipeline State, Chain Registry, Controlled-Vocab Registry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3. Commercial Merchandising (storefront)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Project-lister accounts, pricing (both lister cohort AND individual TCT sales price), orders (two types), invoices, payment rail, participation agreements.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Commercial/Merchandising Store, Billing &amp; Reconciliation Store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 Post-Purchase Operations</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KYC/AML (JPM), wallet binding, permissioning, mint/activation, compliance review, suspension/revocation, support, document attestations (data + attestation only).</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Identity Vault, KYC/Compliance Workflow Store, Document Attestation Store, Customer Support Store</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Participant Dashboard — Minimum v1 UX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C13). Per MRB TCNWFT memo Comment 14: "I envision this being dashboard-like." Token Reporting API is the backend; this section defines what the frontend must surface.</w:t>
            </w:r>
          </w:p>
        </w:tc>
      </w:tr>
    </w:tbl>
    <w:p>
      <w:pPr>
        <w:spacing w:after="80" w:before="0"/>
      </w:pPr>
      <w:r>
        <w:t xml:space="preserve"/>
      </w:r>
    </w:p>
    <w:p>
      <w:pPr>
        <w:spacing w:after="100" w:before="60"/>
      </w:pPr>
      <w:r>
        <w:rPr>
          <w:rFonts w:ascii="Arial" w:cs="Arial" w:eastAsia="Arial" w:hAnsi="Arial"/>
          <w:color w:val="3A3A3A"/>
          <w:sz w:val="20"/>
          <w:szCs w:val="20"/>
        </w:rPr>
        <w:t xml:space="preserve">All four panels must display a provisional-state indicator on any item that has not yet reached Audit Final. The word "Pending" or a visual badge must accompany every provisional value throughout. No determined values are displayed — only references and hashes.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Panel</w:t>
            </w:r>
          </w:p>
        </w:tc>
        <w:tc>
          <w:tcPr>
            <w:tcW w:type="dxa" w:w="4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Minimum v1 content</w:t>
            </w:r>
          </w:p>
        </w:tc>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Data source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 status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Current status (Active/Suspended/Expired/Retired), compliance status, jurisdiction code, issued_at, activated_at, network_id.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Credential-State Mirror (via Token Reporting API)</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Outcome references</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List of workflow outcome references linked to this credential. Each row: result_type, result_subtype, effective_at, finalized flag (true/false), offchain_authority_ref (as clickable opaque ID), event_hash (first 8 chars displayed). Finalized=false rows show PROVISIONAL badge.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Outcome Reference Store (via Token Reporting API)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Reporting messages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Messages received from workflow reporting layer. Each row: message type, received_at, opaque ref (pointer to authority record), integrity hash. Never the determined value itself.</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Outcome Reference Store filtered by result_type = notice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Activity log</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Last 20 lifecycle events: status changes, sync writes, role-invoked actions. Timestamp and event type only.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Log (read-only view via Token Reporting API)</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III — On-Chain Specifications</w:t>
      </w:r>
    </w:p>
    <w:p>
      <w:pPr>
        <w:pStyle w:val="Heading2"/>
        <w:spacing w:after="120" w:before="280"/>
      </w:pPr>
      <w:r>
        <w:rPr>
          <w:rFonts w:ascii="Arial" w:cs="Arial" w:eastAsia="Arial" w:hAnsi="Arial"/>
          <w:b/>
          <w:bCs/>
          <w:color w:val="1A1A1A"/>
          <w:sz w:val="24"/>
          <w:szCs w:val="24"/>
        </w:rPr>
        <w:t xml:space="preserve">Standard Selection: ERC-1155 with Transfer Hooks Disabled</w:t>
      </w:r>
    </w:p>
    <w:p>
      <w:pPr>
        <w:spacing w:after="100" w:before="60"/>
      </w:pPr>
      <w:r>
        <w:rPr>
          <w:rFonts w:ascii="Arial" w:cs="Arial" w:eastAsia="Arial" w:hAnsi="Arial"/>
          <w:color w:val="3A3A3A"/>
          <w:sz w:val="20"/>
          <w:szCs w:val="20"/>
        </w:rPr>
        <w:t xml:space="preserve">ERC-1155 with transfer hooks overridden to revert all transfers except mint and burn paths. Supplementary ERC-5192 marker interface for explorer soulbound recognition. ERC-3643 rejected — invites securities framing.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ERC-4337 v2 compatibility requirements (Change Log C12): (1) wallet-binding check must accept smart contract addresses via EIP-1271 isValidSignature — do not hard-code EOA assumptions in v1; (2) wallet ownership challenge must support ERC-4337 UserOperation signatures; (3) identity_binding is wallet-agnostic — the hash does not embed wallet type. These constraints cost near-zero in v1 and prevent contract rewrite in v2.</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Token ID Range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Range</w:t>
            </w:r>
          </w:p>
        </w:tc>
        <w:tc>
          <w:tcPr>
            <w:tcW w:type="dxa" w:w="5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Purpose</w:t>
            </w:r>
          </w:p>
        </w:tc>
        <w:tc>
          <w:tcPr>
            <w:tcW w:type="dxa" w:w="2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v1 status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0x0001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Base participant credential (standard TCT)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Ship in v1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0x0002 – 0x000F</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Operator credentials (project lister admin, TCM compliance officer)</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Reserved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0x0010 – 0x001F</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Observer / auditor credentials (read-only access)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Reserved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0x0020 – 0x002F</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Jurisdiction-specific credentials</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Reserved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0x0030 – 0x00FF</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Future credential classes (ERC-4337 variant, renewal classes)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Reserved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0x0100 – 0xFFFF</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 Workflow Tokens (TCNWFT) — TCN-managed, out of TCM scope</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Reserved for TCN</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Credential State Machine (FIG. 2) — Updated with RETIRED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RETIRED added in V2 (Change Log C5). Per MRB TCNWFT memo Comment 13: "retirement is the right word because I could see where a certain TCNWFT would come out of retirement and be used in a different project." RETIRED is reversible. REVOKED is terminal. These are distinct states with distinct triggers.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3000"/>
        <w:gridCol w:w="1760"/>
      </w:tblGrid>
      <w:tr>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From</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To</w:t>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Role</w:t>
            </w:r>
          </w:p>
        </w:tc>
        <w:tc>
          <w:tcPr>
            <w:tcW w:type="dxa" w:w="3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Trigger</w:t>
            </w:r>
          </w:p>
        </w:tc>
        <w:tc>
          <w:tcPr>
            <w:tcW w:type="dxa" w:w="1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Reversible?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ISSUER_ROLE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Project-lister mint instruction received. identity_binding bound. network_id recorded.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Pending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ISSUER_ROLE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compliance_status = Verified (JPM KYC/AML cleared). isAuthorized set to true.</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Suspended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REVOCATION_ROLE_TCM or REVOCATION_ROLE_TCN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 event (sanctions, KYC downgrade) or contract breach. Reversible.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Yes → Active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Suspended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REVOCATION_ROLE_TCM or REVOCATION_ROLE_TCN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Underlying condition cleared.</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Expired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Time-based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expired_at timestamp reached. Renewable.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Yes → Active (ISSUER_ROLE renewal)</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Active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Retired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ISSUER_ROLE or WORKFLOW_ADMIN_ROLE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Workflow concluded for this participant. Token dormant — not destroyed. May be reactivated for a new project.</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Yes → Pending (new project, fresh KYC confirmation required)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Any non-Revoked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REVOCATION_ROLE_TCM or REVOCATION_ROLE_TCN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Definitive sanctions hit, fraud, program exit. TERMINAL. Token not burned — audit continuity preserved. isAuthorized = false forever.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w:t>
            </w:r>
          </w:p>
        </w:tc>
      </w:tr>
    </w:tbl>
    <w:p>
      <w:pPr>
        <w:spacing w:after="80" w:before="0"/>
      </w:pPr>
      <w:r>
        <w:t xml:space="preserve"/>
      </w:r>
    </w:p>
    <w:p>
      <w:pPr>
        <w:spacing w:after="100" w:before="60"/>
      </w:pPr>
      <w:r>
        <w:rPr>
          <w:rFonts w:ascii="Arial" w:cs="Arial" w:eastAsia="Arial" w:hAnsi="Arial"/>
          <w:color w:val="3A3A3A"/>
          <w:sz w:val="20"/>
          <w:szCs w:val="20"/>
        </w:rPr>
        <w:t xml:space="preserve">status enum in contract: Pending | Active | Suspended | Revoked | Expired | Retired. Six values. All state transitions emit deterministic events and are mirrored to the off-chain audit log within the reconciliation window.</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Credential Record — On-chain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Field</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Type</w:t>
            </w:r>
          </w:p>
        </w:tc>
        <w:tc>
          <w:tcPr>
            <w:tcW w:type="dxa" w:w="5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token_id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uint256</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0x0001 base credential in v1. Per-class in future ranges.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network_id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bytes8</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REQUIRED from first write. Multi-network rollout depends on this from day 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identity_binding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SHA-256(canonical_identity_record + salt). Salt vault-resident. Never PII. Wallet-agnostic (ERC-4337 compatible per Change Log C12).</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enum</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Pending | Active | Suspended | Revoked | Expired | Retired (six values — updated in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compliance_status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Verified | Pending | Failed | Restricted. Derived from JPM KYC/AML result.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jurisdiction_code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bytes4</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ISO-style. Derived from KYC. Required from mint.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claims_version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uint32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Schema version for authorization context.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issued_at, activated_at, updated_at, suspended_at, revoked_at, expired_at, retired_at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uint64</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timestamps. All six required in contract even if zero. expired_at and retired_at added in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audit_root_hash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SHA-256 of canonical credential record + prior hash. Refreshed on every state change.</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Cohort Batch Minting — Size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C8). ERC-1155 batch mint has practical gas limits on Polygon PoS.</w:t>
            </w:r>
          </w:p>
        </w:tc>
      </w:tr>
    </w:tbl>
    <w:p>
      <w:pPr>
        <w:spacing w:after="80" w:before="0"/>
      </w:pPr>
      <w:r>
        <w:t xml:space="preserve"/>
      </w:r>
    </w:p>
    <w:p>
      <w:pPr>
        <w:spacing w:after="100" w:before="60"/>
      </w:pPr>
      <w:r>
        <w:rPr>
          <w:rFonts w:ascii="Arial" w:cs="Arial" w:eastAsia="Arial" w:hAnsi="Arial"/>
          <w:color w:val="3A3A3A"/>
          <w:sz w:val="20"/>
          <w:szCs w:val="20"/>
        </w:rPr>
        <w:t xml:space="preserve">Maximum recommended batch size: 50 tokens per transaction on Polygon PoS. For cohorts above 50, the issuance service must automatically chunk into sequential transactions with idempotency keys per batch.</w:t>
      </w:r>
    </w:p>
    <w:p>
      <w:pPr>
        <w:pStyle w:val="ListParagraph"/>
        <w:numPr>
          <w:ilvl w:val="0"/>
          <w:numId w:val="2"/>
        </w:numPr>
        <w:spacing w:after="60" w:before="40"/>
      </w:pPr>
      <w:r>
        <w:rPr>
          <w:rFonts w:ascii="Arial" w:cs="Arial" w:eastAsia="Arial" w:hAnsi="Arial"/>
          <w:color w:val="3A3A3A"/>
          <w:sz w:val="20"/>
          <w:szCs w:val="20"/>
        </w:rPr>
        <w:t xml:space="preserve">Gas profiling test is mandatory before production deployment: mint a cohort of 50 on Polygon PoS testnet, record gas cost, confirm against current gas price with 30% safety margin.</w:t>
      </w:r>
    </w:p>
    <w:p>
      <w:pPr>
        <w:pStyle w:val="ListParagraph"/>
        <w:numPr>
          <w:ilvl w:val="0"/>
          <w:numId w:val="2"/>
        </w:numPr>
        <w:spacing w:after="60" w:before="40"/>
      </w:pPr>
      <w:r>
        <w:rPr>
          <w:rFonts w:ascii="Arial" w:cs="Arial" w:eastAsia="Arial" w:hAnsi="Arial"/>
          <w:color w:val="3A3A3A"/>
          <w:sz w:val="20"/>
          <w:szCs w:val="20"/>
        </w:rPr>
        <w:t xml:space="preserve">The issuance service must handle partial batch failures: if transaction N of M fails, transactions 1 through N–1 have already completed. The service resumes from N without re-minting completed tokens (idempotency key per token_id within the cohort).</w:t>
      </w:r>
    </w:p>
    <w:p>
      <w:pPr>
        <w:pStyle w:val="ListParagraph"/>
        <w:numPr>
          <w:ilvl w:val="0"/>
          <w:numId w:val="2"/>
        </w:numPr>
        <w:spacing w:after="60" w:before="40"/>
      </w:pPr>
      <w:r>
        <w:rPr>
          <w:rFonts w:ascii="Arial" w:cs="Arial" w:eastAsia="Arial" w:hAnsi="Arial"/>
          <w:color w:val="3A3A3A"/>
          <w:sz w:val="20"/>
          <w:szCs w:val="20"/>
        </w:rPr>
        <w:t xml:space="preserve">Batch activation follows the same 50-token limit per transaction.</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v1 Controlled Vocabulary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C6). The canonical event normalizer validates result_type and result_subtype against this registry at runtime. The normalizer cannot be coded until this vocabulary is frozen. Version: 1.0.0.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result_type</w:t>
            </w:r>
          </w:p>
        </w:tc>
        <w:tc>
          <w:tcPr>
            <w:tcW w:type="dxa" w:w="3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Permitted result_subtype values</w:t>
            </w:r>
          </w:p>
        </w:tc>
        <w:tc>
          <w:tcPr>
            <w:tcW w:type="dxa" w:w="4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allocation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final_settlement | correction | lister_action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Distribution or allocation determination made by an external authority.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vote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participant_action | lister_action | final_settlement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Voting outcome recorded by reference.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milestone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final_settlement | correction | lister_action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Project milestone determination.</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notice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participant_action | lister_action | compliance_downgrade</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Informational notice from an authoritative source.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exception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sanctions_flag | compliance_downgrade | contract_breach | correction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 or contract exception event.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formation</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entity_formed | correction</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Legal entity formation confirmation.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transfer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funds_escrowed | funds_released | correction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Fund movement acknowledgment (not the transfer itself — the acknowledgment).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sanctions_flag | compliance_downgrade | contract_breach</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 state change.</w:t>
            </w:r>
          </w:p>
        </w:tc>
      </w:tr>
    </w:tbl>
    <w:p>
      <w:pPr>
        <w:spacing w:after="60" w:before="0"/>
      </w:pPr>
      <w:r>
        <w:t xml:space="preserve"/>
      </w:r>
    </w:p>
    <w:p>
      <w:pPr>
        <w:spacing w:after="100" w:before="60"/>
      </w:pPr>
      <w:r>
        <w:rPr>
          <w:rFonts w:ascii="Arial" w:cs="Arial" w:eastAsia="Arial" w:hAnsi="Arial"/>
          <w:color w:val="3A3A3A"/>
          <w:sz w:val="20"/>
          <w:szCs w:val="20"/>
        </w:rPr>
        <w:t xml:space="preserve">Vocabulary version: 1.0.0. New result_type or result_subtype values require a version bump (1.1.0 for new subtypes, 2.0.0 for new top-level types) registered before the normalizer permits them. Deprecation policy: deprecated values accepted for 90 days after version bump, then rejected.</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TCTOutcomeRegistry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Field</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Type</w:t>
            </w:r>
          </w:p>
        </w:tc>
        <w:tc>
          <w:tcPr>
            <w:tcW w:type="dxa" w:w="5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event_id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Idempotency key. SHA-256(contract_address + log_index + network_id). Prevents double-write.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event_hash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SHA-256 of canonical-serialized payload. The same event always yields the same hash.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contract_id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Source TCN workflow contract. Points to the determining contract — not a TCT field.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result_type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bytes8</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From controlled vocabulary v1.0.0. Validated at normalizer before registry write.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result_subtype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bytes8</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From controlled vocabulary v1.0.0. Validated at normalizer.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effective_at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uint64</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Business-effective time of the underlying occurrence.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synced_at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uint64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Time the sync gateway wrote this record. Distinct from effective_at.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network_id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bytes8</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Originating network.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chain_ref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Packed: {network_id, block_number, tx_hash, log_index}.</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offchain_authority_ref</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bytes32</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Opaque pointer to the authoritative record where this fact was determined (may be off-chain or on an external on-chain contract — V2 terminology fix per Change Log C7).</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finalized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bool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true ONLY after Audit-Final state confirmed. Revenue recognized only at this point.</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IV — Off-Chain Service Specifications</w:t>
      </w:r>
    </w:p>
    <w:p>
      <w:pPr>
        <w:pStyle w:val="Heading2"/>
        <w:spacing w:after="120" w:before="280"/>
      </w:pPr>
      <w:r>
        <w:rPr>
          <w:rFonts w:ascii="Arial" w:cs="Arial" w:eastAsia="Arial" w:hAnsi="Arial"/>
          <w:b/>
          <w:bCs/>
          <w:color w:val="1A1A1A"/>
          <w:sz w:val="24"/>
          <w:szCs w:val="24"/>
        </w:rPr>
        <w:t xml:space="preserve">Finality State Machine — Polygon PoS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Thresholds added in V2 (Change Log C4). Chain registry is populated with these values at first deployment. Per-network override is supported via the chain registry.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State</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Polygon PoS blocks</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Approx. time (2s blocks)</w:t>
            </w:r>
          </w:p>
        </w:tc>
        <w:tc>
          <w:tcPr>
            <w:tcW w:type="dxa" w:w="3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Downstream consumer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Observed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 (event seen by adapter)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Immediate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UI pending indicators only. No finalized=true flag.</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Soft Final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32 blocks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~64 seconds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Operational dashboards and draft views. Never finalized=true.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Operational Final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64 blocks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~128 seconds (~2 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Operational services (non-billable functions).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Final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128 blocks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~256 seconds (~4.3 min)</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 layer, audit log, outcome reference store, billing and reconciliation. finalized=true set. Revenue recognized.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State</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Base Sepolia blocks (staging)</w:t>
            </w:r>
          </w:p>
        </w:tc>
        <w:tc>
          <w:tcPr>
            <w:tcW w:type="dxa" w:w="5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Soft Final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20 blocks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Faster for staging iteration. Do not use staging thresholds in production.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Operational Final</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40 blocks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Final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80 blocks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Staging only. Dual-run validation uses staging thresholds.</w:t>
            </w:r>
          </w:p>
        </w:tc>
      </w:tr>
    </w:tbl>
    <w:p>
      <w:pPr>
        <w:spacing w:after="80" w:before="0"/>
      </w:pPr>
      <w:r>
        <w:t xml:space="preserve"/>
      </w:r>
    </w:p>
    <w:p>
      <w:pPr>
        <w:spacing w:after="100" w:before="60"/>
      </w:pPr>
      <w:r>
        <w:rPr>
          <w:rFonts w:ascii="Arial" w:cs="Arial" w:eastAsia="Arial" w:hAnsi="Arial"/>
          <w:color w:val="3A3A3A"/>
          <w:sz w:val="20"/>
          <w:szCs w:val="20"/>
        </w:rPr>
        <w:t xml:space="preserve">Reorg before Audit Final: event rolled back to Observed. No permanent outcome reference written. Reorg after Audit Final: Sev-1 audit exception. The system treats this as an exceptional condition, logs it, and routes to manual resolution.</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Reconciliation Job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C10). "Defined schedule" in v1 was unspecified. These schedules drive CloudWatch EventBridge rules and PagerDuty alert policies.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760"/>
      </w:tblGrid>
      <w:tr>
        <w:tc>
          <w:tcPr>
            <w:tcW w:type="dxa" w:w="3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Job</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Cadence</w:t>
            </w:r>
          </w:p>
        </w:tc>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Divergence alert</w:t>
            </w:r>
          </w:p>
        </w:tc>
        <w:tc>
          <w:tcPr>
            <w:tcW w:type="dxa" w:w="1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Missed run alert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Mirror-vs-chain reconciliation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Every 5 minutes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Sev-1 PagerDuty — immediate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Sev-2 after 2 consecutive missed runs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Audit-vs-mirror reconciliation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Every 15 minutes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Sev-1 PagerDuty — immediate</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Sev-2 after 2 consecutive missed runs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Billing-vs-events reconciliation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Every hour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Sev-2 PagerDuty — 15-minute response SLA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Sev-3 after 3 consecutive missed runs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Chain registry health check</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Every 2 minutes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Sev-2 if primary RPC unreachable (failover triggered)</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Idempotency key index cleanup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Daily at 02:00 UTC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Sev-3 if not run for 48 hours</w:t>
            </w:r>
          </w:p>
        </w:tc>
      </w:tr>
    </w:tbl>
    <w:p>
      <w:pPr>
        <w:spacing w:after="80" w:before="0"/>
      </w:pPr>
      <w:r>
        <w:t xml:space="preserve"/>
      </w:r>
    </w:p>
    <w:p>
      <w:pPr>
        <w:spacing w:after="100" w:before="60"/>
      </w:pPr>
      <w:r>
        <w:rPr>
          <w:rFonts w:ascii="Arial" w:cs="Arial" w:eastAsia="Arial" w:hAnsi="Arial"/>
          <w:color w:val="3A3A3A"/>
          <w:sz w:val="20"/>
          <w:szCs w:val="20"/>
        </w:rPr>
        <w:t xml:space="preserve">All reconciliation job outcomes are written to the audit log: job name, run timestamp, records checked, divergences found, action taken. A clean run with zero divergences is logged as a positive confirmation, not silently skipped.</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Gas Markup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C14). Gas pass-through with markup is a TCN revenue stream. The billing store cannot be built without this schema.</w:t>
            </w:r>
          </w:p>
        </w:tc>
      </w:tr>
    </w:tbl>
    <w:p>
      <w:pPr>
        <w:spacing w:after="80" w:before="0"/>
      </w:pPr>
      <w:r>
        <w:t xml:space="preserve"/>
      </w:r>
    </w:p>
    <w:p>
      <w:pPr>
        <w:spacing w:after="100" w:before="60"/>
      </w:pPr>
      <w:r>
        <w:rPr>
          <w:rFonts w:ascii="Arial" w:cs="Arial" w:eastAsia="Arial" w:hAnsi="Arial"/>
          <w:color w:val="3A3A3A"/>
          <w:sz w:val="20"/>
          <w:szCs w:val="20"/>
        </w:rPr>
        <w:t xml:space="preserve">The chain abstraction adapter records actual gas consumed for every transaction it submits or observes. Written to the chain-cost ledger in the Billing &amp; Reconciliation store: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chain_cost_ledger record:</w:t>
            </w:r>
          </w:p>
          <w:p>
            <w:pPr>
              <w:spacing w:after="20" w:before="0"/>
            </w:pPr>
            <w:r>
              <w:rPr>
                <w:rFonts w:ascii="Courier New" w:cs="Courier New" w:eastAsia="Courier New" w:hAnsi="Courier New"/>
                <w:color w:val="E8E8E8"/>
                <w:sz w:val="18"/>
                <w:szCs w:val="18"/>
              </w:rPr>
              <w:t xml:space="preserve">  event_id          string    — links to the canonical event</w:t>
            </w:r>
          </w:p>
          <w:p>
            <w:pPr>
              <w:spacing w:after="20" w:before="0"/>
            </w:pPr>
            <w:r>
              <w:rPr>
                <w:rFonts w:ascii="Courier New" w:cs="Courier New" w:eastAsia="Courier New" w:hAnsi="Courier New"/>
                <w:color w:val="E8E8E8"/>
                <w:sz w:val="18"/>
                <w:szCs w:val="18"/>
              </w:rPr>
              <w:t xml:space="preserve">  network_id        string    — which chain</w:t>
            </w:r>
          </w:p>
          <w:p>
            <w:pPr>
              <w:spacing w:after="20" w:before="0"/>
            </w:pPr>
            <w:r>
              <w:rPr>
                <w:rFonts w:ascii="Courier New" w:cs="Courier New" w:eastAsia="Courier New" w:hAnsi="Courier New"/>
                <w:color w:val="E8E8E8"/>
                <w:sz w:val="18"/>
                <w:szCs w:val="18"/>
              </w:rPr>
              <w:t xml:space="preserve">  tx_hash           string    — transaction hash</w:t>
            </w:r>
          </w:p>
          <w:p>
            <w:pPr>
              <w:spacing w:after="20" w:before="0"/>
            </w:pPr>
            <w:r>
              <w:rPr>
                <w:rFonts w:ascii="Courier New" w:cs="Courier New" w:eastAsia="Courier New" w:hAnsi="Courier New"/>
                <w:color w:val="E8E8E8"/>
                <w:sz w:val="18"/>
                <w:szCs w:val="18"/>
              </w:rPr>
              <w:t xml:space="preserve">  gas_used          uint64    — actual gas consumed</w:t>
            </w:r>
          </w:p>
          <w:p>
            <w:pPr>
              <w:spacing w:after="20" w:before="0"/>
            </w:pPr>
            <w:r>
              <w:rPr>
                <w:rFonts w:ascii="Courier New" w:cs="Courier New" w:eastAsia="Courier New" w:hAnsi="Courier New"/>
                <w:color w:val="E8E8E8"/>
                <w:sz w:val="18"/>
                <w:szCs w:val="18"/>
              </w:rPr>
              <w:t xml:space="preserve">  gas_price_wei     uint64    — gas price at execution time</w:t>
            </w:r>
          </w:p>
          <w:p>
            <w:pPr>
              <w:spacing w:after="20" w:before="0"/>
            </w:pPr>
            <w:r>
              <w:rPr>
                <w:rFonts w:ascii="Courier New" w:cs="Courier New" w:eastAsia="Courier New" w:hAnsi="Courier New"/>
                <w:color w:val="E8E8E8"/>
                <w:sz w:val="18"/>
                <w:szCs w:val="18"/>
              </w:rPr>
              <w:t xml:space="preserve">  cost_wei          uint64    — gas_used × gas_price_wei</w:t>
            </w:r>
          </w:p>
          <w:p>
            <w:pPr>
              <w:spacing w:after="20" w:before="0"/>
            </w:pPr>
            <w:r>
              <w:rPr>
                <w:rFonts w:ascii="Courier New" w:cs="Courier New" w:eastAsia="Courier New" w:hAnsi="Courier New"/>
                <w:color w:val="E8E8E8"/>
                <w:sz w:val="18"/>
                <w:szCs w:val="18"/>
              </w:rPr>
              <w:t xml:space="preserve">  cost_usd_at_time  decimal   — USD equivalent at time of tx</w:t>
            </w:r>
          </w:p>
          <w:p>
            <w:pPr>
              <w:spacing w:after="20" w:before="0"/>
            </w:pPr>
            <w:r>
              <w:rPr>
                <w:rFonts w:ascii="Courier New" w:cs="Courier New" w:eastAsia="Courier New" w:hAnsi="Courier New"/>
                <w:color w:val="E8E8E8"/>
                <w:sz w:val="18"/>
                <w:szCs w:val="18"/>
              </w:rPr>
              <w:t xml:space="preserve">  recorded_at       timestamp — when the adapter wrote this record</w:t>
            </w:r>
          </w:p>
        </w:tc>
      </w:tr>
    </w:tbl>
    <w:p>
      <w:pPr>
        <w:spacing w:after="60" w:before="0"/>
      </w:pPr>
      <w:r>
        <w:t xml:space="preserve"/>
      </w:r>
    </w:p>
    <w:p>
      <w:pPr>
        <w:spacing w:after="100" w:before="60"/>
      </w:pPr>
      <w:r>
        <w:rPr>
          <w:rFonts w:ascii="Arial" w:cs="Arial" w:eastAsia="Arial" w:hAnsi="Arial"/>
          <w:color w:val="3A3A3A"/>
          <w:sz w:val="20"/>
          <w:szCs w:val="20"/>
        </w:rPr>
        <w:t xml:space="preserve">Gas markup percentage is a configuration value in the chain registry (not hardcoded). Placeholder value: 20%. MRB to confirm final markup rate before billing goes live. The billing service reads chain-cost records, applies markup, and generates invoice line items. No gas cost recognition until the underlying canonical event reaches Audit Final.</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Second Adapter Dual-Run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Defined in V2 (Change Log C15). "Validated against second network before v1 ships" was imprecise. These criteria define done.</w:t>
            </w:r>
          </w:p>
        </w:tc>
      </w:tr>
    </w:tbl>
    <w:p>
      <w:pPr>
        <w:spacing w:after="80" w:before="0"/>
      </w:pPr>
      <w:r>
        <w:t xml:space="preserve"/>
      </w:r>
    </w:p>
    <w:p>
      <w:pPr>
        <w:spacing w:after="100" w:before="60"/>
      </w:pPr>
      <w:r>
        <w:rPr>
          <w:rFonts w:ascii="Arial" w:cs="Arial" w:eastAsia="Arial" w:hAnsi="Arial"/>
          <w:color w:val="3A3A3A"/>
          <w:sz w:val="20"/>
          <w:szCs w:val="20"/>
        </w:rPr>
        <w:t xml:space="preserve">The Base Sepolia staging adapter must satisfy all four criteria before the production Polygon PoS deployment proceeds:</w:t>
      </w:r>
    </w:p>
    <w:p>
      <w:pPr>
        <w:pStyle w:val="ListParagraph"/>
        <w:numPr>
          <w:ilvl w:val="0"/>
          <w:numId w:val="3"/>
        </w:numPr>
        <w:spacing w:after="80" w:before="60"/>
      </w:pPr>
      <w:r>
        <w:rPr>
          <w:rFonts w:ascii="Arial" w:cs="Arial" w:eastAsia="Arial" w:hAnsi="Arial"/>
          <w:sz w:val="20"/>
          <w:szCs w:val="20"/>
        </w:rPr>
        <w:t xml:space="preserve">Successfully ingests ≥ 50 canonical events from Base Sepolia testnet without errors.</w:t>
      </w:r>
    </w:p>
    <w:p>
      <w:pPr>
        <w:pStyle w:val="ListParagraph"/>
        <w:numPr>
          <w:ilvl w:val="0"/>
          <w:numId w:val="3"/>
        </w:numPr>
        <w:spacing w:after="80" w:before="60"/>
      </w:pPr>
      <w:r>
        <w:rPr>
          <w:rFonts w:ascii="Arial" w:cs="Arial" w:eastAsia="Arial" w:hAnsi="Arial"/>
          <w:sz w:val="20"/>
          <w:szCs w:val="20"/>
        </w:rPr>
        <w:t xml:space="preserve">Produces identical event_hash values for equivalent events as the Polygon Mumbai adapter (deterministic serialization proof).</w:t>
      </w:r>
    </w:p>
    <w:p>
      <w:pPr>
        <w:pStyle w:val="ListParagraph"/>
        <w:numPr>
          <w:ilvl w:val="0"/>
          <w:numId w:val="3"/>
        </w:numPr>
        <w:spacing w:after="80" w:before="60"/>
      </w:pPr>
      <w:r>
        <w:rPr>
          <w:rFonts w:ascii="Arial" w:cs="Arial" w:eastAsia="Arial" w:hAnsi="Arial"/>
          <w:sz w:val="20"/>
          <w:szCs w:val="20"/>
        </w:rPr>
        <w:t xml:space="preserve">Correctly promotes events through all four finality states (Observed → Soft Final → Operational Final → Audit Final) using Base Sepolia thresholds.</w:t>
      </w:r>
    </w:p>
    <w:p>
      <w:pPr>
        <w:pStyle w:val="ListParagraph"/>
        <w:numPr>
          <w:ilvl w:val="0"/>
          <w:numId w:val="3"/>
        </w:numPr>
        <w:spacing w:after="80" w:before="60"/>
      </w:pPr>
      <w:r>
        <w:rPr>
          <w:rFonts w:ascii="Arial" w:cs="Arial" w:eastAsia="Arial" w:hAnsi="Arial"/>
          <w:sz w:val="20"/>
          <w:szCs w:val="20"/>
        </w:rPr>
        <w:t xml:space="preserve">Writes ≥ 10 outcome references to the staging TCTOutcomeRegistry without integrity errors.</w:t>
      </w:r>
    </w:p>
    <w:p>
      <w:pPr>
        <w:spacing w:after="60" w:before="0"/>
      </w:pPr>
      <w:r>
        <w:t xml:space="preserve"/>
      </w:r>
    </w:p>
    <w:p>
      <w:pPr>
        <w:spacing w:after="100" w:before="60"/>
      </w:pPr>
      <w:r>
        <w:rPr>
          <w:rFonts w:ascii="Arial" w:cs="Arial" w:eastAsia="Arial" w:hAnsi="Arial"/>
          <w:color w:val="3A3A3A"/>
          <w:sz w:val="20"/>
          <w:szCs w:val="20"/>
        </w:rPr>
        <w:t xml:space="preserve">Validation is documented in a dual-run test report co-signed by Ganlin and Stan. This report is a launch gate — production deployment cannot proceed without it. Target: staging dual-run validation completed in Month 5 of build.</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Failure Mode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Failure</w:t>
            </w:r>
          </w:p>
        </w:tc>
        <w:tc>
          <w:tcPr>
            <w:tcW w:type="dxa" w:w="6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Required handling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Reorg before Audit Final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Hold event provisional. If replaced post-reorg: original recorded as Superseded, replacement enters as fresh canonical event.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Duplicate event delivery</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Idempotency key (event_id + event_hash) rejects double-write. Duplicate logged, not an exception.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Signature / source authenticity failure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Reject. Raise audit exception. Never write to registry.</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 mapping miss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Queue for manual resolution. Event recorded but not surfaced in participant view until mapping resolves.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 status change mid-sync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Re-evaluate policy before publishing participant view. Registry write may proceed; visibility is gated.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Adapter / RPC outage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Back off and resume from last cursor. Two RPC providers per network (Alchemy primary, Infura failover). Replay is idempotent by design.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Network migration in progress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Both source and destination adapters run in parallel. Outcome references carry originating network_id. Dual-run validation required.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Reconciliation job failure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Log to audit log. PagerDuty alert per schedule above. Manual investigation required before next scheduled run.</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V — Database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4"/>
              <w:bottom w:val="single" w:color="CCCCCC" w:sz="1"/>
              <w:right w:val="none" w:color="FFFFFF" w:sz="0"/>
            </w:tcBorders>
            <w:shd w:fill="EEEDFE" w:val="clear"/>
            <w:tcMar>
              <w:top w:type="dxa" w:w="100"/>
              <w:left w:type="dxa" w:w="160"/>
              <w:bottom w:type="dxa" w:w="100"/>
              <w:right w:type="dxa" w:w="160"/>
            </w:tcMar>
          </w:tcPr>
          <w:p>
            <w:pPr>
              <w:spacing w:after="30" w:before="0"/>
            </w:pPr>
            <w:r>
              <w:rPr>
                <w:rFonts w:ascii="Arial" w:cs="Arial" w:eastAsia="Arial" w:hAnsi="Arial"/>
                <w:b/>
                <w:bCs/>
                <w:color w:val="534AB7"/>
                <w:sz w:val="18"/>
                <w:szCs w:val="18"/>
              </w:rPr>
              <w:t xml:space="preserve">Architectural rule</w:t>
            </w:r>
          </w:p>
          <w:p>
            <w:pPr>
              <w:spacing w:after="0" w:before="0"/>
            </w:pPr>
            <w:r>
              <w:rPr>
                <w:rFonts w:ascii="Arial" w:cs="Arial" w:eastAsia="Arial" w:hAnsi="Arial"/>
                <w:color w:val="3A3A3A"/>
                <w:sz w:val="19"/>
                <w:szCs w:val="19"/>
              </w:rPr>
              <w:t xml:space="preserve">Cross-cutting rules: PII isolation is structural, not procedural. Pseudonymization at every store boundary outside the identity vault. Append-only audit with mutable operational mirrors reconciled continuously. Idempotency keys on every external write. Multiple time dimensions kept distinct (event time, chain confirmation time, sync ingest time, publish time). Network-aware records everywhere. Right-to-be-forgotten via vault-resident salt destruction. No determined values in any store — only references to determinations made elsewhere.</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12-Store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3400"/>
        <w:gridCol w:w="1560"/>
      </w:tblGrid>
      <w:tr>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Store</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Aspect</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Sensitivity</w:t>
            </w:r>
          </w:p>
        </w:tc>
        <w:tc>
          <w:tcPr>
            <w:tcW w:type="dxa" w:w="3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Key contents</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Retention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Identity Vault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CRITICAL — isolation mandatory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Raw KYC records, JPM verification results, government IDs, salt material. NOTE V2: TCM holds data + attestation ONLY — not formation documents (MRB C2).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 KYC/AML regulatory minimum. Deletion = RTBF via salt destruction.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Credential-State Mirror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 — pseudonymous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Off-chain authoritative read model. token_id, network_id, identity_binding hash (not the underlying identity), status (six values incl. Retired), compliance_status, all audit timestamps including retired_at.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Indefinite — audit continuity.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Outcome Reference Store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Low-Medium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Mirror of TCTOutcomeRegistry. result_type from v1 controlled vocabulary. offchain_authority_ref as opaque pointer (V2: may point to on-chain or off-chain authority).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Indefinite — audit continuity.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Log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Tamper-evident append-only. Every issuance, role grant, status change, sync write, reconciliation job outcome. Divergence = Sev-1.</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Minimum 7 years (Rule 17a-4 equivalent).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 Pipeline State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Adapter cursors, finality-state-machine snapshots, idempotency-key index, replay checkpoints.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Rolling 90-day cursor history + permanent idempotency index.</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Chain Registry / Config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Supported networks, contract addresses, Polygon PoS finality thresholds (V2), gas markup percentage (V2), adapter versions, RPC endpoints.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Indefinite with version history.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Controlled-Vocabulary Registry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Versioned result_type and result_subtype definitions (V2: v1.0.0 bootstrap). Deprecation policy enforced.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Indefinite with version history.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Commercial / Merchandising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Merchandising</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Project-lister accounts, catalog items, pricing. V2: TWO order types — LISTER_COHORT (project lister pays minting fee) and INDIVIDUAL_PURCHASE (individual pays TCT sales price). Separate invoice lineage per type.</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7 years.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KYC / Compliance Workflow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verification cases, AML/SDN screening case state, jurisdiction determinations, escalations. Linked to identity vault by case ID only.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 regulatory requirement — minimum 5 years.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Document Attestation Store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V2: Structured attestation records and data ONLY — not the documents themselves (MRB C2). May not be 2678-owned (MRB C1). Build as access model with offchain_authority_ref.</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 underlying obligation.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Customer Support / Case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Support tickets, communications, case state. Reads from credential-state mirror and audit log only. Never the canonical record.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 years accessible; 5 years archived.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Analytics Feed Store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 downstream</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 — pseudonymized</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V2 schema: {feed_record_id, pseudonym_id (UUID — not identity_binding), credential_class, jurisdiction_code, event_type, result_type, result_subtype, effective_at, network_id, finalized}. No PII, no wallet address, no identity_binding. Downstream-only — no operational writes back.</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 analytics retention policy.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Billing &amp; Reconciliation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Merchandising + Engine-adjacent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Metered units (issuance events, sync writes, gas spend via chain-cost ledger, KYC verifications). V2: two revenue streams per order type. Revenue recognized at Audit Final only.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7 years.</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VI — Identity, KYC, and Wallet Binding</w:t>
      </w:r>
    </w:p>
    <w:p>
      <w:pPr>
        <w:pStyle w:val="Heading2"/>
        <w:spacing w:after="120" w:before="280"/>
      </w:pPr>
      <w:r>
        <w:rPr>
          <w:rFonts w:ascii="Arial" w:cs="Arial" w:eastAsia="Arial" w:hAnsi="Arial"/>
          <w:b/>
          <w:bCs/>
          <w:color w:val="1A1A1A"/>
          <w:sz w:val="24"/>
          <w:szCs w:val="24"/>
        </w:rPr>
        <w:t xml:space="preserve">JPMorgan Chase — Confirmed KYC/AML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Decision confirmed by MRB May 29, 2026. All spec references updated. Persona retained for development/staging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Parameter</w:t>
            </w:r>
          </w:p>
        </w:tc>
        <w:tc>
          <w:tcPr>
            <w:tcW w:type="dxa" w:w="6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Value / 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Vendor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JPMorgan Chase — primary production KYC/AML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Scope</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Identity verification (KYC) + AML/sanctions screening + bank account verification (included — eliminates secondary vendor)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Estimated cost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$8 per verification + $2,000/month platform fee. Pending contract — confirm actual pricing with JPM before finalising operational budget.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Sales cycle</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4–12 weeks for enterprise contract. INITIATE CONTACT THIS WEEK. JPM must be contracted before TCM production launch.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Build strategy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GL uses Persona sandbox for development build (Weeks 1–5). JPM sandbox in staging (Weeks 4–6 parallel). Switch to JPM production at Week 6. Contract code unchanged — endpoint and API key swap only.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Persona role (V2)</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Development and staging sandbox only. Not a fallback vendor for production — JPM is the only production KYC vendor.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AML/SDN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includes AML/sanctions screening. ComplyAdvantage contract NOT required if JPM scope confirmed. Verify JPM SDN/OFAC coverage before cancelling ComplyAdvantage discussions.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Bank account verification</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Included in JPM offering. Eliminates a separate secondary verification vendor and associated cost.</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Identity Binding Model</w:t>
      </w:r>
    </w:p>
    <w:p>
      <w:pPr>
        <w:spacing w:after="100" w:before="60"/>
      </w:pPr>
      <w:r>
        <w:rPr>
          <w:rFonts w:ascii="Arial" w:cs="Arial" w:eastAsia="Arial" w:hAnsi="Arial"/>
          <w:color w:val="3A3A3A"/>
          <w:sz w:val="20"/>
          <w:szCs w:val="20"/>
        </w:rPr>
        <w:t xml:space="preserve">v1: User-controlled EOA. Standard wallets (MetaMask, Coinbase Wallet, hardware wallet) sufficient. No TCT-exclusive wallet required.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identity_binding = SHA-256(canonical_identity_record + salt)</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where:</w:t>
            </w:r>
          </w:p>
          <w:p>
            <w:pPr>
              <w:spacing w:after="20" w:before="0"/>
            </w:pPr>
            <w:r>
              <w:rPr>
                <w:rFonts w:ascii="Courier New" w:cs="Courier New" w:eastAsia="Courier New" w:hAnsi="Courier New"/>
                <w:color w:val="E8E8E8"/>
                <w:sz w:val="18"/>
                <w:szCs w:val="18"/>
              </w:rPr>
              <w:t xml:space="preserve">  canonical_identity_record = normalized JSON of JPM-verified identity fields</w:t>
            </w:r>
          </w:p>
          <w:p>
            <w:pPr>
              <w:spacing w:after="20" w:before="0"/>
            </w:pPr>
            <w:r>
              <w:rPr>
                <w:rFonts w:ascii="Courier New" w:cs="Courier New" w:eastAsia="Courier New" w:hAnsi="Courier New"/>
                <w:color w:val="E8E8E8"/>
                <w:sz w:val="18"/>
                <w:szCs w:val="18"/>
              </w:rPr>
              <w:t xml:space="preserve">  salt = random 32-byte value, vault-resident only</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Salt destruction = right-to-be-forgotten mechanism.</w:t>
            </w:r>
          </w:p>
          <w:p>
            <w:pPr>
              <w:spacing w:after="20" w:before="0"/>
            </w:pPr>
            <w:r>
              <w:rPr>
                <w:rFonts w:ascii="Courier New" w:cs="Courier New" w:eastAsia="Courier New" w:hAnsi="Courier New"/>
                <w:color w:val="E8E8E8"/>
                <w:sz w:val="18"/>
                <w:szCs w:val="18"/>
              </w:rPr>
              <w:t xml:space="preserve">Identity behind the hash is forgotten; on-chain pseudonym persists for audit.</w:t>
            </w:r>
          </w:p>
        </w:tc>
      </w:tr>
    </w:tbl>
    <w:p>
      <w:pPr>
        <w:spacing w:after="60" w:before="0"/>
      </w:pPr>
      <w:r>
        <w:t xml:space="preserve"/>
      </w:r>
    </w:p>
    <w:p>
      <w:pPr>
        <w:spacing w:after="100" w:before="60"/>
      </w:pPr>
      <w:r>
        <w:rPr>
          <w:rFonts w:ascii="Arial" w:cs="Arial" w:eastAsia="Arial" w:hAnsi="Arial"/>
          <w:color w:val="3A3A3A"/>
          <w:sz w:val="20"/>
          <w:szCs w:val="20"/>
        </w:rPr>
        <w:t xml:space="preserve">One binding per wallet address — contract enforces no wallet holds two credentials. One binding per identity_binding — contract enforces no identity is bound to two wallets. Wallet-agnostic hash (ERC-4337 compatible per Change Log C12).</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The Six Issuance Gates</w:t>
      </w:r>
    </w:p>
    <w:p>
      <w:pPr>
        <w:spacing w:after="100" w:before="60"/>
      </w:pPr>
      <w:r>
        <w:rPr>
          <w:rFonts w:ascii="Arial" w:cs="Arial" w:eastAsia="Arial" w:hAnsi="Arial"/>
          <w:color w:val="3A3A3A"/>
          <w:sz w:val="20"/>
          <w:szCs w:val="20"/>
        </w:rPr>
        <w:t xml:space="preserve">NOTE: Gates 1–5 execute at TCT purchase. Gate 6 (Legal + Escrow-Trigger) executes at project election — a separate, later event (MRB Token Engine Memo C0).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3160"/>
      </w:tblGrid>
      <w:tr>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Gate</w:t>
            </w:r>
          </w:p>
        </w:tc>
        <w:tc>
          <w:tcPr>
            <w:tcW w:type="dxa" w:w="3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Condition</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Timing</w:t>
            </w:r>
          </w:p>
        </w:tc>
        <w:tc>
          <w:tcPr>
            <w:tcW w:type="dxa" w:w="3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 — Eligibility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Applicant fits policy definition for the credential class set by project lister and TCM compliance policy.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At TCT purchase application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Checked against lister-defined criteria.</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 — Identity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KYC/AML and sanctions screening complete with Verified result.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At TCT purchase application</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is the verifier (revenue stream). Returns: Verified | Failed | Restricted + jurisdiction code.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3 — Wallet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Wallet established and proven controlled by applicant via signed ownership challenge.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At TCT purchase application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EOA v1 (MetaMask etc.). ERC-4337 smart wallet v2. No TCT-exclusive wallet required.</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 — Mint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ISSUER_ROLE mints credential into bound wallet in Pending state per project lister's pre-cleared instruction.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After gates 1–3 pass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Batched for cohort (max 50 per tx). Both order types (LISTER_COHORT and INDIVIDUAL_PURCHASE) route through this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5 — Activation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compliance verification confirmed; ISSUER_ROLE activates. isAuthorized = true. Participant can now authenticate into TCN.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After KYC confirmation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status = Active. Triggers CredentialActivated event. Mirror and audit log refreshed.</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6 — Legal + Escrow (MRB C0)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TCT Owner elects to participate in a specific project. Participation agreement accepted. TCT Owner instructs financial institution to send funds to regulated escrow. Ack received → TCNWFT minting order generated.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At project election — SEPARATE from purchase (days or weeks later)</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This is the FIG. 3 conversion event. Converts TCT Owner to TCT Participant. Escrow-trigger is sequential: instruction → FI acts → ack received → then report + mint order.</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SDN Kill Switch</w:t>
      </w:r>
    </w:p>
    <w:p>
      <w:pPr>
        <w:spacing w:after="100" w:before="60"/>
      </w:pPr>
      <w:r>
        <w:rPr>
          <w:rFonts w:ascii="Arial" w:cs="Arial" w:eastAsia="Arial" w:hAnsi="Arial"/>
          <w:color w:val="3A3A3A"/>
          <w:sz w:val="20"/>
          <w:szCs w:val="20"/>
        </w:rPr>
        <w:t xml:space="preserve">Trigger: JPM returns sanctions match on participant.</w:t>
      </w:r>
    </w:p>
    <w:p>
      <w:pPr>
        <w:pStyle w:val="ListParagraph"/>
        <w:numPr>
          <w:ilvl w:val="0"/>
          <w:numId w:val="2"/>
        </w:numPr>
        <w:spacing w:after="60" w:before="40"/>
      </w:pPr>
      <w:r>
        <w:rPr>
          <w:rFonts w:ascii="Arial" w:cs="Arial" w:eastAsia="Arial" w:hAnsi="Arial"/>
          <w:color w:val="3A3A3A"/>
          <w:sz w:val="20"/>
          <w:szCs w:val="20"/>
        </w:rPr>
        <w:t xml:space="preserve">Action path: REVOCATION_ROLE_TCM invokes Revocation/Suspension API → contract transitions credential to Revoked → lifecycle event emitted with result_subtype = sanctions_flag.</w:t>
      </w:r>
    </w:p>
    <w:p>
      <w:pPr>
        <w:pStyle w:val="ListParagraph"/>
        <w:numPr>
          <w:ilvl w:val="0"/>
          <w:numId w:val="2"/>
        </w:numPr>
        <w:spacing w:after="60" w:before="40"/>
      </w:pPr>
      <w:r>
        <w:rPr>
          <w:rFonts w:ascii="Arial" w:cs="Arial" w:eastAsia="Arial" w:hAnsi="Arial"/>
          <w:color w:val="3A3A3A"/>
          <w:sz w:val="20"/>
          <w:szCs w:val="20"/>
        </w:rPr>
        <w:t xml:space="preserve">Blocked tokens are revoked and cancelled. They are not sold, transferred, or priced. No secondary market mechanism exists for blocked TCTs. No economic transaction accompanies revocation.</w:t>
      </w:r>
    </w:p>
    <w:p>
      <w:pPr>
        <w:pStyle w:val="ListParagraph"/>
        <w:numPr>
          <w:ilvl w:val="0"/>
          <w:numId w:val="2"/>
        </w:numPr>
        <w:spacing w:after="60" w:before="40"/>
      </w:pPr>
      <w:r>
        <w:rPr>
          <w:rFonts w:ascii="Arial" w:cs="Arial" w:eastAsia="Arial" w:hAnsi="Arial"/>
          <w:color w:val="3A3A3A"/>
          <w:sz w:val="20"/>
          <w:szCs w:val="20"/>
        </w:rPr>
        <w:t xml:space="preserve">TCN notification via TCT_GATEWAY_ROLE: participant removed from all active workflows. WorkflowParticipantRevoked event emitted per workflow. Workflow continues for remaining participants.</w:t>
      </w:r>
    </w:p>
    <w:p>
      <w:pPr>
        <w:pStyle w:val="ListParagraph"/>
        <w:numPr>
          <w:ilvl w:val="0"/>
          <w:numId w:val="2"/>
        </w:numPr>
        <w:spacing w:after="60" w:before="40"/>
      </w:pPr>
      <w:r>
        <w:rPr>
          <w:rFonts w:ascii="Arial" w:cs="Arial" w:eastAsia="Arial" w:hAnsi="Arial"/>
          <w:color w:val="3A3A3A"/>
          <w:sz w:val="20"/>
          <w:szCs w:val="20"/>
        </w:rPr>
        <w:t xml:space="preserve">Event history preserved — sanctions_flag result_subtype distinguishable from routine revocation in audit log.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85FA5" w:sz="4"/>
              <w:bottom w:val="single" w:color="CCCCCC" w:sz="1"/>
              <w:right w:val="none" w:color="FFFFFF" w:sz="0"/>
            </w:tcBorders>
            <w:shd w:fill="E6F1FB" w:val="clear"/>
            <w:tcMar>
              <w:top w:type="dxa" w:w="100"/>
              <w:left w:type="dxa" w:w="160"/>
              <w:bottom w:type="dxa" w:w="100"/>
              <w:right w:type="dxa" w:w="160"/>
            </w:tcMar>
          </w:tcPr>
          <w:p>
            <w:pPr>
              <w:spacing w:after="30" w:before="0"/>
            </w:pPr>
            <w:r>
              <w:rPr>
                <w:rFonts w:ascii="Arial" w:cs="Arial" w:eastAsia="Arial" w:hAnsi="Arial"/>
                <w:b/>
                <w:bCs/>
                <w:color w:val="185FA5"/>
                <w:sz w:val="18"/>
                <w:szCs w:val="18"/>
              </w:rPr>
              <w:t xml:space="preserve"/>
            </w:r>
          </w:p>
          <w:p>
            <w:pPr>
              <w:spacing w:after="0" w:before="0"/>
            </w:pPr>
            <w:r>
              <w:rPr>
                <w:rFonts w:ascii="Arial" w:cs="Arial" w:eastAsia="Arial" w:hAnsi="Arial"/>
                <w:color w:val="3A3A3A"/>
                <w:sz w:val="19"/>
                <w:szCs w:val="19"/>
              </w:rPr>
              <w:t xml:space="preserve">This explicit statement closes the CEO document's earlier reference to blocked tokens being "sold to consortium at market." That mechanism is rejected. Revocation is the terminal action. This statement is the audit record of the architectural decision.</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VII — RBAC and Key Management</w:t>
      </w:r>
    </w:p>
    <w:p>
      <w:pPr>
        <w:pStyle w:val="Heading2"/>
        <w:spacing w:after="120" w:before="280"/>
      </w:pPr>
      <w:r>
        <w:rPr>
          <w:rFonts w:ascii="Arial" w:cs="Arial" w:eastAsia="Arial" w:hAnsi="Arial"/>
          <w:b/>
          <w:bCs/>
          <w:color w:val="1A1A1A"/>
          <w:sz w:val="24"/>
          <w:szCs w:val="24"/>
        </w:rPr>
        <w:t xml:space="preserve">Role Architecture</w:t>
      </w:r>
    </w:p>
    <w:p>
      <w:pPr>
        <w:spacing w:after="100" w:before="60"/>
      </w:pPr>
      <w:r>
        <w:rPr>
          <w:rFonts w:ascii="Arial" w:cs="Arial" w:eastAsia="Arial" w:hAnsi="Arial"/>
          <w:color w:val="3A3A3A"/>
          <w:sz w:val="20"/>
          <w:szCs w:val="20"/>
        </w:rPr>
        <w:t xml:space="preserve">Segregation of custody invariant: signing material for each role held by a distinct signer. No single human controls more than one role's signing material. All role grants and revocations emit on-chain events and are mirrored to audit log. Divergence = Sev-1.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Role</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Authority</w:t>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Production signer</w:t>
            </w:r>
          </w:p>
        </w:tc>
        <w:tc>
          <w:tcPr>
            <w:tcW w:type="dxa" w:w="2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DEFAULT_ADMIN_ROLE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Manages role set. Never used in routine operations.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Governance multi-sig (3-of-5)</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Used only for role grants/revocations. Never invoked operationally.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ISSUER_ROLE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Mint and activate credentials.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onboarding service hot signer (HSM-backed)</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Batch-capable for cohort issuances up to 50 per tx.</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COMPLIANCE_ROLE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Update compliance_status, jurisdiction_code, claims_version.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compliance service signer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Updated on JPM KYC/AML outcome changes.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REVOCATION_ROLE_TCM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Suspend, revoke, retire credentials on legal/regulatory grounds. SDN kill switch.</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compliance/legal multi-sig (2-of-3)</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Segregated from REVOCATION_ROLE_TCN.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REVOCATION_ROLE_TCN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Suspend or revoke on contract-breach grounds.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 operations multi-sig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Segregated from REVOCATION_ROLE_TCM.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SYNC_ROLE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Write outcome references to TCTOutcomeRegistry. Revenue-bearing.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Synchronization service hot signer</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Invoked only after Audit Final confirmation.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PAUSER_ROLE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Emergency pause of mint and sync paths.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Operations on-call multi-sig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Reachable within 5 minutes of Sev-1 alert.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URI_ROLE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Update non-sensitive metadata URIs.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Engineering team signer</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Lowest privilege. Metadata URIs: non-sensitive descriptive content only.</w:t>
            </w:r>
          </w:p>
        </w:tc>
      </w:tr>
    </w:tbl>
    <w:p>
      <w:pPr>
        <w:spacing w:after="120" w:before="0"/>
      </w:pPr>
      <w:r>
        <w:t xml:space="preserve"/>
      </w:r>
    </w:p>
    <w:p>
      <w:pPr>
        <w:pStyle w:val="Heading2"/>
        <w:spacing w:after="120" w:before="280"/>
      </w:pPr>
      <w:r>
        <w:rPr>
          <w:rFonts w:ascii="Arial" w:cs="Arial" w:eastAsia="Arial" w:hAnsi="Arial"/>
          <w:b/>
          <w:bCs/>
          <w:color w:val="1A1A1A"/>
          <w:sz w:val="24"/>
          <w:szCs w:val="24"/>
        </w:rPr>
        <w:t xml:space="preserve">mTLS Certificate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C11). Certificate expiry without rotation causes hard TCN → TCM service outage.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Certificate</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Rotation cadence</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Overlap period</w:t>
            </w:r>
          </w:p>
        </w:tc>
        <w:tc>
          <w:tcPr>
            <w:tcW w:type="dxa" w:w="2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Expiry alert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mTLS: Auth API service-to-service (TCN → TCM)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Quarterly (90-day certificates). Automated via AWS Certificate Manager where possible.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Both old and new certificate accepted for 14 days during rotation window.</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PagerDuty Sev-2 alert 30 days before expiry. Hard Sev-1 at 7 days.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mTLS: TCN → TCA Project Listing API</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Quarterly (same cadence).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14-day overlap.</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Same alert policy.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Hot signer keys (ISSUER_ROLE, SYNC_ROLE)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Quarterly minimum. HSM-managed rotation.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Key version tracked in chain registry.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Rotation is a planned maintenance event. On-call notified 48 hours prior.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Multi-sig keys (governance roles)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Annually or on personnel change (whichever is sooner).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Multi-sig threshold maintained during rotation — quorum never drops below threshold during key cycle.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Compliance team calendar reminder 30 days prior.</w:t>
            </w:r>
          </w:p>
        </w:tc>
      </w:tr>
    </w:tbl>
    <w:p>
      <w:pPr>
        <w:spacing w:after="60" w:before="0"/>
      </w:pPr>
      <w:r>
        <w:t xml:space="preserve"/>
      </w:r>
    </w:p>
    <w:p>
      <w:pPr>
        <w:spacing w:after="100" w:before="60"/>
      </w:pPr>
      <w:r>
        <w:rPr>
          <w:rFonts w:ascii="Arial" w:cs="Arial" w:eastAsia="Arial" w:hAnsi="Arial"/>
          <w:color w:val="3A3A3A"/>
          <w:sz w:val="20"/>
          <w:szCs w:val="20"/>
        </w:rPr>
        <w:t xml:space="preserve">Certificate rotation is documented in a runbook that must be written and tested before launch (Part XII item 10). Tabletop exercise for mTLS rotation required before production cutover.</w:t>
      </w:r>
    </w:p>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VIII — Hardware Requirements</w:t>
      </w:r>
    </w:p>
    <w:p>
      <w:pPr>
        <w:pStyle w:val="Heading2"/>
        <w:spacing w:after="120" w:before="280"/>
      </w:pPr>
      <w:r>
        <w:rPr>
          <w:rFonts w:ascii="Arial" w:cs="Arial" w:eastAsia="Arial" w:hAnsi="Arial"/>
          <w:b/>
          <w:bCs/>
          <w:color w:val="1A1A1A"/>
          <w:sz w:val="24"/>
          <w:szCs w:val="24"/>
        </w:rPr>
        <w:t xml:space="preserve">AWS Infrastructure (TCM Account — Separate from TCN)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Service</w:t>
            </w:r>
          </w:p>
        </w:tc>
        <w:tc>
          <w:tcPr>
            <w:tcW w:type="dxa" w:w="3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Specification</w:t>
            </w:r>
          </w:p>
        </w:tc>
        <w:tc>
          <w:tcPr>
            <w:tcW w:type="dxa" w:w="31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Amazon EKS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Managed container cluster. Node type: m6i.xlarge (4 vCPU, 16GB RAM) minimum production. Auto-scaling: min 2, max 8 nodes. Multi-AZ.</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Hosts all Token Engine off-chain services. Multi-AZ supports 99.9% availability SLA.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Amazon RDS PostgreSQL 15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db.t3.medium (dev); db.r6g.large (production). Multi-AZ. AES-256 encryption at rest. 7-day automated backups with PITR. Three separate instances per sensitivity tier.</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Identity Vault (highest security, isolated instance). Credential-State Mirror + Outcome Store + Audit Log (second instance). Merchandising + Billing (third instance).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CloudHSM</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Minimum 2 HSM instances per cluster for HA.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Hot signer key material for ISSUER_ROLE and SYNC_ROLE. No private key material in application memory or environment variables.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Secrets Manager</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Per-environment configuration.</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KYC API keys, ComplyAdvantage API keys (if retained), DB connection strings, RPC endpoint credentials. No secrets in code or env vars.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Amazon S3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Standard storage with versioning + Object Lock COMPLIANCE mode for audit archive. SSE-KMS encryption.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Audit log archive (append-only, tamper-evident). Document attestation staging. Analytics feed materialization.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Amazon CloudWatch + EventBridge</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Per-service log groups. EventBridge rules for reconciliation job schedules (per Part IV).</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Application logging, reconciliation job triggering, Sev-1 alerting.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WAF + Shield Standard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Managed Rules + rate limiting: 1,000 req/5min per IP on Auth API.</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Protects Auth API (TCN-facing), participant portal, lister portal.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Certificate Manager</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TLS 1.3 enforcement. mTLS certificates for Auth API.</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HTTPS all external surfaces. mTLS for TCN service-to-service per Part VII.</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Blockchain / RPC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Network</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Provider (primary)</w:t>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Provider (failover)</w:t>
            </w:r>
          </w:p>
        </w:tc>
        <w:tc>
          <w:tcPr>
            <w:tcW w:type="dxa" w:w="2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mainnet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Alchemy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Infura</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Production — all credential operations, sync writes, gas cost recording.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Base Sepolia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Alchemy Base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Staging — second adapter dual-run validation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Ethereum mainnet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Alchemy or Infura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Anchoring only — periodic merkle-root commitments.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Polygon PoS Amoy testnet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Alchemy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Staging environment for integration testing.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A7517" w:sz="4"/>
              <w:bottom w:val="single" w:color="CCCCCC" w:sz="1"/>
              <w:right w:val="none" w:color="FFFFFF" w:sz="0"/>
            </w:tcBorders>
            <w:shd w:fill="FAEEDA" w:val="clear"/>
            <w:tcMar>
              <w:top w:type="dxa" w:w="100"/>
              <w:left w:type="dxa" w:w="160"/>
              <w:bottom w:type="dxa" w:w="100"/>
              <w:right w:type="dxa" w:w="160"/>
            </w:tcMar>
          </w:tcPr>
          <w:p>
            <w:pPr>
              <w:spacing w:after="30" w:before="0"/>
            </w:pPr>
            <w:r>
              <w:rPr>
                <w:rFonts w:ascii="Arial" w:cs="Arial" w:eastAsia="Arial" w:hAnsi="Arial"/>
                <w:b/>
                <w:bCs/>
                <w:color w:val="BA7517"/>
                <w:sz w:val="18"/>
                <w:szCs w:val="18"/>
              </w:rPr>
              <w:t xml:space="preserve">Senior engineer note</w:t>
            </w:r>
          </w:p>
          <w:p>
            <w:pPr>
              <w:spacing w:after="0" w:before="0"/>
            </w:pPr>
            <w:r>
              <w:rPr>
                <w:rFonts w:ascii="Arial" w:cs="Arial" w:eastAsia="Arial" w:hAnsi="Arial"/>
                <w:color w:val="3A3A3A"/>
                <w:sz w:val="19"/>
                <w:szCs w:val="19"/>
              </w:rPr>
              <w:t xml:space="preserve">Two RPC providers per network behind the adapter with automatic failover (per the chain registry health check job every 2 minutes). Single-provider dependency is a Sev-2 risk item. Do not launch production with only one RPC provider configured.</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IX — Software Requirements</w:t>
      </w:r>
    </w:p>
    <w:p>
      <w:pPr>
        <w:pStyle w:val="Heading2"/>
        <w:spacing w:after="120" w:before="280"/>
      </w:pPr>
      <w:r>
        <w:rPr>
          <w:rFonts w:ascii="Arial" w:cs="Arial" w:eastAsia="Arial" w:hAnsi="Arial"/>
          <w:b/>
          <w:bCs/>
          <w:color w:val="1A1A1A"/>
          <w:sz w:val="24"/>
          <w:szCs w:val="24"/>
        </w:rPr>
        <w:t xml:space="preserve">Smart Contract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760"/>
      </w:tblGrid>
      <w:tr>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Technology</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Version</w:t>
            </w:r>
          </w:p>
        </w:tc>
        <w:tc>
          <w:tcPr>
            <w:tcW w:type="dxa" w:w="3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Constraint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Solidity compiler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Solidity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0.8.x latest stable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Fixed pragma per contract. No floating pragma.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Contract framework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OpenZeppelin Contracts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5.x</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ERC-1155 base, AccessControl, ERC165 (ERC-5192 supplementary), Pausable.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Transfer hook override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OpenZeppelin ERC-1155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Override all transfer hooks to revert: safeTransferFrom, safeBatchTransferFrom, setApprovalForAll. Fuzz-tested — mandatory audit deliverable.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ERC-4337 compatibility (V2)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EIP-1271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Wallet-binding check must accept smart contract addresses. Do not hard-code EOA assumption. See Change Log C12.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Testing framework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Foundry (forge)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Latest stable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Fuzz testing of all transfer-disable paths is mandatory. Zero high/critical findings before deployment.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Static analysis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Slither + Mythril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Latest</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Run on every PR. PII pattern scan on every contract change.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Gas profiling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Foundry gas snapshots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Cohort batch mint gas profiling required. 50-token cohort on Polygon PoS testnet before production.</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Canonical Event Schema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C19). The normalizer validates events against the schema version; without a versioning strategy, breaking changes halt the pipeline.</w:t>
            </w:r>
          </w:p>
        </w:tc>
      </w:tr>
    </w:tbl>
    <w:p>
      <w:pPr>
        <w:spacing w:after="80" w:before="0"/>
      </w:pPr>
      <w:r>
        <w:t xml:space="preserve"/>
      </w:r>
    </w:p>
    <w:p>
      <w:pPr>
        <w:spacing w:after="100" w:before="60"/>
      </w:pPr>
      <w:r>
        <w:rPr>
          <w:rFonts w:ascii="Arial" w:cs="Arial" w:eastAsia="Arial" w:hAnsi="Arial"/>
          <w:color w:val="3A3A3A"/>
          <w:sz w:val="20"/>
          <w:szCs w:val="20"/>
        </w:rPr>
        <w:t xml:space="preserve">Canonical event schema uses semantic versioning (MAJOR.MINOR.PATCH):</w:t>
      </w:r>
    </w:p>
    <w:p>
      <w:pPr>
        <w:pStyle w:val="ListParagraph"/>
        <w:numPr>
          <w:ilvl w:val="0"/>
          <w:numId w:val="2"/>
        </w:numPr>
        <w:spacing w:after="60" w:before="40"/>
      </w:pPr>
      <w:r>
        <w:rPr>
          <w:rFonts w:ascii="Arial" w:cs="Arial" w:eastAsia="Arial" w:hAnsi="Arial"/>
          <w:color w:val="3A3A3A"/>
          <w:sz w:val="20"/>
          <w:szCs w:val="20"/>
        </w:rPr>
        <w:t xml:space="preserve">Schema version is a required field in every canonical event record.</w:t>
      </w:r>
    </w:p>
    <w:p>
      <w:pPr>
        <w:pStyle w:val="ListParagraph"/>
        <w:numPr>
          <w:ilvl w:val="0"/>
          <w:numId w:val="2"/>
        </w:numPr>
        <w:spacing w:after="60" w:before="40"/>
      </w:pPr>
      <w:r>
        <w:rPr>
          <w:rFonts w:ascii="Arial" w:cs="Arial" w:eastAsia="Arial" w:hAnsi="Arial"/>
          <w:color w:val="3A3A3A"/>
          <w:sz w:val="20"/>
          <w:szCs w:val="20"/>
        </w:rPr>
        <w:t xml:space="preserve">MAJOR bump: breaking change to field names or types. Requires adapter upgrade and normalizer upgrade deployed simultaneously. Normalizer accepts current MAJOR ± 1 during migration windows (maximum 30-day overlap).</w:t>
      </w:r>
    </w:p>
    <w:p>
      <w:pPr>
        <w:pStyle w:val="ListParagraph"/>
        <w:numPr>
          <w:ilvl w:val="0"/>
          <w:numId w:val="2"/>
        </w:numPr>
        <w:spacing w:after="60" w:before="40"/>
      </w:pPr>
      <w:r>
        <w:rPr>
          <w:rFonts w:ascii="Arial" w:cs="Arial" w:eastAsia="Arial" w:hAnsi="Arial"/>
          <w:color w:val="3A3A3A"/>
          <w:sz w:val="20"/>
          <w:szCs w:val="20"/>
        </w:rPr>
        <w:t xml:space="preserve">MINOR bump: additive change (new optional fields). Backward compatible. Normalizer accepts without upgrade.</w:t>
      </w:r>
    </w:p>
    <w:p>
      <w:pPr>
        <w:pStyle w:val="ListParagraph"/>
        <w:numPr>
          <w:ilvl w:val="0"/>
          <w:numId w:val="2"/>
        </w:numPr>
        <w:spacing w:after="60" w:before="40"/>
      </w:pPr>
      <w:r>
        <w:rPr>
          <w:rFonts w:ascii="Arial" w:cs="Arial" w:eastAsia="Arial" w:hAnsi="Arial"/>
          <w:color w:val="3A3A3A"/>
          <w:sz w:val="20"/>
          <w:szCs w:val="20"/>
        </w:rPr>
        <w:t xml:space="preserve">PATCH: documentation or constraint-only changes. No normalizer change required.</w:t>
      </w:r>
    </w:p>
    <w:p>
      <w:pPr>
        <w:pStyle w:val="ListParagraph"/>
        <w:numPr>
          <w:ilvl w:val="0"/>
          <w:numId w:val="2"/>
        </w:numPr>
        <w:spacing w:after="60" w:before="40"/>
      </w:pPr>
      <w:r>
        <w:rPr>
          <w:rFonts w:ascii="Arial" w:cs="Arial" w:eastAsia="Arial" w:hAnsi="Arial"/>
          <w:color w:val="3A3A3A"/>
          <w:sz w:val="20"/>
          <w:szCs w:val="20"/>
        </w:rPr>
        <w:t xml:space="preserve">v1.0.0 ships with the controlled vocabulary bootstrap defined in Part III.</w:t>
      </w:r>
    </w:p>
    <w:p>
      <w:pPr>
        <w:spacing w:after="80" w:before="0"/>
      </w:pPr>
      <w:r>
        <w:t xml:space="preserve"/>
      </w:r>
    </w:p>
    <w:p>
      <w:pPr>
        <w:pStyle w:val="Heading2"/>
        <w:spacing w:after="120" w:before="280"/>
      </w:pPr>
      <w:r>
        <w:rPr>
          <w:rFonts w:ascii="Arial" w:cs="Arial" w:eastAsia="Arial" w:hAnsi="Arial"/>
          <w:b/>
          <w:bCs/>
          <w:color w:val="1A1A1A"/>
          <w:sz w:val="24"/>
          <w:szCs w:val="24"/>
        </w:rPr>
        <w:t xml:space="preserve">Backend Services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Technology</w:t>
            </w:r>
          </w:p>
        </w:tc>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Version</w:t>
            </w:r>
          </w:p>
        </w:tc>
        <w:tc>
          <w:tcPr>
            <w:tcW w:type="dxa" w:w="3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Backend runtime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Node.js LTS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v20 LTS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Consistent with TCM Master Plan. All Token Engine services.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Type safety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TypeScript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5.x</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Required for all Engine services. Type safety on canonical event schema is critical for correctness.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Internal APIs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Fastify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Schema-first request validation. Canonical event schema validation built in.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Portal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Next.js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14</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Three TCM website surfaces. SSR for credential holder landing pages.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Ethereum interaction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ethers.js v6 or viem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v6 / latest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viem preferred for TypeScript type safety. Contract interaction, event parsing, signature construction.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Event serialization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Protocol Buffers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Deterministic serialization for event_hash computation. Same event always yields same serialized form and same hash. JSON with sorted keys acceptable if protobuf overhead is undesirable — decision for senior engineer.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Event hashing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Node.js crypto (SHA-256)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Built-in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Must match on-chain hash computation exactly. Write a cross-validation test: hash an event in Node.js and verify it matches the Solidity keccak256 or SHA-256 equivalent.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Message queue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SQS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Decouples adapter observation from finality promotion. Enables cursor-based replay. SQS FIFO queue for ordering guarantees.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Job scheduling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EventBridge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Drives reconciliation job cadences from Part IV. CloudWatch alarms on missed runs.</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JPM KYC Integration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W w:type="dxa" w:w="69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Technology / 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Primary production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JPMorgan Chase KYC/AML API. Estimated: $8/verification + $2,000/month platform fee. Contract in negotiation — initiate this week.</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Development / staging</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Persona API (sandbox). Free tier sufficient for build and test. Same integration interface as JPM (both REST JSON APIs — only endpoint and API key change at cutover).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Integration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Separate KYC service module behind an internal interface. The Token Engine calls the interface, not JPM or Persona directly. This allows vendor swap without touching Engine code.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SDN / OFAC screening</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Included in JPM offering (confirm scope in contract). If JPM SDN coverage is incomplete: ComplyAdvantage as supplementary AML-only integration. Verify before cancelling ComplyAdvantage discussions.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Bank account verification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Included in JPM offering. No secondary vendor required for this function.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Integration timeline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Weeks 1–5: GL builds against Persona sandbox. Weeks 4–6 (parallel): JPM sandbox integration and testing. Week 6: production cutover to JPM.</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UAT Pilot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Added in V2 (Change Log C18). Pilot UAT is a launch gate. These criteria define done.</w:t>
            </w:r>
          </w:p>
        </w:tc>
      </w:tr>
    </w:tbl>
    <w:p>
      <w:pPr>
        <w:spacing w:after="80" w:before="0"/>
      </w:pPr>
      <w:r>
        <w:t xml:space="preserve"/>
      </w:r>
    </w:p>
    <w:p>
      <w:pPr>
        <w:spacing w:after="100" w:before="60"/>
      </w:pPr>
      <w:r>
        <w:rPr>
          <w:rFonts w:ascii="Arial" w:cs="Arial" w:eastAsia="Arial" w:hAnsi="Arial"/>
          <w:color w:val="3A3A3A"/>
          <w:sz w:val="20"/>
          <w:szCs w:val="20"/>
        </w:rPr>
        <w:t xml:space="preserve">Pilot scope: 5 verified individual participants (real JPM KYC, real wallet), 1 project lister, 1 cohort mint of 5 tokens (LISTER_COHORT order type).</w:t>
      </w:r>
    </w:p>
    <w:p>
      <w:pPr>
        <w:pStyle w:val="ListParagraph"/>
        <w:numPr>
          <w:ilvl w:val="0"/>
          <w:numId w:val="3"/>
        </w:numPr>
        <w:spacing w:after="80" w:before="60"/>
      </w:pPr>
      <w:r>
        <w:rPr>
          <w:rFonts w:ascii="Arial" w:cs="Arial" w:eastAsia="Arial" w:hAnsi="Arial"/>
          <w:sz w:val="20"/>
          <w:szCs w:val="20"/>
        </w:rPr>
        <w:t xml:space="preserve">All six issuance gates complete without errors — each gate logged with a corresponding audit log entry.</w:t>
      </w:r>
    </w:p>
    <w:p>
      <w:pPr>
        <w:pStyle w:val="ListParagraph"/>
        <w:numPr>
          <w:ilvl w:val="0"/>
          <w:numId w:val="3"/>
        </w:numPr>
        <w:spacing w:after="80" w:before="60"/>
      </w:pPr>
      <w:r>
        <w:rPr>
          <w:rFonts w:ascii="Arial" w:cs="Arial" w:eastAsia="Arial" w:hAnsi="Arial"/>
          <w:sz w:val="20"/>
          <w:szCs w:val="20"/>
        </w:rPr>
        <w:t xml:space="preserve">Credential activation confirmed on-chain on Polygon PoS mainnet — CredentialActivated event visible in Tenderly.</w:t>
      </w:r>
    </w:p>
    <w:p>
      <w:pPr>
        <w:pStyle w:val="ListParagraph"/>
        <w:numPr>
          <w:ilvl w:val="0"/>
          <w:numId w:val="3"/>
        </w:numPr>
        <w:spacing w:after="80" w:before="60"/>
      </w:pPr>
      <w:r>
        <w:rPr>
          <w:rFonts w:ascii="Arial" w:cs="Arial" w:eastAsia="Arial" w:hAnsi="Arial"/>
          <w:sz w:val="20"/>
          <w:szCs w:val="20"/>
        </w:rPr>
        <w:t xml:space="preserve">TCN authentication: each of the 5 minted tokens successfully authenticates into TCN staging via the Auth API. Auth API response validated against v1 schema (Part X).</w:t>
      </w:r>
    </w:p>
    <w:p>
      <w:pPr>
        <w:pStyle w:val="ListParagraph"/>
        <w:numPr>
          <w:ilvl w:val="0"/>
          <w:numId w:val="3"/>
        </w:numPr>
        <w:spacing w:after="80" w:before="60"/>
      </w:pPr>
      <w:r>
        <w:rPr>
          <w:rFonts w:ascii="Arial" w:cs="Arial" w:eastAsia="Arial" w:hAnsi="Arial"/>
          <w:sz w:val="20"/>
          <w:szCs w:val="20"/>
        </w:rPr>
        <w:t xml:space="preserve">At least one simulated TCN workflow outcome written to TCTOutcomeRegistry via SYNC_ROLE — outcome reference visible in participant dashboard.</w:t>
      </w:r>
    </w:p>
    <w:p>
      <w:pPr>
        <w:pStyle w:val="ListParagraph"/>
        <w:numPr>
          <w:ilvl w:val="0"/>
          <w:numId w:val="3"/>
        </w:numPr>
        <w:spacing w:after="80" w:before="60"/>
      </w:pPr>
      <w:r>
        <w:rPr>
          <w:rFonts w:ascii="Arial" w:cs="Arial" w:eastAsia="Arial" w:hAnsi="Arial"/>
          <w:sz w:val="20"/>
          <w:szCs w:val="20"/>
        </w:rPr>
        <w:t xml:space="preserve">Audit log complete and reconcilable: mirror-vs-chain reconciliation passes within one 5-minute cycle after each operation.</w:t>
      </w:r>
    </w:p>
    <w:p>
      <w:pPr>
        <w:pStyle w:val="ListParagraph"/>
        <w:numPr>
          <w:ilvl w:val="0"/>
          <w:numId w:val="3"/>
        </w:numPr>
        <w:spacing w:after="80" w:before="60"/>
      </w:pPr>
      <w:r>
        <w:rPr>
          <w:rFonts w:ascii="Arial" w:cs="Arial" w:eastAsia="Arial" w:hAnsi="Arial"/>
          <w:sz w:val="20"/>
          <w:szCs w:val="20"/>
        </w:rPr>
        <w:t xml:space="preserve">JPM KYC/AML result correctly reflected in compliance_status field and jurisdiction_code field for all 5 participants.</w:t>
      </w:r>
    </w:p>
    <w:p>
      <w:pPr>
        <w:spacing w:after="60" w:before="0"/>
      </w:pPr>
      <w:r>
        <w:t xml:space="preserve"/>
      </w:r>
    </w:p>
    <w:p>
      <w:pPr>
        <w:spacing w:after="100" w:before="60"/>
      </w:pPr>
      <w:r>
        <w:rPr>
          <w:rFonts w:ascii="Arial" w:cs="Arial" w:eastAsia="Arial" w:hAnsi="Arial"/>
          <w:color w:val="3A3A3A"/>
          <w:sz w:val="20"/>
          <w:szCs w:val="20"/>
        </w:rPr>
        <w:t xml:space="preserve">MRB and Stan sign off on UAT completion report before production launch proceeds.</w:t>
      </w:r>
    </w:p>
    <w:p>
      <w:pPr>
        <w:spacing w:after="120" w:before="0"/>
      </w:pPr>
      <w:r>
        <w:t xml:space="preserve"/>
      </w:r>
    </w:p>
    <w:p>
      <w:pPr>
        <w:pStyle w:val="Heading2"/>
        <w:spacing w:after="120" w:before="280"/>
      </w:pPr>
      <w:r>
        <w:rPr>
          <w:rFonts w:ascii="Arial" w:cs="Arial" w:eastAsia="Arial" w:hAnsi="Arial"/>
          <w:b/>
          <w:bCs/>
          <w:color w:val="1A1A1A"/>
          <w:sz w:val="24"/>
          <w:szCs w:val="24"/>
        </w:rPr>
        <w:t xml:space="preserve">Security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Requirement</w:t>
            </w:r>
          </w:p>
        </w:tc>
        <w:tc>
          <w:tcPr>
            <w:tcW w:type="dxa" w:w="69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Transport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TLS 1.3 required on all connections. mTLS for Auth API and TCN-facing endpoints. Quarterly certificate rotation per Part VII.</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Storage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AES-256 at rest (AWS RDS encryption enabled at creation). S3 SSE-KMS. CloudHSM for hot signer key material.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Secrets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AWS Secrets Manager for JPM API keys, DB credentials, RPC endpoints. Automatic rotation enabled. Zero secrets in environment variables, code, or git.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SAST</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ESLint security rules + Semgrep (TypeScript). Slither + Mythril (Solidity). PII pattern scanning on every contract change. Run in CI on every PR.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RBAC — regulatory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Segregation of duties documented per FinCEN access control guidance, SEC Rule 17a-4, CFTC Regulation 1.31. No single human controls more than one role's signing key.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Network</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VPC per AWS account. Private subnets for all DB instances and Engine services. Auth API is the only externally exposed TCM endpoint (via ALB + WAF). No direct DB access from public subnets.</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X — Auth API Specification (v1 Schema)</w:t>
      </w:r>
    </w:p>
    <w:p>
      <w:pPr>
        <w:spacing w:after="100" w:before="60"/>
      </w:pPr>
      <w:r>
        <w:rPr>
          <w:rFonts w:ascii="Arial" w:cs="Arial" w:eastAsia="Arial" w:hAnsi="Arial"/>
          <w:color w:val="3A3A3A"/>
          <w:sz w:val="20"/>
          <w:szCs w:val="20"/>
        </w:rPr>
        <w:t xml:space="preserve">This section was absent from v1. It is the blocking document for TCN's middleware build. The v1 schema must be co-signed by TCM lead (Ganlin) and TCN lead before TCN begins coding their token-gated middleware (Master Plan Build Task T16).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New section in V2 (Change Log C2). This is the most urgent addition. TCN cannot start building their access middleware until this schema is frozen and signed off.</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POST /auth/v1/validate-token</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Authentication: mTLS (service-to-service certificate — TCN service only)</w:t>
            </w:r>
          </w:p>
          <w:p>
            <w:pPr>
              <w:spacing w:after="20" w:before="0"/>
            </w:pPr>
            <w:r>
              <w:rPr>
                <w:rFonts w:ascii="Courier New" w:cs="Courier New" w:eastAsia="Courier New" w:hAnsi="Courier New"/>
                <w:color w:val="E8E8E8"/>
                <w:sz w:val="18"/>
                <w:szCs w:val="18"/>
              </w:rPr>
              <w:t xml:space="preserve">Rate limit:     1,000 requests per 5 minutes per caller IP</w:t>
            </w:r>
          </w:p>
          <w:p>
            <w:pPr>
              <w:spacing w:after="20" w:before="0"/>
            </w:pPr>
            <w:r>
              <w:rPr>
                <w:rFonts w:ascii="Courier New" w:cs="Courier New" w:eastAsia="Courier New" w:hAnsi="Courier New"/>
                <w:color w:val="E8E8E8"/>
                <w:sz w:val="18"/>
                <w:szCs w:val="18"/>
              </w:rPr>
              <w:t xml:space="preserve">Content-Type:   application/json</w:t>
            </w:r>
          </w:p>
          <w:p>
            <w:pPr>
              <w:spacing w:after="20" w:before="0"/>
            </w:pPr>
            <w:r>
              <w:rPr>
                <w:rFonts w:ascii="Courier New" w:cs="Courier New" w:eastAsia="Courier New" w:hAnsi="Courier New"/>
                <w:color w:val="E8E8E8"/>
                <w:sz w:val="18"/>
                <w:szCs w:val="18"/>
              </w:rPr>
              <w:t xml:space="preserve">Protocol:       HTTPS / TLS 1.3 only</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"token_id": "string"   // Required. The credential token ID to validate.</w:t>
            </w:r>
          </w:p>
          <w:p>
            <w:pPr>
              <w:spacing w:after="20" w:before="0"/>
            </w:pPr>
            <w:r>
              <w:rPr>
                <w:rFonts w:ascii="Courier New" w:cs="Courier New" w:eastAsia="Courier New" w:hAnsi="Courier New"/>
                <w:color w:val="E8E8E8"/>
                <w:sz w:val="18"/>
                <w:szCs w:val="18"/>
              </w:rPr>
              <w:t xml:space="preserve">                         // Example: "0x0001000000000001"</w:t>
            </w:r>
          </w:p>
          <w:p>
            <w:pPr>
              <w:spacing w:after="20" w:before="0"/>
            </w:pPr>
            <w:r>
              <w:rPr>
                <w:rFonts w:ascii="Courier New" w:cs="Courier New" w:eastAsia="Courier New" w:hAnsi="Courier New"/>
                <w:color w:val="E8E8E8"/>
                <w:sz w:val="18"/>
                <w:szCs w:val="18"/>
              </w:rPr>
              <w:t xml:space="preserve">}</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Response Schema — Success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"status":          "ACTIVE" | "PENDING" | "SUSPENDED" |</w:t>
            </w:r>
          </w:p>
          <w:p>
            <w:pPr>
              <w:spacing w:after="20" w:before="0"/>
            </w:pPr>
            <w:r>
              <w:rPr>
                <w:rFonts w:ascii="Courier New" w:cs="Courier New" w:eastAsia="Courier New" w:hAnsi="Courier New"/>
                <w:color w:val="E8E8E8"/>
                <w:sz w:val="18"/>
                <w:szCs w:val="18"/>
              </w:rPr>
              <w:t xml:space="preserve">                     "REVOKED" | "EXPIRED" | "RETIRED" | "NOT_FOUND",</w:t>
            </w:r>
          </w:p>
          <w:p>
            <w:pPr>
              <w:spacing w:after="20" w:before="0"/>
            </w:pPr>
            <w:r>
              <w:rPr>
                <w:rFonts w:ascii="Courier New" w:cs="Courier New" w:eastAsia="Courier New" w:hAnsi="Courier New"/>
                <w:color w:val="E8E8E8"/>
                <w:sz w:val="18"/>
                <w:szCs w:val="18"/>
              </w:rPr>
              <w:t xml:space="preserve">  "permission_tier": "VIEWER" | "PARTICIPANT",</w:t>
            </w:r>
          </w:p>
          <w:p>
            <w:pPr>
              <w:spacing w:after="20" w:before="0"/>
            </w:pPr>
            <w:r>
              <w:rPr>
                <w:rFonts w:ascii="Courier New" w:cs="Courier New" w:eastAsia="Courier New" w:hAnsi="Courier New"/>
                <w:color w:val="E8E8E8"/>
                <w:sz w:val="18"/>
                <w:szCs w:val="18"/>
              </w:rPr>
              <w:t xml:space="preserve">  "verified_at":     "ISO8601 timestamp",     // when credential was last activated</w:t>
            </w:r>
          </w:p>
          <w:p>
            <w:pPr>
              <w:spacing w:after="20" w:before="0"/>
            </w:pPr>
            <w:r>
              <w:rPr>
                <w:rFonts w:ascii="Courier New" w:cs="Courier New" w:eastAsia="Courier New" w:hAnsi="Courier New"/>
                <w:color w:val="E8E8E8"/>
                <w:sz w:val="18"/>
                <w:szCs w:val="18"/>
              </w:rPr>
              <w:t xml:space="preserve">  "network_id":      "string",                // chain this credential lives on</w:t>
            </w:r>
          </w:p>
          <w:p>
            <w:pPr>
              <w:spacing w:after="20" w:before="0"/>
            </w:pPr>
            <w:r>
              <w:rPr>
                <w:rFonts w:ascii="Courier New" w:cs="Courier New" w:eastAsia="Courier New" w:hAnsi="Courier New"/>
                <w:color w:val="E8E8E8"/>
                <w:sz w:val="18"/>
                <w:szCs w:val="18"/>
              </w:rPr>
              <w:t xml:space="preserve">  "jurisdiction_code": "string"               // 4-byte ISO-style code</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Note: NO identity data, NO PII, NO compliance detail leaves TCM.</w:t>
            </w:r>
          </w:p>
          <w:p>
            <w:pPr>
              <w:spacing w:after="20" w:before="0"/>
            </w:pPr>
            <w:r>
              <w:rPr>
                <w:rFonts w:ascii="Courier New" w:cs="Courier New" w:eastAsia="Courier New" w:hAnsi="Courier New"/>
                <w:color w:val="E8E8E8"/>
                <w:sz w:val="18"/>
                <w:szCs w:val="18"/>
              </w:rPr>
              <w:t xml:space="preserve">TCN receives only what it needs to make an access decision.</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Permission Tier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permission_tier value</w:t>
            </w:r>
          </w:p>
        </w:tc>
        <w:tc>
          <w:tcPr>
            <w:tcW w:type="dxa" w:w="36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When returned</w:t>
            </w:r>
          </w:p>
        </w:tc>
        <w:tc>
          <w:tcPr>
            <w:tcW w:type="dxa" w:w="3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TCN access granted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PARTICIPANT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status = ACTIVE AND compliance_status = VERIFIED AND project_id is embedded in token.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Full participant access to the specific project workflow.</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VIEWER</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status = ACTIVE AND compliance_status = VERIFIED AND no project_id embedded yet.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Browsing access to TCN listings. Cannot initiate workflow actions.</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Error Response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pPr>
              <w:spacing w:after="20" w:before="0"/>
            </w:pPr>
            <w:r>
              <w:rPr>
                <w:rFonts w:ascii="Courier New" w:cs="Courier New" w:eastAsia="Courier New" w:hAnsi="Courier New"/>
                <w:color w:val="E8E8E8"/>
                <w:sz w:val="18"/>
                <w:szCs w:val="18"/>
              </w:rPr>
              <w:t xml:space="preserve">HTTP 404 — Token not found:</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"error": "TOKEN_NOT_FOUND",</w:t>
            </w:r>
          </w:p>
          <w:p>
            <w:pPr>
              <w:spacing w:after="20" w:before="0"/>
            </w:pPr>
            <w:r>
              <w:rPr>
                <w:rFonts w:ascii="Courier New" w:cs="Courier New" w:eastAsia="Courier New" w:hAnsi="Courier New"/>
                <w:color w:val="E8E8E8"/>
                <w:sz w:val="18"/>
                <w:szCs w:val="18"/>
              </w:rPr>
              <w:t xml:space="preserve">  "message": "No credential found for the provided token_id"</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HTTP 401 — Invalid service credential (mTLS failure or invalid caller):</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"error": "INVALID_SERVICE_CREDENTIAL"</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HTTP 429 — Rate limit exceeded:</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"error": "RATE_LIMIT_EXCEEDED",</w:t>
            </w:r>
          </w:p>
          <w:p>
            <w:pPr>
              <w:spacing w:after="20" w:before="0"/>
            </w:pPr>
            <w:r>
              <w:rPr>
                <w:rFonts w:ascii="Courier New" w:cs="Courier New" w:eastAsia="Courier New" w:hAnsi="Courier New"/>
                <w:color w:val="E8E8E8"/>
                <w:sz w:val="18"/>
                <w:szCs w:val="18"/>
              </w:rPr>
              <w:t xml:space="preserve">  "retry_after": 30         // seconds until the caller may retry</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w:t>
            </w:r>
          </w:p>
          <w:p>
            <w:pPr>
              <w:spacing w:after="20" w:before="0"/>
            </w:pPr>
            <w:r>
              <w:rPr>
                <w:rFonts w:ascii="Courier New" w:cs="Courier New" w:eastAsia="Courier New" w:hAnsi="Courier New"/>
                <w:color w:val="E8E8E8"/>
                <w:sz w:val="18"/>
                <w:szCs w:val="18"/>
              </w:rPr>
              <w:t xml:space="preserve">HTTP 503 — TCM unavailable:</w:t>
            </w:r>
          </w:p>
          <w:p>
            <w:pPr>
              <w:spacing w:after="20" w:before="0"/>
            </w:pPr>
            <w:r>
              <w:rPr>
                <w:rFonts w:ascii="Courier New" w:cs="Courier New" w:eastAsia="Courier New" w:hAnsi="Courier New"/>
                <w:color w:val="E8E8E8"/>
                <w:sz w:val="18"/>
                <w:szCs w:val="18"/>
              </w:rPr>
              <w:t xml:space="preserve">{</w:t>
            </w:r>
          </w:p>
          <w:p>
            <w:pPr>
              <w:spacing w:after="20" w:before="0"/>
            </w:pPr>
            <w:r>
              <w:rPr>
                <w:rFonts w:ascii="Courier New" w:cs="Courier New" w:eastAsia="Courier New" w:hAnsi="Courier New"/>
                <w:color w:val="E8E8E8"/>
                <w:sz w:val="18"/>
                <w:szCs w:val="18"/>
              </w:rPr>
              <w:t xml:space="preserve">  "error": "TCM_UNAVAILABLE"</w:t>
            </w:r>
          </w:p>
          <w:p>
            <w:pPr>
              <w:spacing w:after="20" w:before="0"/>
            </w:pPr>
            <w:r>
              <w:rPr>
                <w:rFonts w:ascii="Courier New" w:cs="Courier New" w:eastAsia="Courier New" w:hAnsi="Courier New"/>
                <w:color w:val="E8E8E8"/>
                <w:sz w:val="18"/>
                <w:szCs w:val="18"/>
              </w:rPr>
              <w:t xml:space="preserve">  // TCN must fail CLOSED on this response.</w:t>
            </w:r>
          </w:p>
          <w:p>
            <w:pPr>
              <w:spacing w:after="20" w:before="0"/>
            </w:pPr>
            <w:r>
              <w:rPr>
                <w:rFonts w:ascii="Courier New" w:cs="Courier New" w:eastAsia="Courier New" w:hAnsi="Courier New"/>
                <w:color w:val="E8E8E8"/>
                <w:sz w:val="18"/>
                <w:szCs w:val="18"/>
              </w:rPr>
              <w:t xml:space="preserve">  // Deny all participant access until TCM is reachable.</w:t>
            </w:r>
          </w:p>
          <w:p>
            <w:pPr>
              <w:spacing w:after="20" w:before="0"/>
            </w:pPr>
            <w:r>
              <w:rPr>
                <w:rFonts w:ascii="Courier New" w:cs="Courier New" w:eastAsia="Courier New" w:hAnsi="Courier New"/>
                <w:color w:val="E8E8E8"/>
                <w:sz w:val="18"/>
                <w:szCs w:val="18"/>
              </w:rPr>
              <w:t xml:space="preserve">  // Do NOT fail open.</w:t>
            </w:r>
          </w:p>
          <w:p>
            <w:pPr>
              <w:spacing w:after="20" w:before="0"/>
            </w:pPr>
            <w:r>
              <w:rPr>
                <w:rFonts w:ascii="Courier New" w:cs="Courier New" w:eastAsia="Courier New" w:hAnsi="Courier New"/>
                <w:color w:val="E8E8E8"/>
                <w:sz w:val="18"/>
                <w:szCs w:val="18"/>
              </w:rPr>
              <w:t xml:space="preserve">}</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TCN Integration Requirements</w:t>
      </w:r>
    </w:p>
    <w:p>
      <w:pPr>
        <w:pStyle w:val="ListParagraph"/>
        <w:numPr>
          <w:ilvl w:val="0"/>
          <w:numId w:val="2"/>
        </w:numPr>
        <w:spacing w:after="60" w:before="40"/>
      </w:pPr>
      <w:r>
        <w:rPr>
          <w:rFonts w:ascii="Arial" w:cs="Arial" w:eastAsia="Arial" w:hAnsi="Arial"/>
          <w:color w:val="3A3A3A"/>
          <w:sz w:val="20"/>
          <w:szCs w:val="20"/>
        </w:rPr>
        <w:t xml:space="preserve">TCN must call this endpoint on every session initiation (login) and on a periodic refresh interval during active sessions (recommended: every 15 minutes).</w:t>
      </w:r>
    </w:p>
    <w:p>
      <w:pPr>
        <w:pStyle w:val="ListParagraph"/>
        <w:numPr>
          <w:ilvl w:val="0"/>
          <w:numId w:val="2"/>
        </w:numPr>
        <w:spacing w:after="60" w:before="40"/>
      </w:pPr>
      <w:r>
        <w:rPr>
          <w:rFonts w:ascii="Arial" w:cs="Arial" w:eastAsia="Arial" w:hAnsi="Arial"/>
          <w:color w:val="3A3A3A"/>
          <w:sz w:val="20"/>
          <w:szCs w:val="20"/>
        </w:rPr>
        <w:t xml:space="preserve">On HTTP 503: TCN MUST deny all participant access. Fail-closed is non-negotiable. If TCM is unavailable, TCN is unavailable.</w:t>
      </w:r>
    </w:p>
    <w:p>
      <w:pPr>
        <w:pStyle w:val="ListParagraph"/>
        <w:numPr>
          <w:ilvl w:val="0"/>
          <w:numId w:val="2"/>
        </w:numPr>
        <w:spacing w:after="60" w:before="40"/>
      </w:pPr>
      <w:r>
        <w:rPr>
          <w:rFonts w:ascii="Arial" w:cs="Arial" w:eastAsia="Arial" w:hAnsi="Arial"/>
          <w:color w:val="3A3A3A"/>
          <w:sz w:val="20"/>
          <w:szCs w:val="20"/>
        </w:rPr>
        <w:t xml:space="preserve">On HTTP 429: TCN must implement exponential backoff with jitter. Do not retry immediately.</w:t>
      </w:r>
    </w:p>
    <w:p>
      <w:pPr>
        <w:pStyle w:val="ListParagraph"/>
        <w:numPr>
          <w:ilvl w:val="0"/>
          <w:numId w:val="2"/>
        </w:numPr>
        <w:spacing w:after="60" w:before="40"/>
      </w:pPr>
      <w:r>
        <w:rPr>
          <w:rFonts w:ascii="Arial" w:cs="Arial" w:eastAsia="Arial" w:hAnsi="Arial"/>
          <w:color w:val="3A3A3A"/>
          <w:sz w:val="20"/>
          <w:szCs w:val="20"/>
        </w:rPr>
        <w:t xml:space="preserve">TCN must NOT store TCM response data beyond the active session. No caching of permission_tier or status across sessions.</w:t>
      </w:r>
    </w:p>
    <w:p>
      <w:pPr>
        <w:pStyle w:val="ListParagraph"/>
        <w:numPr>
          <w:ilvl w:val="0"/>
          <w:numId w:val="2"/>
        </w:numPr>
        <w:spacing w:after="60" w:before="40"/>
      </w:pPr>
      <w:r>
        <w:rPr>
          <w:rFonts w:ascii="Arial" w:cs="Arial" w:eastAsia="Arial" w:hAnsi="Arial"/>
          <w:color w:val="3A3A3A"/>
          <w:sz w:val="20"/>
          <w:szCs w:val="20"/>
        </w:rPr>
        <w:t xml:space="preserve">All Auth API calls must be logged by TCN: token_id used, response received (status + permission_tier only), session outcome, timestamp. These logs must be reconcilable with TCM's call logs for audit.</w:t>
      </w:r>
    </w:p>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XI — SLA and Performance Requirements</w:t>
      </w:r>
    </w:p>
    <w:p>
      <w:pPr>
        <w:spacing w:after="100" w:before="60"/>
      </w:pPr>
      <w:r>
        <w:rPr>
          <w:rFonts w:ascii="Arial" w:cs="Arial" w:eastAsia="Arial" w:hAnsi="Arial"/>
          <w:color w:val="3A3A3A"/>
          <w:sz w:val="20"/>
          <w:szCs w:val="20"/>
        </w:rPr>
        <w:t xml:space="preserve">Section absent from v1. SLAs are required to size the EKS cluster and RDS instances in Part VIII, and to define PagerDuty alert thresholds.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F6E56" w:sz="4"/>
              <w:bottom w:val="single" w:color="CCCCCC" w:sz="1"/>
              <w:right w:val="none" w:color="FFFFFF" w:sz="0"/>
            </w:tcBorders>
            <w:shd w:fill="EAF3DE" w:val="clear"/>
            <w:tcMar>
              <w:top w:type="dxa" w:w="100"/>
              <w:left w:type="dxa" w:w="160"/>
              <w:bottom w:type="dxa" w:w="100"/>
              <w:right w:type="dxa" w:w="160"/>
            </w:tcMar>
          </w:tcPr>
          <w:p>
            <w:pPr>
              <w:spacing w:after="30" w:before="0"/>
            </w:pPr>
            <w:r>
              <w:rPr>
                <w:rFonts w:ascii="Arial" w:cs="Arial" w:eastAsia="Arial" w:hAnsi="Arial"/>
                <w:b/>
                <w:bCs/>
                <w:color w:val="3B6D11"/>
                <w:sz w:val="18"/>
                <w:szCs w:val="18"/>
              </w:rPr>
              <w:t xml:space="preserve">NEW IN V2</w:t>
            </w:r>
          </w:p>
          <w:p>
            <w:pPr>
              <w:spacing w:after="0" w:before="0"/>
            </w:pPr>
            <w:r>
              <w:rPr>
                <w:rFonts w:ascii="Arial" w:cs="Arial" w:eastAsia="Arial" w:hAnsi="Arial"/>
                <w:color w:val="3A3A3A"/>
                <w:sz w:val="19"/>
                <w:szCs w:val="19"/>
              </w:rPr>
              <w:t xml:space="preserve">New section in V2 (Change Log C3). Infrastructure sizing in Part VIII is derived from these SLA targets. Design the EKS auto-scaling parameters and RDS Multi-AZ configuration against these numbers.</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Availability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Component</w:t>
            </w:r>
          </w:p>
        </w:tc>
        <w:tc>
          <w:tcPr>
            <w:tcW w:type="dxa" w:w="1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Target</w:t>
            </w:r>
          </w:p>
        </w:tc>
        <w:tc>
          <w:tcPr>
            <w:tcW w:type="dxa" w:w="2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Allowed downtime per year</w:t>
            </w:r>
          </w:p>
        </w:tc>
        <w:tc>
          <w:tcPr>
            <w:tcW w:type="dxa" w:w="3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Auth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99.9%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8.7 hours/year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TCN is fail-closed against TCM. This is the most consequential availability target in the entire ecosystem.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TCM overall platform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99.5%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43.8 hours/year</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Includes onboarding portal, merchandising, post-purchase ops. Some degraded-mode operation acceptable.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Synchronization pipeline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99.0%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87.6 hours/year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Delayed sync is acceptable; backlog replay recovers. Complete failure is not acceptable.</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3360"/>
      </w:tblGrid>
      <w:tr>
        <w:tc>
          <w:tcPr>
            <w:tcW w:type="dxa" w:w="3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Operation</w:t>
            </w:r>
          </w:p>
        </w:tc>
        <w:tc>
          <w:tcPr>
            <w:tcW w:type="dxa" w:w="1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p50</w:t>
            </w:r>
          </w:p>
        </w:tc>
        <w:tc>
          <w:tcPr>
            <w:tcW w:type="dxa" w:w="1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p95</w:t>
            </w:r>
          </w:p>
        </w:tc>
        <w:tc>
          <w:tcPr>
            <w:tcW w:type="dxa" w:w="1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p99</w:t>
            </w:r>
          </w:p>
        </w:tc>
        <w:tc>
          <w:tcPr>
            <w:tcW w:type="dxa" w:w="3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Auth API /auth/v1/validate-token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&lt; 50ms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150ms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300ms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Served from credential-state mirror, not RPC. Mirror read is fast.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Token Issuance API (single mint)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&lt; 200ms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500ms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1,000ms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Includes JPM KYC check. JPM latency is the dominant factor.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KYC verification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&lt; 1s (estimated)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3s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10s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Confirm with JPM during contract negotiation. Their SLA governs this.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Synchronization write (Audit Final → registry)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&lt; 500ms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2,000ms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5,000ms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After Audit Final is reached. Finality wait time (~4 min on Polygon) is not included in this latency target.</w:t>
            </w:r>
          </w:p>
        </w:tc>
      </w:tr>
    </w:tbl>
    <w:p>
      <w:pPr>
        <w:spacing w:after="80" w:before="0"/>
      </w:pPr>
      <w:r>
        <w:t xml:space="preserve"/>
      </w:r>
    </w:p>
    <w:p>
      <w:pPr>
        <w:pStyle w:val="Heading2"/>
        <w:spacing w:after="120" w:before="280"/>
      </w:pPr>
      <w:r>
        <w:rPr>
          <w:rFonts w:ascii="Arial" w:cs="Arial" w:eastAsia="Arial" w:hAnsi="Arial"/>
          <w:b/>
          <w:bCs/>
          <w:color w:val="1A1A1A"/>
          <w:sz w:val="24"/>
          <w:szCs w:val="24"/>
        </w:rPr>
        <w:t xml:space="preserve">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Metric</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Target</w:t>
            </w:r>
          </w:p>
        </w:tc>
        <w:tc>
          <w:tcPr>
            <w:tcW w:type="dxa" w:w="47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RTO (Recovery Time Objective)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15 minutes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Time from outage detection to service restoration. Requires tested runbooks before launch.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RPO (Recovery Point Objective)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5 minutes</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Maximum data loss acceptable. Requires automated RDS PITR backups enabled and tested.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Reconciliation convergence after outage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 30 minutes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Time to reconcile mirror-vs-chain after a service restart. Cursor-based replay drives this.</w:t>
            </w:r>
          </w:p>
        </w:tc>
      </w:tr>
    </w:tbl>
    <w:p>
      <w:pPr>
        <w:spacing w:after="120" w:before="0"/>
      </w:pPr>
      <w:r>
        <w:t xml:space="preserve"/>
      </w:r>
    </w:p>
    <w:p>
      <w:r>
        <w:br w:type="page"/>
      </w:r>
    </w:p>
    <w:p>
      <w:pPr>
        <w:pStyle w:val="Heading1"/>
        <w:spacing w:after="160" w:before="400"/>
      </w:pPr>
      <w:r>
        <w:rPr>
          <w:rFonts w:ascii="Arial" w:cs="Arial" w:eastAsia="Arial" w:hAnsi="Arial"/>
          <w:b/>
          <w:bCs/>
          <w:color w:val="1A1A1A"/>
          <w:sz w:val="32"/>
          <w:szCs w:val="32"/>
        </w:rPr>
        <w:t xml:space="preserve">Part XII — Open Items for Senior Engineer Review</w:t>
      </w:r>
    </w:p>
    <w:p>
      <w:pPr>
        <w:spacing w:after="100" w:before="60"/>
      </w:pPr>
      <w:r>
        <w:rPr>
          <w:rFonts w:ascii="Arial" w:cs="Arial" w:eastAsia="Arial" w:hAnsi="Arial"/>
          <w:color w:val="3A3A3A"/>
          <w:sz w:val="20"/>
          <w:szCs w:val="20"/>
        </w:rPr>
        <w:t xml:space="preserve">V2 closes 20 items from v1. The following remain open. Each has a decision deadline that must be observed to avoid blocking downstream build components.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800"/>
        <w:gridCol w:w="1800"/>
        <w:gridCol w:w="2800"/>
      </w:tblGrid>
      <w:tr>
        <w:tc>
          <w:tcPr>
            <w:tcW w:type="dxa" w:w="3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w:t>
            </w:r>
          </w:p>
        </w:tc>
        <w:tc>
          <w:tcPr>
            <w:tcW w:type="dxa" w:w="24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Open item</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Blocks</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Decision deadline</w:t>
            </w:r>
          </w:p>
        </w:tc>
        <w:tc>
          <w:tcPr>
            <w:tcW w:type="dxa" w:w="2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color w:val="1A1A1A"/>
                <w:sz w:val="18"/>
                <w:szCs w:val="18"/>
              </w:rPr>
              <w:t xml:space="preserve">Recommended path</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Canonical event serialization format: Protocol Buffers vs. JSON with deterministic key ordering.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Normalizer build. event_hash cross-validation test.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Month 1 — before normalizer is coded.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Protocol Buffers recommended for determinism guarantees. Senior engineer to evaluate tooling overhead.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Credential expiry and renewal policy: time-based (annual / biennial), event-based, or no expiry.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expired_at field policy. State machine ISSUER_ROLE renewal volume.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Before production launch (not before coding — expiry_policy_months = 0 placeholder ships in v1).</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Add configuration parameter to chain registry. Decide policy before first cohort is minted.</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Ethereum mainnet anchoring cadence: monthly, quarterly, per-milestone, or never.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Anchoring infrastructure and cost.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Before production launch.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Monthly recommended. Single tx per commit. MRB confirmation needed.</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Multi-sig thresholds per role: exact quorum counts.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Key custody setup. HSM provisioning.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Month 1 — before HSM provisioning.</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DEFAULT_ADMIN_ROLE: 3-of-5. REVOCATION_ROLE_TCM: 2-of-3. PAUSER_ROLE: 2-of-3. MRB to confirm.</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Contract upgrade / governance model: immutable, UUPS proxy, or timelocked proxy.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Contract deployment architecture.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Before contract coding begins.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TCTCredential: non-upgradeable. TCTOutcomeRegistry: UUPS proxy behind timelock. Senior engineer to advise on timelock duration.</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JPM KYC contract terms: actual pricing, SDN coverage scope, integration timeline.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KYC integration build cost. ComplyAdvantage decision.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THIS WEEK — contact JPM immediately.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MRB initiates JPM contact Monday. Stan/Ganlin prepare technical integration requirements doc for JPM.</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Smart contract audit firm: selection and booking.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Production deployment of contracts.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BOOK NOW. Lead times 8–16 weeks.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Trail of Bits or ConsenSys Diligence for top-tier. OpenZeppelin or Halborn for mid-tier. Cannot wait for contract code to be complete before booking.</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TCA / analytics entity structure: TCA consumes feed, separate entity created, or no analytics in v1.</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Analytics Feed API design. RBAC if new entity.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Before analytics feed is built (v1 deferred but stubbed).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Per MRB: resolved in patent project. Build analytics feed API as a neutral interface. Emit feed-shaped records from day one.</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Gas markup final percentage for TCN billing.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Billing store invoice generation.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Before billing goes live (Month 6 production).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20% placeholder in chain registry config. MRB to confirm.</w:t>
            </w:r>
          </w:p>
        </w:tc>
      </w:tr>
      <w:tr>
        <w:tc>
          <w:tcPr>
            <w:tcW w:type="dxa" w:w="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Runbooks: mTLS rotation, RPC failover, key rotation, network migration, reorg handling.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Operational launch gate.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All runbooks written and tabletop-tested before production cutover.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top"/>
          </w:tcPr>
          <w:p>
            <w:pPr>
              <w:spacing w:after="0" w:before="0"/>
            </w:pPr>
            <w:r>
              <w:rPr>
                <w:rFonts w:ascii="Arial" w:cs="Arial" w:eastAsia="Arial" w:hAnsi="Arial"/>
                <w:color w:val="3A3A3A"/>
                <w:sz w:val="18"/>
                <w:szCs w:val="18"/>
              </w:rPr>
              <w:t xml:space="preserve">Assign one engineering owner per runbook. Begin drafting Month 4.</w:t>
            </w:r>
          </w:p>
        </w:tc>
      </w:tr>
    </w:tbl>
    <w:p>
      <w:pPr>
        <w:spacing w:after="120" w:before="0"/>
      </w:pPr>
      <w:r>
        <w:t xml:space="preserve"/>
      </w:r>
    </w:p>
    <w:p>
      <w:pPr>
        <w:pBdr>
          <w:top w:val="single" w:color="CCCCCC" w:sz="1"/>
        </w:pBdr>
        <w:spacing w:after="80" w:before="160"/>
        <w:jc w:val="center"/>
      </w:pPr>
      <w:r>
        <w:rPr>
          <w:rFonts w:ascii="Arial" w:cs="Arial" w:eastAsia="Arial" w:hAnsi="Arial"/>
          <w:color w:val="AAAAAA"/>
          <w:sz w:val="18"/>
          <w:szCs w:val="18"/>
        </w:rPr>
        <w:t xml:space="preserve">2678 Holdings LLC  ·  TCM Technical Specifications v2.0  ·  May 29, 2026  ·  Privileged &amp; Confidential  ·  Internal Use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2026-05-29T16:49:26.963Z</dcterms:created>
  <dcterms:modified xsi:type="dcterms:W3CDTF">2026-05-29T16:49:26.978Z</dcterms:modified>
</cp:coreProperties>
</file>

<file path=docProps/custom.xml><?xml version="1.0" encoding="utf-8"?>
<Properties xmlns="http://schemas.openxmlformats.org/officeDocument/2006/custom-properties" xmlns:vt="http://schemas.openxmlformats.org/officeDocument/2006/docPropsVTypes"/>
</file>