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Calibri" w:cs="Calibri" w:eastAsia="Calibri" w:hAnsi="Calibri"/>
          <w:b/>
          <w:bCs/>
          <w:color w:val="1F3864"/>
          <w:sz w:val="52"/>
          <w:szCs w:val="52"/>
        </w:rPr>
        <w:t xml:space="preserve">2678 HOLDINGS LLC</w:t>
      </w:r>
    </w:p>
    <w:p>
      <w:pPr>
        <w:spacing w:after="0" w:before="4"/>
      </w:pPr>
      <w:r>
        <w:rPr>
          <w:rFonts w:ascii="Calibri" w:cs="Calibri" w:eastAsia="Calibri" w:hAnsi="Calibri"/>
          <w:b/>
          <w:bCs/>
          <w:color w:val="2E75B6"/>
          <w:sz w:val="36"/>
          <w:szCs w:val="36"/>
        </w:rPr>
        <w:t xml:space="preserve">TokenCap Miner LLC (TCM)</w:t>
      </w:r>
    </w:p>
    <w:p>
      <w:pPr>
        <w:spacing w:after="80" w:before="0"/>
      </w:pPr>
      <w:r>
        <w:t xml:space="preserve"/>
      </w:r>
    </w:p>
    <w:p>
      <w:pPr>
        <w:pBdr>
          <w:bottom w:val="single" w:color="2E75B6" w:sz="8" w:space="4"/>
        </w:pBdr>
        <w:spacing w:after="0" w:before="0"/>
      </w:pPr>
      <w:r>
        <w:rPr>
          <w:rFonts w:ascii="Calibri" w:cs="Calibri" w:eastAsia="Calibri" w:hAnsi="Calibri"/>
          <w:b/>
          <w:bCs/>
          <w:color w:val="1a1a1a"/>
          <w:sz w:val="40"/>
          <w:szCs w:val="40"/>
        </w:rPr>
        <w:t xml:space="preserve">Client Intake Portal Specification</w:t>
      </w:r>
    </w:p>
    <w:p>
      <w:pPr>
        <w:spacing w:after="80" w:before="0"/>
      </w:pPr>
      <w:r>
        <w:t xml:space="preserve"/>
      </w:r>
    </w:p>
    <w:p>
      <w:pPr>
        <w:spacing w:after="80" w:before="60"/>
      </w:pPr>
      <w:r>
        <w:rPr>
          <w:rFonts w:ascii="Calibri" w:cs="Calibri" w:eastAsia="Calibri" w:hAnsi="Calibri"/>
          <w:i/>
          <w:iCs/>
          <w:color w:val="606060"/>
          <w:sz w:val="22"/>
          <w:szCs w:val="22"/>
        </w:rPr>
        <w:t xml:space="preserve">NEW — MRB June 4, 2026 decision: participant-facing onboarding portal added to pilot scope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TCM-INTAKE-PORTAL-010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1.0 — 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Owner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TCM-INTAKE-PORTAL-010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1.0 — 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Pilot scope — simulated data where live data not available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Lead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 (TCM Technology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Sprint build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Days 9–13 (portal) + Days 14–19 (integration and participant testing)</w:t>
            </w:r>
          </w:p>
        </w:tc>
      </w:tr>
    </w:tbl>
    <w:p>
      <w:pPr>
        <w:spacing w:after="80" w:before="0"/>
      </w:pPr>
      <w:r>
        <w:t xml:space="preserve"/>
      </w:r>
    </w:p>
    <w:p>
      <w:pPr>
        <w:spacing w:after="80" w:before="60"/>
      </w:pPr>
      <w:r>
        <w:rPr>
          <w:rFonts w:ascii="Calibri" w:cs="Calibri" w:eastAsia="Calibri" w:hAnsi="Calibri"/>
          <w:i/>
          <w:iCs/>
          <w:color w:val="909090"/>
          <w:sz w:val="18"/>
          <w:szCs w:val="18"/>
        </w:rPr>
        <w:t xml:space="preserve">PRIVILEGED &amp; CONFIDENTIAL  ·  INTERNAL USE ONLY  ·  2678 Holdings LLC</w:t>
      </w:r>
    </w:p>
    <w:p>
      <w:r>
        <w:br w:type="page"/>
      </w:r>
    </w:p>
    <w:p>
      <w:pPr>
        <w:pStyle w:val="Heading1"/>
      </w:pPr>
      <w:r>
        <w:rPr>
          <w:rFonts w:ascii="Calibri" w:cs="Calibri" w:eastAsia="Calibri" w:hAnsi="Calibri"/>
          <w:b/>
          <w:bCs/>
          <w:color w:val="1F3864"/>
          <w:sz w:val="32"/>
          <w:szCs w:val="32"/>
        </w:rPr>
        <w:t xml:space="preserve">I. PURPOSE AND SCOPE</w:t>
      </w:r>
    </w:p>
    <w:p>
      <w:pPr>
        <w:pBdr>
          <w:left w:val="single" w:color="2E75B6" w:sz="14" w:space="4"/>
        </w:pBdr>
        <w:shd w:fill="EEF4FB" w:val="clear"/>
        <w:spacing w:after="80" w:before="80"/>
        <w:ind w:left="240" w:right="240"/>
      </w:pPr>
      <w:r>
        <w:rPr>
          <w:rFonts w:ascii="Calibri" w:cs="Calibri" w:eastAsia="Calibri" w:hAnsi="Calibri"/>
          <w:i/>
          <w:iCs/>
          <w:color w:val="1a3a5c"/>
          <w:sz w:val="20"/>
          <w:szCs w:val="20"/>
        </w:rPr>
        <w:t xml:space="preserve">The client intake portal is the participant-facing onboarding surface for the June 30 pilot. It delivers the full six-gate credential issuance experience end-to-end. Real KYC, real wallet binding, real blockchain mint, and real credential activation are live. Project listing context is simulated where live lister data is not yet available. The portal is the primary surface through which pilot participants onboard — not the admin portal.</w:t>
      </w:r>
    </w:p>
    <w:p>
      <w:pPr>
        <w:spacing w:after="80" w:before="0"/>
      </w:pPr>
      <w:r>
        <w:t xml:space="preserve"/>
      </w:r>
    </w:p>
    <w:p>
      <w:pPr>
        <w:spacing w:after="80" w:before="60"/>
      </w:pPr>
      <w:r>
        <w:rPr>
          <w:rFonts w:ascii="Calibri" w:cs="Calibri" w:eastAsia="Calibri" w:hAnsi="Calibri"/>
          <w:sz w:val="22"/>
          <w:szCs w:val="22"/>
        </w:rPr>
        <w:t xml:space="preserve">This portal is distinct from and separate to the admin portal (staff-facing credential management). They are two different Next.js applications sharing the same backend APIs.</w:t>
      </w:r>
    </w:p>
    <w:p>
      <w:pPr>
        <w:spacing w:after="80" w:before="0"/>
      </w:pPr>
      <w:r>
        <w:t xml:space="preserve"/>
      </w:r>
    </w:p>
    <w:p>
      <w:pPr>
        <w:pStyle w:val="Heading1"/>
      </w:pPr>
      <w:r>
        <w:rPr>
          <w:rFonts w:ascii="Calibri" w:cs="Calibri" w:eastAsia="Calibri" w:hAnsi="Calibri"/>
          <w:b/>
          <w:bCs/>
          <w:color w:val="1F3864"/>
          <w:sz w:val="32"/>
          <w:szCs w:val="32"/>
        </w:rPr>
        <w:t xml:space="preserve">II. PORTAL SURFACES AND USER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Surface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User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Pilot status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v1.1 extension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Participant intake portal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Individual participants completing onboarding (gates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 in pilot — all 5 gates wired to real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Participant dashboard with live outcome references when sync pipeline is built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Simulated project context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Project listings (browse only — no live lister submissions)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SIMULATED — static content pages describing credential utility and example project types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Replaced by live project listings when lister portal is built in v1.1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Credential status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Participant's own credential status, activity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PARTIALLY LIVE — credential status and audit log are live; outcome references are placeholder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Outcome references become live after sync pipeline and TCM-TOKEN-STATE-005 patent gate cleared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Lister portal</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Project listers submitting and managing cohort orders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NOT IN PILOT — context pages only; no live lister accounts or LISTER_COHORT orders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Full lister portal in v1.1</w:t>
            </w:r>
          </w:p>
        </w:tc>
      </w:tr>
    </w:tbl>
    <w:p>
      <w:pPr>
        <w:spacing w:after="80" w:before="0"/>
      </w:pPr>
      <w:r>
        <w:t xml:space="preserve"/>
      </w:r>
    </w:p>
    <w:p>
      <w:pPr>
        <w:pStyle w:val="Heading1"/>
      </w:pPr>
      <w:r>
        <w:rPr>
          <w:rFonts w:ascii="Calibri" w:cs="Calibri" w:eastAsia="Calibri" w:hAnsi="Calibri"/>
          <w:b/>
          <w:bCs/>
          <w:color w:val="1F3864"/>
          <w:sz w:val="32"/>
          <w:szCs w:val="32"/>
        </w:rPr>
        <w:t xml:space="preserve">III. SIX-GATE FLOW — PORTAL IMPLEMENTATION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1600"/>
        <w:gridCol w:w="27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Gate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Portal screen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Backend call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Live or simulated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UX 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Pre-gate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Intake form: name, email, jurisdiction, credential class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 /api/v1/onboarding/initiate — creates onboarding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Progressive form. Auto-save state. Resume on re-visit.</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Gate 1 — Eligibility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Eligibility criteria display. Confirmation checkbox.</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GET /api/v1/eligibility/check</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SIMULATED — stub criteria for pilot. Real in v1.1 when live listers define criteria.</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Clear language: 'You qualify for TokenCap Token credential class 0x0001.'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Gate 2 —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KYC intake: legal name, DOB, SSN last 4, government ID type + number. Submission to Persona.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 /api/v1/kyc/initiate → Persona API → GET /api/v1/kyc/status (polling)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 — real Persona KYC. Real AML/sanctions screening. Real jurisdiction code.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Persona inquiry shows 'Under Review' while processing. Estimated 1–3 minutes. Status updates via polling. Clear failure path with reason.</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Gate 3 — Wallet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Wallet connect button (MetaMask, WalletConnect). Display signing challenge. User signs. Confirm binding.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 /api/v1/wallet/bind — EIP-191 or EIP-1271 signature verification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 — real wallet. Real signature verification. Real identity_binding hash computed.</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Support both browser extension wallets and mobile wallets. Never ask for private key. Explain what signing the challenge means in plain language.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Gate 4 — Mint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Display pending token details. Transaction submitted notice. Block confirmation display.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 /api/v1/token/mint — ISSUER_ROLE on Polygon PoS mainnet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 — real mint on Polygon PoS mainnet. Real tx hash. Real block confirmation.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Show 'Minting your credential on Polygon PoS...' with block progress. Link to Polygonscan tx.</w:t>
            </w:r>
          </w:p>
        </w:tc>
      </w:tr>
      <w:tr>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Gate 5 — Activation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Credential active display. Token ID, status badge (ACTIVE), activated_at, jurisdiction_code.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 /api/v1/token/activate — ISSUER_ROLE activation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LIVE — real activation. isAuthorized = true on-chain and in mirror.</w:t>
            </w:r>
          </w:p>
        </w:tc>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Celebrate moment. Clear 'Your TokenCap Token is active' confirmation. Prompt to explore the network.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Post-activation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Credential dashboard. Status. Activity log. Simulated project context. Simulated outcome references.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GET /api/v1/credentials/:token_id + GET /api/v1/credentials/:token_id/activity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PARTIALLY LIVE — credential status and activity log are live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PROVISIONAL badge on all non-Audit-Final items. No determined values displayed.</w:t>
            </w:r>
          </w:p>
        </w:tc>
      </w:tr>
    </w:tbl>
    <w:p>
      <w:pPr>
        <w:spacing w:after="80" w:before="0"/>
      </w:pPr>
      <w:r>
        <w:t xml:space="preserve"/>
      </w:r>
    </w:p>
    <w:p>
      <w:pPr>
        <w:pStyle w:val="Heading1"/>
      </w:pPr>
      <w:r>
        <w:rPr>
          <w:rFonts w:ascii="Calibri" w:cs="Calibri" w:eastAsia="Calibri" w:hAnsi="Calibri"/>
          <w:b/>
          <w:bCs/>
          <w:color w:val="1F3864"/>
          <w:sz w:val="32"/>
          <w:szCs w:val="32"/>
        </w:rPr>
        <w:t xml:space="preserve">IV. UI/UX REQUIREMENTS</w:t>
      </w:r>
    </w:p>
    <w:p>
      <w:pPr>
        <w:pStyle w:val="Heading2"/>
      </w:pPr>
      <w:r>
        <w:rPr>
          <w:rFonts w:ascii="Calibri" w:cs="Calibri" w:eastAsia="Calibri" w:hAnsi="Calibri"/>
          <w:b/>
          <w:bCs/>
          <w:color w:val="2E75B6"/>
          <w:sz w:val="26"/>
          <w:szCs w:val="26"/>
        </w:rPr>
        <w:t xml:space="preserve">Non-negotiable regulatory requirements</w:t>
      </w:r>
    </w:p>
    <w:p>
      <w:pPr>
        <w:pStyle w:val="ListParagraph"/>
        <w:numPr>
          <w:ilvl w:val="0"/>
          <w:numId w:val="2"/>
        </w:numPr>
        <w:spacing w:after="40" w:before="40"/>
      </w:pPr>
      <w:r>
        <w:rPr>
          <w:rFonts w:ascii="Calibri" w:cs="Calibri" w:eastAsia="Calibri" w:hAnsi="Calibri"/>
          <w:sz w:val="22"/>
          <w:szCs w:val="22"/>
        </w:rPr>
        <w:t xml:space="preserve">No language describing the TCT as an investment, asset, financial instrument, or tradable token — anywhere on any screen, in any copy, in any tooltip</w:t>
      </w:r>
    </w:p>
    <w:p>
      <w:pPr>
        <w:pStyle w:val="ListParagraph"/>
        <w:numPr>
          <w:ilvl w:val="0"/>
          <w:numId w:val="2"/>
        </w:numPr>
        <w:spacing w:after="40" w:before="40"/>
      </w:pPr>
      <w:r>
        <w:rPr>
          <w:rFonts w:ascii="Calibri" w:cs="Calibri" w:eastAsia="Calibri" w:hAnsi="Calibri"/>
          <w:sz w:val="22"/>
          <w:szCs w:val="22"/>
        </w:rPr>
        <w:t xml:space="preserve">Disclaimer visible on all authenticated screens: 'TokenCap Token is a credential, not a financial instrument'</w:t>
      </w:r>
    </w:p>
    <w:p>
      <w:pPr>
        <w:pStyle w:val="ListParagraph"/>
        <w:numPr>
          <w:ilvl w:val="0"/>
          <w:numId w:val="2"/>
        </w:numPr>
        <w:spacing w:after="40" w:before="40"/>
      </w:pPr>
      <w:r>
        <w:rPr>
          <w:rFonts w:ascii="Calibri" w:cs="Calibri" w:eastAsia="Calibri" w:hAnsi="Calibri"/>
          <w:sz w:val="22"/>
          <w:szCs w:val="22"/>
        </w:rPr>
        <w:t xml:space="preserve">No pricing display for the TCT or any project-related financial data</w:t>
      </w:r>
    </w:p>
    <w:p>
      <w:pPr>
        <w:pStyle w:val="ListParagraph"/>
        <w:numPr>
          <w:ilvl w:val="0"/>
          <w:numId w:val="2"/>
        </w:numPr>
        <w:spacing w:after="40" w:before="40"/>
      </w:pPr>
      <w:r>
        <w:rPr>
          <w:rFonts w:ascii="Calibri" w:cs="Calibri" w:eastAsia="Calibri" w:hAnsi="Calibri"/>
          <w:sz w:val="22"/>
          <w:szCs w:val="22"/>
        </w:rPr>
        <w:t xml:space="preserve">All outcome references must carry PROVISIONAL badge until Audit Final confirmed</w:t>
      </w:r>
    </w:p>
    <w:p>
      <w:pPr>
        <w:pStyle w:val="ListParagraph"/>
        <w:numPr>
          <w:ilvl w:val="0"/>
          <w:numId w:val="2"/>
        </w:numPr>
        <w:spacing w:after="40" w:before="40"/>
      </w:pPr>
      <w:r>
        <w:rPr>
          <w:rFonts w:ascii="Calibri" w:cs="Calibri" w:eastAsia="Calibri" w:hAnsi="Calibri"/>
          <w:sz w:val="22"/>
          <w:szCs w:val="22"/>
        </w:rPr>
        <w:t xml:space="preserve">Copy review by Legal/Compliance is a launch gate — no public release without sign-off</w:t>
      </w:r>
    </w:p>
    <w:p>
      <w:pPr>
        <w:spacing w:after="80" w:before="0"/>
      </w:pPr>
      <w:r>
        <w:t xml:space="preserve"/>
      </w:r>
    </w:p>
    <w:p>
      <w:pPr>
        <w:pStyle w:val="Heading2"/>
      </w:pPr>
      <w:r>
        <w:rPr>
          <w:rFonts w:ascii="Calibri" w:cs="Calibri" w:eastAsia="Calibri" w:hAnsi="Calibri"/>
          <w:b/>
          <w:bCs/>
          <w:color w:val="2E75B6"/>
          <w:sz w:val="26"/>
          <w:szCs w:val="26"/>
        </w:rPr>
        <w:t xml:space="preserve">UX standards</w:t>
      </w:r>
    </w:p>
    <w:p>
      <w:pPr>
        <w:pStyle w:val="ListParagraph"/>
        <w:numPr>
          <w:ilvl w:val="0"/>
          <w:numId w:val="2"/>
        </w:numPr>
        <w:spacing w:after="40" w:before="40"/>
      </w:pPr>
      <w:r>
        <w:rPr>
          <w:rFonts w:ascii="Calibri" w:cs="Calibri" w:eastAsia="Calibri" w:hAnsi="Calibri"/>
          <w:sz w:val="22"/>
          <w:szCs w:val="22"/>
        </w:rPr>
        <w:t xml:space="preserve">Progressive disclosure: each gate unlocks only when the previous gate passes. Participant cannot skip gates.</w:t>
      </w:r>
    </w:p>
    <w:p>
      <w:pPr>
        <w:pStyle w:val="ListParagraph"/>
        <w:numPr>
          <w:ilvl w:val="0"/>
          <w:numId w:val="2"/>
        </w:numPr>
        <w:spacing w:after="40" w:before="40"/>
      </w:pPr>
      <w:r>
        <w:rPr>
          <w:rFonts w:ascii="Calibri" w:cs="Calibri" w:eastAsia="Calibri" w:hAnsi="Calibri"/>
          <w:sz w:val="22"/>
          <w:szCs w:val="22"/>
        </w:rPr>
        <w:t xml:space="preserve">State persistence: participant can leave mid-onboarding and resume. Session state saved server-side by onboarding session ID.</w:t>
      </w:r>
    </w:p>
    <w:p>
      <w:pPr>
        <w:pStyle w:val="ListParagraph"/>
        <w:numPr>
          <w:ilvl w:val="0"/>
          <w:numId w:val="2"/>
        </w:numPr>
        <w:spacing w:after="40" w:before="40"/>
      </w:pPr>
      <w:r>
        <w:rPr>
          <w:rFonts w:ascii="Calibri" w:cs="Calibri" w:eastAsia="Calibri" w:hAnsi="Calibri"/>
          <w:sz w:val="22"/>
          <w:szCs w:val="22"/>
        </w:rPr>
        <w:t xml:space="preserve">Mobile-responsive: participants may onboard on mobile devices. Full functionality on iOS Safari and Android Chrome.</w:t>
      </w:r>
    </w:p>
    <w:p>
      <w:pPr>
        <w:pStyle w:val="ListParagraph"/>
        <w:numPr>
          <w:ilvl w:val="0"/>
          <w:numId w:val="2"/>
        </w:numPr>
        <w:spacing w:after="40" w:before="40"/>
      </w:pPr>
      <w:r>
        <w:rPr>
          <w:rFonts w:ascii="Calibri" w:cs="Calibri" w:eastAsia="Calibri" w:hAnsi="Calibri"/>
          <w:sz w:val="22"/>
          <w:szCs w:val="22"/>
        </w:rPr>
        <w:t xml:space="preserve">Error states: every gate has a defined failure path with a clear reason and a next step. No dead ends.</w:t>
      </w:r>
    </w:p>
    <w:p>
      <w:pPr>
        <w:pStyle w:val="ListParagraph"/>
        <w:numPr>
          <w:ilvl w:val="0"/>
          <w:numId w:val="2"/>
        </w:numPr>
        <w:spacing w:after="40" w:before="40"/>
      </w:pPr>
      <w:r>
        <w:rPr>
          <w:rFonts w:ascii="Calibri" w:cs="Calibri" w:eastAsia="Calibri" w:hAnsi="Calibri"/>
          <w:sz w:val="22"/>
          <w:szCs w:val="22"/>
        </w:rPr>
        <w:t xml:space="preserve">Accessibility: WCAG 2.1 AA minimum. Screen reader compatible for all form inputs and status messages.</w:t>
      </w:r>
    </w:p>
    <w:p>
      <w:pPr>
        <w:spacing w:after="80" w:before="0"/>
      </w:pPr>
      <w:r>
        <w:t xml:space="preserve"/>
      </w:r>
    </w:p>
    <w:p>
      <w:pPr>
        <w:pStyle w:val="Heading2"/>
      </w:pPr>
      <w:r>
        <w:rPr>
          <w:rFonts w:ascii="Calibri" w:cs="Calibri" w:eastAsia="Calibri" w:hAnsi="Calibri"/>
          <w:b/>
          <w:bCs/>
          <w:color w:val="2E75B6"/>
          <w:sz w:val="26"/>
          <w:szCs w:val="26"/>
        </w:rPr>
        <w:t xml:space="preserve">Simulated content — clear labelling rules</w:t>
      </w:r>
    </w:p>
    <w:p>
      <w:pPr>
        <w:pStyle w:val="ListParagraph"/>
        <w:numPr>
          <w:ilvl w:val="0"/>
          <w:numId w:val="2"/>
        </w:numPr>
        <w:spacing w:after="40" w:before="40"/>
      </w:pPr>
      <w:r>
        <w:rPr>
          <w:rFonts w:ascii="Calibri" w:cs="Calibri" w:eastAsia="Calibri" w:hAnsi="Calibri"/>
          <w:sz w:val="22"/>
          <w:szCs w:val="22"/>
        </w:rPr>
        <w:t xml:space="preserve">Any screen or section using simulated/placeholder data must be visually distinguished from live data</w:t>
      </w:r>
    </w:p>
    <w:p>
      <w:pPr>
        <w:pStyle w:val="ListParagraph"/>
        <w:numPr>
          <w:ilvl w:val="0"/>
          <w:numId w:val="2"/>
        </w:numPr>
        <w:spacing w:after="40" w:before="40"/>
      </w:pPr>
      <w:r>
        <w:rPr>
          <w:rFonts w:ascii="Calibri" w:cs="Calibri" w:eastAsia="Calibri" w:hAnsi="Calibri"/>
          <w:sz w:val="22"/>
          <w:szCs w:val="22"/>
        </w:rPr>
        <w:t xml:space="preserve">Simulated project listings carry a visible banner: 'Example content — live projects coming soon'</w:t>
      </w:r>
    </w:p>
    <w:p>
      <w:pPr>
        <w:pStyle w:val="ListParagraph"/>
        <w:numPr>
          <w:ilvl w:val="0"/>
          <w:numId w:val="2"/>
        </w:numPr>
        <w:spacing w:after="40" w:before="40"/>
      </w:pPr>
      <w:r>
        <w:rPr>
          <w:rFonts w:ascii="Calibri" w:cs="Calibri" w:eastAsia="Calibri" w:hAnsi="Calibri"/>
          <w:sz w:val="22"/>
          <w:szCs w:val="22"/>
        </w:rPr>
        <w:t xml:space="preserve">Simulated outcome references carry the PROVISIONAL badge with tooltip: 'This section will display your project participation record once you select a project'</w:t>
      </w:r>
    </w:p>
    <w:p>
      <w:pPr>
        <w:spacing w:after="80" w:before="0"/>
      </w:pPr>
      <w:r>
        <w:t xml:space="preserve"/>
      </w:r>
    </w:p>
    <w:p>
      <w:pPr>
        <w:pStyle w:val="Heading1"/>
      </w:pPr>
      <w:r>
        <w:rPr>
          <w:rFonts w:ascii="Calibri" w:cs="Calibri" w:eastAsia="Calibri" w:hAnsi="Calibri"/>
          <w:b/>
          <w:bCs/>
          <w:color w:val="1F3864"/>
          <w:sz w:val="32"/>
          <w:szCs w:val="32"/>
        </w:rPr>
        <w:t xml:space="preserve">V.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Next.js 14, App Router, TypeScript. Separate Next.js app from admin portal.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JWT session (NextAuth). Session tied to onboarding session ID. Participant re-enters via email + OTP on resume.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Wallet 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wagmi + viem. Support MetaMask (browser extension), WalletConnect v2 (mobile). Reject connections from wallets that already hold a credential.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KYC SDK</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Persona Embedded Flow — embedded in the portal using Persona's React component. No redirect away from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Mobile responsive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Tailwind CSS responsive breakpoints. Test on iOS Safari 17+, Android Chrome 120+, desktop Chrome/Firefox/Safari.</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Server-side onboarding session stored in PostgreSQL (onboarding_session table). Client-side React state derived from session. No sensitive data in localStorage or sessionStorage.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Polygon PoS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Alchemy SDK for reading block confirmations. ethers.js v6 for wallet interactions.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Simulated content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CMS-like JSON config file for pilot simulated project context. Easy to replace with live API calls in v1.1 without UI changes.</w:t>
            </w:r>
          </w:p>
        </w:tc>
      </w:tr>
    </w:tbl>
    <w:p>
      <w:pPr>
        <w:spacing w:after="80" w:before="0"/>
      </w:pPr>
      <w:r>
        <w:t xml:space="preserve"/>
      </w:r>
    </w:p>
    <w:p>
      <w:pPr>
        <w:pStyle w:val="Heading1"/>
      </w:pPr>
      <w:r>
        <w:rPr>
          <w:rFonts w:ascii="Calibri" w:cs="Calibri" w:eastAsia="Calibri" w:hAnsi="Calibri"/>
          <w:b/>
          <w:bCs/>
          <w:color w:val="1F3864"/>
          <w:sz w:val="32"/>
          <w:szCs w:val="32"/>
        </w:rPr>
        <w:t xml:space="preserve">VI. ONBOARDING SESSION DATABASE TABLE</w:t>
      </w:r>
    </w:p>
    <w:p>
      <w:pPr>
        <w:shd w:fill="F0F0F0" w:val="clear"/>
        <w:spacing w:after="40" w:before="40"/>
        <w:ind w:left="360"/>
      </w:pPr>
      <w:r>
        <w:rPr>
          <w:rFonts w:ascii="Courier New" w:cs="Courier New" w:eastAsia="Courier New" w:hAnsi="Courier New"/>
          <w:color w:val="1F1F1F"/>
          <w:sz w:val="20"/>
          <w:szCs w:val="20"/>
        </w:rPr>
        <w:t xml:space="preserve">CREATE TABLE onboarding_session (</w:t>
      </w:r>
    </w:p>
    <w:p>
      <w:pPr>
        <w:shd w:fill="F0F0F0" w:val="clear"/>
        <w:spacing w:after="40" w:before="40"/>
        <w:ind w:left="360"/>
      </w:pPr>
      <w:r>
        <w:rPr>
          <w:rFonts w:ascii="Courier New" w:cs="Courier New" w:eastAsia="Courier New" w:hAnsi="Courier New"/>
          <w:color w:val="1F1F1F"/>
          <w:sz w:val="20"/>
          <w:szCs w:val="20"/>
        </w:rPr>
        <w:t xml:space="preserve">  session_id          UUID PRIMARY KEY DEFAULT gen_random_uuid(),</w:t>
      </w:r>
    </w:p>
    <w:p>
      <w:pPr>
        <w:shd w:fill="F0F0F0" w:val="clear"/>
        <w:spacing w:after="40" w:before="40"/>
        <w:ind w:left="360"/>
      </w:pPr>
      <w:r>
        <w:rPr>
          <w:rFonts w:ascii="Courier New" w:cs="Courier New" w:eastAsia="Courier New" w:hAnsi="Courier New"/>
          <w:color w:val="1F1F1F"/>
          <w:sz w:val="20"/>
          <w:szCs w:val="20"/>
        </w:rPr>
        <w:t xml:space="preserve">  participant_email   TEXT NOT NULL,</w:t>
      </w:r>
    </w:p>
    <w:p>
      <w:pPr>
        <w:shd w:fill="F0F0F0" w:val="clear"/>
        <w:spacing w:after="40" w:before="40"/>
        <w:ind w:left="360"/>
      </w:pPr>
      <w:r>
        <w:rPr>
          <w:rFonts w:ascii="Courier New" w:cs="Courier New" w:eastAsia="Courier New" w:hAnsi="Courier New"/>
          <w:color w:val="1F1F1F"/>
          <w:sz w:val="20"/>
          <w:szCs w:val="20"/>
        </w:rPr>
        <w:t xml:space="preserve">  current_gate        INTEGER NOT NULL DEFAULT 1,  -- 1-5</w:t>
      </w:r>
    </w:p>
    <w:p>
      <w:pPr>
        <w:shd w:fill="F0F0F0" w:val="clear"/>
        <w:spacing w:after="40" w:before="40"/>
        <w:ind w:left="360"/>
      </w:pPr>
      <w:r>
        <w:rPr>
          <w:rFonts w:ascii="Courier New" w:cs="Courier New" w:eastAsia="Courier New" w:hAnsi="Courier New"/>
          <w:color w:val="1F1F1F"/>
          <w:sz w:val="20"/>
          <w:szCs w:val="20"/>
        </w:rPr>
        <w:t xml:space="preserve">  gate1_passed        BOOLEAN NOT NULL DEFAULT false,</w:t>
      </w:r>
    </w:p>
    <w:p>
      <w:pPr>
        <w:shd w:fill="F0F0F0" w:val="clear"/>
        <w:spacing w:after="40" w:before="40"/>
        <w:ind w:left="360"/>
      </w:pPr>
      <w:r>
        <w:rPr>
          <w:rFonts w:ascii="Courier New" w:cs="Courier New" w:eastAsia="Courier New" w:hAnsi="Courier New"/>
          <w:color w:val="1F1F1F"/>
          <w:sz w:val="20"/>
          <w:szCs w:val="20"/>
        </w:rPr>
        <w:t xml:space="preserve">  gate2_passed        BOOLEAN NOT NULL DEFAULT false,</w:t>
      </w:r>
    </w:p>
    <w:p>
      <w:pPr>
        <w:shd w:fill="F0F0F0" w:val="clear"/>
        <w:spacing w:after="40" w:before="40"/>
        <w:ind w:left="360"/>
      </w:pPr>
      <w:r>
        <w:rPr>
          <w:rFonts w:ascii="Courier New" w:cs="Courier New" w:eastAsia="Courier New" w:hAnsi="Courier New"/>
          <w:color w:val="1F1F1F"/>
          <w:sz w:val="20"/>
          <w:szCs w:val="20"/>
        </w:rPr>
        <w:t xml:space="preserve">  kyc_case_id         TEXT,              -- Persona inquiry ID</w:t>
      </w:r>
    </w:p>
    <w:p>
      <w:pPr>
        <w:shd w:fill="F0F0F0" w:val="clear"/>
        <w:spacing w:after="40" w:before="40"/>
        <w:ind w:left="360"/>
      </w:pPr>
      <w:r>
        <w:rPr>
          <w:rFonts w:ascii="Courier New" w:cs="Courier New" w:eastAsia="Courier New" w:hAnsi="Courier New"/>
          <w:color w:val="1F1F1F"/>
          <w:sz w:val="20"/>
          <w:szCs w:val="20"/>
        </w:rPr>
        <w:t xml:space="preserve">  gate3_passed        BOOLEAN NOT NULL DEFAULT false,</w:t>
      </w:r>
    </w:p>
    <w:p>
      <w:pPr>
        <w:shd w:fill="F0F0F0" w:val="clear"/>
        <w:spacing w:after="40" w:before="40"/>
        <w:ind w:left="360"/>
      </w:pPr>
      <w:r>
        <w:rPr>
          <w:rFonts w:ascii="Courier New" w:cs="Courier New" w:eastAsia="Courier New" w:hAnsi="Courier New"/>
          <w:color w:val="1F1F1F"/>
          <w:sz w:val="20"/>
          <w:szCs w:val="20"/>
        </w:rPr>
        <w:t xml:space="preserve">  wallet_address      TEXT,              -- confirmed wallet</w:t>
      </w:r>
    </w:p>
    <w:p>
      <w:pPr>
        <w:shd w:fill="F0F0F0" w:val="clear"/>
        <w:spacing w:after="40" w:before="40"/>
        <w:ind w:left="360"/>
      </w:pPr>
      <w:r>
        <w:rPr>
          <w:rFonts w:ascii="Courier New" w:cs="Courier New" w:eastAsia="Courier New" w:hAnsi="Courier New"/>
          <w:color w:val="1F1F1F"/>
          <w:sz w:val="20"/>
          <w:szCs w:val="20"/>
        </w:rPr>
        <w:t xml:space="preserve">  gate4_passed        BOOLEAN NOT NULL DEFAULT false,</w:t>
      </w:r>
    </w:p>
    <w:p>
      <w:pPr>
        <w:shd w:fill="F0F0F0" w:val="clear"/>
        <w:spacing w:after="40" w:before="40"/>
        <w:ind w:left="360"/>
      </w:pPr>
      <w:r>
        <w:rPr>
          <w:rFonts w:ascii="Courier New" w:cs="Courier New" w:eastAsia="Courier New" w:hAnsi="Courier New"/>
          <w:color w:val="1F1F1F"/>
          <w:sz w:val="20"/>
          <w:szCs w:val="20"/>
        </w:rPr>
        <w:t xml:space="preserve">  token_id            TEXT,              -- after mint</w:t>
      </w:r>
    </w:p>
    <w:p>
      <w:pPr>
        <w:shd w:fill="F0F0F0" w:val="clear"/>
        <w:spacing w:after="40" w:before="40"/>
        <w:ind w:left="360"/>
      </w:pPr>
      <w:r>
        <w:rPr>
          <w:rFonts w:ascii="Courier New" w:cs="Courier New" w:eastAsia="Courier New" w:hAnsi="Courier New"/>
          <w:color w:val="1F1F1F"/>
          <w:sz w:val="20"/>
          <w:szCs w:val="20"/>
        </w:rPr>
        <w:t xml:space="preserve">  tx_hash             TEXT,              -- mint tx</w:t>
      </w:r>
    </w:p>
    <w:p>
      <w:pPr>
        <w:shd w:fill="F0F0F0" w:val="clear"/>
        <w:spacing w:after="40" w:before="40"/>
        <w:ind w:left="360"/>
      </w:pPr>
      <w:r>
        <w:rPr>
          <w:rFonts w:ascii="Courier New" w:cs="Courier New" w:eastAsia="Courier New" w:hAnsi="Courier New"/>
          <w:color w:val="1F1F1F"/>
          <w:sz w:val="20"/>
          <w:szCs w:val="20"/>
        </w:rPr>
        <w:t xml:space="preserve">  gate5_passed        BOOLEAN NOT NULL DEFAULT false,</w:t>
      </w:r>
    </w:p>
    <w:p>
      <w:pPr>
        <w:shd w:fill="F0F0F0" w:val="clear"/>
        <w:spacing w:after="40" w:before="40"/>
        <w:ind w:left="360"/>
      </w:pPr>
      <w:r>
        <w:rPr>
          <w:rFonts w:ascii="Courier New" w:cs="Courier New" w:eastAsia="Courier New" w:hAnsi="Courier New"/>
          <w:color w:val="1F1F1F"/>
          <w:sz w:val="20"/>
          <w:szCs w:val="20"/>
        </w:rPr>
        <w:t xml:space="preserve">  activated_at        TIMESTAMPTZ,</w:t>
      </w:r>
    </w:p>
    <w:p>
      <w:pPr>
        <w:shd w:fill="F0F0F0" w:val="clear"/>
        <w:spacing w:after="40" w:before="40"/>
        <w:ind w:left="360"/>
      </w:pPr>
      <w:r>
        <w:rPr>
          <w:rFonts w:ascii="Courier New" w:cs="Courier New" w:eastAsia="Courier New" w:hAnsi="Courier New"/>
          <w:color w:val="1F1F1F"/>
          <w:sz w:val="20"/>
          <w:szCs w:val="20"/>
        </w:rPr>
        <w:t xml:space="preserve">  credential_status   TEXT,</w:t>
      </w:r>
    </w:p>
    <w:p>
      <w:pPr>
        <w:shd w:fill="F0F0F0" w:val="clear"/>
        <w:spacing w:after="40" w:before="40"/>
        <w:ind w:left="360"/>
      </w:pPr>
      <w:r>
        <w:rPr>
          <w:rFonts w:ascii="Courier New" w:cs="Courier New" w:eastAsia="Courier New" w:hAnsi="Courier New"/>
          <w:color w:val="1F1F1F"/>
          <w:sz w:val="20"/>
          <w:szCs w:val="20"/>
        </w:rPr>
        <w:t xml:space="preserve">  created_at          TIMESTAMPTZ NOT NULL DEFAULT now(),</w:t>
      </w:r>
    </w:p>
    <w:p>
      <w:pPr>
        <w:shd w:fill="F0F0F0" w:val="clear"/>
        <w:spacing w:after="40" w:before="40"/>
        <w:ind w:left="360"/>
      </w:pPr>
      <w:r>
        <w:rPr>
          <w:rFonts w:ascii="Courier New" w:cs="Courier New" w:eastAsia="Courier New" w:hAnsi="Courier New"/>
          <w:color w:val="1F1F1F"/>
          <w:sz w:val="20"/>
          <w:szCs w:val="20"/>
        </w:rPr>
        <w:t xml:space="preserve">  updated_at          TIMESTAMPTZ NOT NULL DEFAULT now(),</w:t>
      </w:r>
    </w:p>
    <w:p>
      <w:pPr>
        <w:shd w:fill="F0F0F0" w:val="clear"/>
        <w:spacing w:after="40" w:before="40"/>
        <w:ind w:left="360"/>
      </w:pPr>
      <w:r>
        <w:rPr>
          <w:rFonts w:ascii="Courier New" w:cs="Courier New" w:eastAsia="Courier New" w:hAnsi="Courier New"/>
          <w:color w:val="1F1F1F"/>
          <w:sz w:val="20"/>
          <w:szCs w:val="20"/>
        </w:rPr>
        <w:t xml:space="preserve">  expires_at          TIMESTAMPTZ NOT NULL             -- session TTL: 7 days</w:t>
      </w:r>
    </w:p>
    <w:p>
      <w:pPr>
        <w:shd w:fill="F0F0F0" w:val="clear"/>
        <w:spacing w:after="40" w:before="40"/>
        <w:ind w:left="360"/>
      </w:pPr>
      <w:r>
        <w:rPr>
          <w:rFonts w:ascii="Courier New" w:cs="Courier New" w:eastAsia="Courier New" w:hAnsi="Courier New"/>
          <w:color w:val="1F1F1F"/>
          <w:sz w:val="20"/>
          <w:szCs w:val="20"/>
        </w:rPr>
        <w:t xml:space="preserve">);</w:t>
      </w:r>
    </w:p>
    <w:p>
      <w:pPr>
        <w:spacing w:after="80" w:before="0"/>
      </w:pPr>
      <w:r>
        <w:t xml:space="preserve"/>
      </w:r>
    </w:p>
    <w:p>
      <w:pPr>
        <w:pStyle w:val="Heading1"/>
      </w:pPr>
      <w:r>
        <w:rPr>
          <w:rFonts w:ascii="Calibri" w:cs="Calibri" w:eastAsia="Calibri" w:hAnsi="Calibri"/>
          <w:b/>
          <w:bCs/>
          <w:color w:val="1F3864"/>
          <w:sz w:val="32"/>
          <w:szCs w:val="32"/>
        </w:rPr>
        <w:t xml:space="preserve">VII. SPRINT BUILD TASKS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Day</w:t>
            </w:r>
          </w:p>
        </w:tc>
        <w:tc>
          <w:tcPr>
            <w:tcW w:type="dxa" w:w="5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Scaffold client intake portal Next.js app. App Router structure. NextAuth session. Persona SDK installed. wagmi + viem wallet config.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10</w:t>
            </w:r>
          </w:p>
        </w:tc>
        <w:tc>
          <w:tcPr>
            <w:tcW w:type="dxa" w:w="5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Build Gate 1 (eligibility display) + Gate 2 (KYC intake form + Persona embedded flow). Wire to backend /api/v1/kyc/initiate.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Build Gate 3 (wallet connection + signing challenge). Wire to backend /api/v1/wallet/bind. Test EOA + EIP-1271 paths.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12</w:t>
            </w:r>
          </w:p>
        </w:tc>
        <w:tc>
          <w:tcPr>
            <w:tcW w:type="dxa" w:w="5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Build Gate 4 (mint confirmation + block progress display) + Gate 5 (activation confirmation + credential status). Wire to backend.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Build credential dashboard (live status + activity log). Build simulated project context pages with clear labelling. Mobile responsive pass.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14</w:t>
            </w:r>
          </w:p>
        </w:tc>
        <w:tc>
          <w:tcPr>
            <w:tcW w:type="dxa" w:w="5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Legal/Compliance copy review of all portal screens. Fix any regulatory language issues. All pages must pass before participants use the portal.</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 + 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First real pilot participants onboard through the client intake portal. Target: 3 participants through Gates 1–5. Document issues.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 + MRB</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19</w:t>
            </w:r>
          </w:p>
        </w:tc>
        <w:tc>
          <w:tcPr>
            <w:tcW w:type="dxa" w:w="5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Remaining pilot cohort (up to 10) processed through portal. All credentials activated.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Day 25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Dress rehearsal: one new participant completes full portal flow. MRB observes. Confirm all gates work end-to-end.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Stan + MRB</w:t>
            </w:r>
          </w:p>
        </w:tc>
      </w:tr>
    </w:tbl>
    <w:p>
      <w:pPr>
        <w:spacing w:after="80" w:before="0"/>
      </w:pPr>
      <w:r>
        <w:t xml:space="preserve"/>
      </w:r>
    </w:p>
    <w:p>
      <w:pPr>
        <w:pBdr>
          <w:top w:val="single" w:color="2E75B6" w:sz="4" w:space="1"/>
        </w:pBdr>
        <w:spacing w:after="0" w:before="240"/>
      </w:pPr>
      <w:r>
        <w:rPr>
          <w:rFonts w:ascii="Calibri" w:cs="Calibri" w:eastAsia="Calibri" w:hAnsi="Calibri"/>
          <w:i/>
          <w:iCs/>
          <w:color w:val="909090"/>
          <w:sz w:val="18"/>
          <w:szCs w:val="18"/>
        </w:rPr>
        <w:t xml:space="preserve">2678 Holdings LLC  ·  TokenCap Miner LLC  ·  TCM-INTAKE-PORTAL-010 v1.0 — June 2026  ·  June 2026  ·  PRIVILEGED &amp;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0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2026-06-04T23:36:21.934Z</dcterms:created>
  <dcterms:modified xsi:type="dcterms:W3CDTF">2026-06-04T23:36:21.935Z</dcterms:modified>
</cp:coreProperties>
</file>

<file path=docProps/custom.xml><?xml version="1.0" encoding="utf-8"?>
<Properties xmlns="http://schemas.openxmlformats.org/officeDocument/2006/custom-properties" xmlns:vt="http://schemas.openxmlformats.org/officeDocument/2006/docPropsVTypes"/>
</file>