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80"/>
      </w:pPr>
      <w:r>
        <w:rPr>
          <w:rFonts w:ascii="Calibri" w:cs="Calibri" w:eastAsia="Calibri" w:hAnsi="Calibri"/>
          <w:b/>
          <w:bCs/>
          <w:color w:val="1F3864"/>
          <w:sz w:val="52"/>
          <w:szCs w:val="52"/>
        </w:rPr>
        <w:t xml:space="preserve">2678 HOLDINGS LLC</w:t>
      </w:r>
    </w:p>
    <w:p>
      <w:pPr>
        <w:spacing w:after="0" w:before="4"/>
      </w:pPr>
      <w:r>
        <w:rPr>
          <w:rFonts w:ascii="Calibri" w:cs="Calibri" w:eastAsia="Calibri" w:hAnsi="Calibri"/>
          <w:b/>
          <w:bCs/>
          <w:color w:val="2E75B6"/>
          <w:sz w:val="36"/>
          <w:szCs w:val="36"/>
        </w:rPr>
        <w:t xml:space="preserve">TokenCap Miner LLC (TCM)</w:t>
      </w:r>
    </w:p>
    <w:p>
      <w:pPr>
        <w:spacing w:after="80" w:before="0"/>
      </w:pPr>
      <w:r>
        <w:t xml:space="preserve"/>
      </w:r>
    </w:p>
    <w:p>
      <w:pPr>
        <w:pBdr>
          <w:bottom w:val="single" w:color="2E75B6" w:sz="8" w:space="4"/>
        </w:pBdr>
        <w:spacing w:after="0" w:before="0"/>
      </w:pPr>
      <w:r>
        <w:rPr>
          <w:rFonts w:ascii="Calibri" w:cs="Calibri" w:eastAsia="Calibri" w:hAnsi="Calibri"/>
          <w:b/>
          <w:bCs/>
          <w:color w:val="1a1a1a"/>
          <w:sz w:val="40"/>
          <w:szCs w:val="40"/>
        </w:rPr>
        <w:t xml:space="preserve">Entity Charter &amp; Functional Mandate</w:t>
      </w:r>
    </w:p>
    <w:p>
      <w:pPr>
        <w:spacing w:after="80" w:before="0"/>
      </w:pPr>
      <w:r>
        <w:t xml:space="preserve"/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606060"/>
          <w:sz w:val="22"/>
          <w:szCs w:val="22"/>
        </w:rPr>
        <w:t xml:space="preserve">Revised v3 — F1: Stan confirmed as TCM Lead · F13: Stan assigned as patent-alignment engineering owner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TCM-CHARTER-001 v3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1.0 — June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Internal — Privileged &amp; Confidential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Owner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2678 Holdings LLC — Managing Member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Supersedes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TCM-CHARTER-001 v2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3.0 — June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Governing principle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TCT authenticates and reports. TCN executes. Off-chain entities determine, hold, and intermediate value.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Active — binding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909090"/>
          <w:sz w:val="18"/>
          <w:szCs w:val="18"/>
        </w:rPr>
        <w:t xml:space="preserve">PRIVILEGED &amp; CONFIDENTIAL  ·  INTERNAL USE ONLY  ·  2678 Holdings LLC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I. GOVERNING PRINCIPLE</w:t>
      </w:r>
    </w:p>
    <w:p>
      <w:pPr>
        <w:pBdr>
          <w:left w:val="single" w:color="2E75B6" w:sz="14" w:space="4"/>
        </w:pBdr>
        <w:shd w:fill="EEF4FB" w:val="clear"/>
        <w:spacing w:after="80" w:before="80"/>
        <w:ind w:left="240" w:right="240"/>
      </w:pPr>
      <w:r>
        <w:rPr>
          <w:rFonts w:ascii="Calibri" w:cs="Calibri" w:eastAsia="Calibri" w:hAnsi="Calibri"/>
          <w:i/>
          <w:iCs/>
          <w:color w:val="1a3a5c"/>
          <w:sz w:val="20"/>
          <w:szCs w:val="20"/>
        </w:rPr>
        <w:t xml:space="preserve">TCT authenticates and reports. TCN executes. Off-chain entities determine, hold, and intermediate value. The Token Engine is the TCM-side kernel that operationalises that rule. Nothing in the build may cause the Engine to determine, calculate, or settle economic outcomes.</w:t>
      </w:r>
    </w:p>
    <w:p>
      <w:pPr>
        <w:spacing w:after="80" w:before="0"/>
      </w:pPr>
      <w:r>
        <w:t xml:space="preserve"/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'Externally determined' does not equate to 'off-chain.' The operative distinction is reporter vs. determiner. A TCN smart contract outcome is determined elsewhere even though it is on-chain. All documentation uses 'determined elsewhere.'</w:t>
      </w:r>
    </w:p>
    <w:p>
      <w:pPr>
        <w:spacing w:after="80" w:before="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II. ENTITY IDENTITY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Legal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TokenCap Miner LLC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Parent entity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2678 Holdings LLC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Role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Credentialing &amp; Compliance Gateway — Trust Anchor of the 2678 ecosystem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Mandate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Token issuance, KYC/AML, identity binding, token lifecycle authority, ecosystem audit ledger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KYC/AML vendor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JPMorgan Chase (production) · Persona sandbox (dev/staging only)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Blockchain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Polygon PoS mainnet (primary) · Ethereum mainnet (anchoring only)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Dedicated AWS account — never shared with TCN or TCA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TCM Technology Lead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Stan — responsible for TCM build, Auth API schema sign-off, UAT sign-off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TCN Technology Lead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Ganlin — responsible for TCN middleware build and integration sign-offs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III. GOVERNING DOCUMENT HIERARCHY</w:t>
      </w:r>
    </w:p>
    <w:p>
      <w:pPr>
        <w:pBdr>
          <w:left w:val="single" w:color="2E75B6" w:sz="14" w:space="4"/>
        </w:pBdr>
        <w:shd w:fill="EEF4FB" w:val="clear"/>
        <w:spacing w:after="80" w:before="80"/>
        <w:ind w:left="240" w:right="240"/>
      </w:pPr>
      <w:r>
        <w:rPr>
          <w:rFonts w:ascii="Calibri" w:cs="Calibri" w:eastAsia="Calibri" w:hAnsi="Calibri"/>
          <w:i/>
          <w:iCs/>
          <w:color w:val="1a3a5c"/>
          <w:sz w:val="20"/>
          <w:szCs w:val="20"/>
        </w:rPr>
        <w:t xml:space="preserve">F13 FIX: Patent-alignment engineering owner formally assigned. This role reviews every API specification and new feature for consistency with all 40 patent claims across 9 families. Required by TCM Tech Specs v2 Part I. Non-provisional patent filing deadline: May 2027.</w:t>
      </w:r>
    </w:p>
    <w:p>
      <w:pPr>
        <w:spacing w:after="80" w:before="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3600"/>
        <w:gridCol w:w="28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Rank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Authority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Patent owner note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Provisional Patent Application (May 2026)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Full system architecture. 40 claims in 9 families. Constrains all vocabulary and implementation.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Patent-alignment engineering owner: STAN. Stan reviews all APIs and features for patent consistency before production deployment. Written confirmation from Legal/Compliance required for TCM-TOKEN-STATE-005.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2678 Regulatory Control Framework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Master control architecture — entity separation, token characterization, ecosystem governance.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API Policy No. 2678-POL-API-001 v1.1 (June 2026)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Binding enterprise API governance. Supersedes all prior API guidance.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2678 Ecosystem Technology Architecture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Three-entity architecture, interface design.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TCM Technical Specifications v2.0 (May 29, 2026)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Definitive build specs: JPM KYC vendor, Auth API schema, SLA targets, state machine.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Note: Part X contains a typo — states 'TCM lead (Ganlin).' Confirmed by MRB June 4, 2026: Stan = TCM Lead, Ganlin = TCN Lead.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TCT Implementation Memorandum Rev 2 (May 2026)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TCT design, on-chain contract spec, RBAC, wallet model, sync pipeline, revenue streams.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2678 Framework Manual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Problem → Framework → Process → Procedures → Tasks methodology.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This Charter (TCM-CHARTER-001 v3)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TCM constitutional document. Subordinate to all above.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IV. THE FIVE API DOMAINS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500"/>
        <w:gridCol w:w="1200"/>
        <w:gridCol w:w="1200"/>
        <w:gridCol w:w="276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API 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Criticality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Patent gate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TCM-CRED-ISSUE-001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Credential Issuance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Important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Ships in pilot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TCM-CRED-VERIFY-002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Credential Verification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Ships in pilot — schema LOCKED — Stan (TCM Lead) + Ganlin (TCN Lead)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TCM-CRED-STATUS-003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Status Management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Important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Ships in pilot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TCM-AUDIT-RECORD-004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Audit Event Recording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v1.1 (inter-entity events)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TCM-TOKEN-STATE-005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Token State Update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Important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BLOCKED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Written confirmation required from Legal/Compliance — non-waivable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left w:val="single" w:color="C00000" w:sz="14" w:space="4"/>
        </w:pBdr>
        <w:shd w:fill="FFF0F0" w:val="clear"/>
        <w:spacing w:after="80" w:before="80"/>
        <w:ind w:left="240" w:right="240"/>
      </w:pPr>
      <w:r>
        <w:rPr>
          <w:rFonts w:ascii="Calibri" w:cs="Calibri" w:eastAsia="Calibri" w:hAnsi="Calibri"/>
          <w:b/>
          <w:bCs/>
          <w:color w:val="C00000"/>
          <w:sz w:val="20"/>
          <w:szCs w:val="20"/>
        </w:rPr>
        <w:t xml:space="preserve">TCM-TOKEN-STATE-005 production deployment blocked until Legal/Compliance issues written patent consistency confirmation. API Policy §8.1 — non-waivable. No exception process available. Patent-alignment owner (Stan) must review before Legal is consulted.</w:t>
      </w:r>
    </w:p>
    <w:p>
      <w:pPr>
        <w:spacing w:after="80" w:before="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V. SIX-STATE CREDENTIAL MACHINE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300"/>
        <w:gridCol w:w="1200"/>
        <w:gridCol w:w="1200"/>
        <w:gridCol w:w="42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isAuthorized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Reversible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Pending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false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Initial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Minted, KYC in progress, not yet activated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Active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true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Operational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KYC verified, participant authenticates into TCN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Suspended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false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Temporary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Yes → Active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Compliance event or contract breach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Revoked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false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TERMINAL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Sanctions, fraud, exit. Token not burned. Forever.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Expired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false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Time-based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Yes (renewal)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expired_at reached. ISSUER_ROLE renewal.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Retired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false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Dormant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Yes → Pending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Workflow concluded. Not destroyed. Fresh KYC on reactivation.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VI. NON-WAIVABLE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000"/>
        <w:gridCol w:w="2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Patent consistency — TCM-TOKEN-STATE-005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Production deployment blocked until Legal/Compliance written confirmation. Stan reviews first as patent-alignment owner.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API Policy §8.1; TCM Tech Specs v2 Part 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No High/Critical security findings at launch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No API may deploy with unresolved High or Critical findings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API Policy §4.3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Intercompany agreement prerequisite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No live inter-entity data exchange without executed TCM ↔ TCN agreement. Must be in place before Sprint Day 12.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API Policy §6.2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Credential Verification API pen test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Independent pen test before initial production deployment and annually thereafter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API Policy §4.3, §8.1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Fail-closed architecture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On TCM unavailability, TCN must deny all participant access immediately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API Policy §6.3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No shared infrastructure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TCM AWS account, databases, signing infrastructure never shared with TCN or TCA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TCM Tech Specs v2 Part II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Token characterization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TCT contains no economic rights, no profit linkage, no price discovery mechanisms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Regulatory Control Framework §IV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top w:val="single" w:color="2E75B6" w:sz="4" w:space="1"/>
        </w:pBdr>
        <w:spacing w:after="0" w:before="240"/>
      </w:pPr>
      <w:r>
        <w:rPr>
          <w:rFonts w:ascii="Calibri" w:cs="Calibri" w:eastAsia="Calibri" w:hAnsi="Calibri"/>
          <w:i/>
          <w:iCs/>
          <w:color w:val="909090"/>
          <w:sz w:val="18"/>
          <w:szCs w:val="18"/>
        </w:rPr>
        <w:t xml:space="preserve">2678 Holdings LLC  ·  TokenCap Miner LLC  ·  TCM-CHARTER-001 v3 — June 2026  ·  June 2026  ·  PRIVILEGED &amp; CONFIDENTIAL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4" w:space="1"/>
      </w:pBdr>
      <w:spacing w:after="100" w:before="28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Calibri" w:cs="Calibri" w:eastAsia="Calibri" w:hAnsi="Calibri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2026-06-04T23:36:20.902Z</dcterms:created>
  <dcterms:modified xsi:type="dcterms:W3CDTF">2026-06-04T23:36:20.915Z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