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2678 HOLDINGS LLC</w:t>
      </w:r>
    </w:p>
    <w:p>
      <w:pPr>
        <w:spacing w:after="0" w:before="4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TokenCap Miner LLC (TCM)</w:t>
      </w:r>
    </w:p>
    <w:p>
      <w:pPr>
        <w:spacing w:after="80" w:before="0"/>
      </w:pPr>
      <w:r>
        <w:t xml:space="preserve"/>
      </w:r>
    </w:p>
    <w:p>
      <w:pPr>
        <w:pBdr>
          <w:bottom w:val="single" w:color="2E75B6" w:sz="8" w:space="4"/>
        </w:pBdr>
        <w:spacing w:after="0" w:before="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Token Characterization Policy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06060"/>
          <w:sz w:val="22"/>
          <w:szCs w:val="22"/>
        </w:rPr>
        <w:t xml:space="preserve">Carried forward from v2 — no changes required from gap review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TCM-TOKEN-CHAR-003 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1.0 — 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Internal — Privileged &amp; 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2678 Holdings LLC — Managing Member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TCM-TOKEN-CHAR-003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Legal review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Annual + upon material regulatory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Regulators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SEC, CFTC, FinCEN, FTC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909090"/>
          <w:sz w:val="18"/>
          <w:szCs w:val="18"/>
        </w:rPr>
        <w:t xml:space="preserve">PRIVILEGED &amp; CONFIDENTIAL  ·  INTERNAL USE ONLY  ·  2678 Holdings LLC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I. GOVERNING PRINCIPLE</w:t>
      </w:r>
    </w:p>
    <w:p>
      <w:pPr>
        <w:pBdr>
          <w:left w:val="single" w:color="2E75B6" w:sz="14" w:space="4"/>
        </w:pBdr>
        <w:shd w:fill="EEF4FB" w:val="clear"/>
        <w:spacing w:after="80" w:before="80"/>
        <w:ind w:left="240" w:right="240"/>
      </w:pPr>
      <w:r>
        <w:rPr>
          <w:rFonts w:ascii="Calibri" w:cs="Calibri" w:eastAsia="Calibri" w:hAnsi="Calibri"/>
          <w:i/>
          <w:iCs/>
          <w:color w:val="1a3a5c"/>
          <w:sz w:val="20"/>
          <w:szCs w:val="20"/>
        </w:rPr>
        <w:t xml:space="preserve">The TokenCap Token is a permissioned digital credential. It authenticates and reports. It does not determine, calculate, settle, or represent economic outcomes. All economic participation arises exclusively from separate contractual arrangements outside the token system.</w:t>
      </w:r>
    </w:p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II. THE REPORTER-NOT-DETERMINER DISTINCTION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'Externally determined' does not equate to 'off-chain.' The operative distinction is reporter vs. determiner. A TCN smart contract outcome is determined elsewhere even though it is on-chain. TCT stores a reference to that determination — not the determination itself.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TCT DOES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TCT DOES NOT DO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Reports a reference to an outcome determined elsewhere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Determines, calculates, or settles any economic outcome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Stores event_hash (integrity anchor for the reference)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Stores balances, payout amounts, or ownership percentages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Stores offchain_authority_ref (opaque pointer to the authoritative record)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Is itself the authoritative record for any economic determination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Stores result_type from controlled vocabulary (a category label)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Stores the determined value within that category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Enables authentication into TCN workflow systems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Executes workflow logic or controls smart contracts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Records a reference to a TCN smart contract outcome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Determines what that outcome means economically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2E75B6" w:sz="14" w:space="4"/>
        </w:pBdr>
        <w:shd w:fill="EEF4FB" w:val="clear"/>
        <w:spacing w:after="80" w:before="80"/>
        <w:ind w:left="240" w:right="240"/>
      </w:pPr>
      <w:r>
        <w:rPr>
          <w:rFonts w:ascii="Calibri" w:cs="Calibri" w:eastAsia="Calibri" w:hAnsi="Calibri"/>
          <w:i/>
          <w:iCs/>
          <w:color w:val="1a3a5c"/>
          <w:sz w:val="20"/>
          <w:szCs w:val="20"/>
        </w:rPr>
        <w:t xml:space="preserve">Example: A TCN smart contract determines an allocation. TCM stores: event_hash + result_type = 'allocation' + offchain_authority_ref (opaque pointer). TCM does NOT store the allocation amount. The determination was made elsewhere.</w:t>
      </w:r>
    </w:p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III. WHAT THE TCT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Token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Permissioned digital credential. Credential class 0x0001 in v1.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ERC-1155 + ERC-5192 soulbound marker. ERC-3643 REJECTED — invites securities framing.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Authenticates participant identity; reports on outcomes determined elsewhere. Does not determine any outcome itself.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Non-transferability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Transfer hooks overridden to revert all transfers. Identity-bound. One binding per identity.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Lifecycle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Six states: Pending | Active | Suspended | Revoked | Expired | Retired. All transitions immutably logged.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Wallet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ERC-4337 compatible. EIP-1271 accepted for smart contract wallets. identity_binding is wallet-agnostic.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Authentication 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Technical API authentication key for TCN's token-gated access. Status changes propagate immediately to API auth layer.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IV. PROHIBITED CHARACTERIZATIONS</w:t>
      </w:r>
    </w:p>
    <w:p>
      <w:pPr>
        <w:pBdr>
          <w:left w:val="single" w:color="C00000" w:sz="14" w:space="4"/>
        </w:pBdr>
        <w:shd w:fill="FFF0F0" w:val="clear"/>
        <w:spacing w:after="80" w:before="80"/>
        <w:ind w:left="240" w:right="24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The following are prohibited from appearing in any TCM system, API, UI, marketing, or legal document.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Prohibited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prohibited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Architectural enforcement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Security or investment contract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economic rights, no profit participation, no dividends, no claim on venture outcomes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financial attributes in token schema. No pricing endpoints anywhere.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Commodity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price discovery, no spot/futures market, no commodity-like deliverable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pricing display. No secondary market functionality.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Asset with monetary value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Cannot be sold, transferred, or priced on secondary market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Transfer disabled at protocol level. Blocked tokens are REVOKED, not sold.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Financial instrument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field in any TCM store represents value, yield, allocation, or return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Schema enforced at code review. Automated scan on every deployment.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ERC-3643 token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ERC-3643 is a regulated security token standard — adoption invites securities framing the architecture avoids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ERC-1155 + ERC-5192 is the confirmed standard. ERC-3643 rejected by design.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Transferable property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Transfer disabled at protocol level. Identity binding immutable.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safeTransferFrom, safeBatchTransferFrom, setApprovalForAll all revert.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V. ECONOMIC SEPARATION PRINCIPLE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Gates 1–5 (purchase and activation): TCT Owner status. Platform access (VIEWER tier)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Gate 6 (escrow gate — project election): requires off-chain funds confirmation via financial institution. Creates TCT Participant status. Executed outside TCM.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Legal entity formation: subsequent, separate off-chain activity. Not required to become TCT Participant.</w:t>
      </w:r>
    </w:p>
    <w:p>
      <w:pPr>
        <w:pBdr>
          <w:left w:val="single" w:color="2E75B6" w:sz="14" w:space="4"/>
        </w:pBdr>
        <w:shd w:fill="EEF4FB" w:val="clear"/>
        <w:spacing w:after="80" w:before="80"/>
        <w:ind w:left="240" w:right="240"/>
      </w:pPr>
      <w:r>
        <w:rPr>
          <w:rFonts w:ascii="Calibri" w:cs="Calibri" w:eastAsia="Calibri" w:hAnsi="Calibri"/>
          <w:i/>
          <w:iCs/>
          <w:color w:val="1a3a5c"/>
          <w:sz w:val="20"/>
          <w:szCs w:val="20"/>
        </w:rPr>
        <w:t xml:space="preserve">No foreign key exists from the token to any venture entity. The contract database is separate from the token registry. This separation is structural — enforced in the database schema, not just in policy.</w:t>
      </w:r>
    </w:p>
    <w:p>
      <w:pPr>
        <w:spacing w:after="80" w:before="0"/>
      </w:pPr>
      <w:r>
        <w:t xml:space="preserve"/>
      </w:r>
    </w:p>
    <w:p>
      <w:pPr>
        <w:pBdr>
          <w:top w:val="single" w:color="2E75B6" w:sz="4" w:space="1"/>
        </w:pBdr>
        <w:spacing w:after="0" w:before="240"/>
      </w:pPr>
      <w:r>
        <w:rPr>
          <w:rFonts w:ascii="Calibri" w:cs="Calibri" w:eastAsia="Calibri" w:hAnsi="Calibri"/>
          <w:i/>
          <w:iCs/>
          <w:color w:val="909090"/>
          <w:sz w:val="18"/>
          <w:szCs w:val="18"/>
        </w:rPr>
        <w:t xml:space="preserve">2678 Holdings LLC  ·  TokenCap Miner LLC  ·  TCM-TOKEN-CHAR-003 v3 — June 2026  ·  June 2026  ·  PRIVILEGED &amp;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0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2026-06-04T23:36:21.463Z</dcterms:created>
  <dcterms:modified xsi:type="dcterms:W3CDTF">2026-06-04T23:36:21.463Z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