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Calibri" w:cs="Calibri" w:eastAsia="Calibri" w:hAnsi="Calibri"/>
          <w:b/>
          <w:bCs/>
          <w:color w:val="1F3864"/>
          <w:sz w:val="52"/>
          <w:szCs w:val="52"/>
        </w:rPr>
        <w:t xml:space="preserve">2678 HOLDINGS LLC</w:t>
      </w:r>
    </w:p>
    <w:p>
      <w:pPr>
        <w:spacing w:after="0" w:before="4"/>
      </w:pPr>
      <w:r>
        <w:rPr>
          <w:rFonts w:ascii="Calibri" w:cs="Calibri" w:eastAsia="Calibri" w:hAnsi="Calibri"/>
          <w:b/>
          <w:bCs/>
          <w:color w:val="2E75B6"/>
          <w:sz w:val="36"/>
          <w:szCs w:val="36"/>
        </w:rPr>
        <w:t xml:space="preserve">TokenCap Miner LLC (TCM)</w:t>
      </w:r>
    </w:p>
    <w:p>
      <w:pPr>
        <w:spacing w:after="80" w:before="0"/>
      </w:pPr>
      <w:r>
        <w:t xml:space="preserve"/>
      </w:r>
    </w:p>
    <w:p>
      <w:pPr>
        <w:pBdr>
          <w:bottom w:val="single" w:color="2E75B6" w:sz="8" w:space="4"/>
        </w:pBdr>
        <w:spacing w:after="0" w:before="0"/>
      </w:pPr>
      <w:r>
        <w:rPr>
          <w:rFonts w:ascii="Calibri" w:cs="Calibri" w:eastAsia="Calibri" w:hAnsi="Calibri"/>
          <w:b/>
          <w:bCs/>
          <w:color w:val="1a1a1a"/>
          <w:sz w:val="40"/>
          <w:szCs w:val="40"/>
        </w:rPr>
        <w:t xml:space="preserve">Platform Architecture Specification</w:t>
      </w:r>
    </w:p>
    <w:p>
      <w:pPr>
        <w:spacing w:after="80" w:before="0"/>
      </w:pPr>
      <w:r>
        <w:t xml:space="preserve"/>
      </w:r>
    </w:p>
    <w:p>
      <w:pPr>
        <w:spacing w:after="80" w:before="60"/>
      </w:pPr>
      <w:r>
        <w:rPr>
          <w:rFonts w:ascii="Calibri" w:cs="Calibri" w:eastAsia="Calibri" w:hAnsi="Calibri"/>
          <w:i/>
          <w:iCs/>
          <w:color w:val="606060"/>
          <w:sz w:val="22"/>
          <w:szCs w:val="22"/>
        </w:rPr>
        <w:t xml:space="preserve">Revised v3 — F7: TCTOutcomeRegistry upgrade model · F9: 'document-custody risk' removed · F11: Store count 12→13 explained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Document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TCM-ARCH-004 v3</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Version</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1.0 — June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Internal — Privileged &amp; Confidential</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Owner</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2678 Holdings LLC — Managing Member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Supersedes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TCM-ARCH-004 v2</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Blockchain</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Polygon PoS mainnet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KYC vendor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JPMorgan Chase (production)</w:t>
            </w:r>
          </w:p>
        </w:tc>
      </w:tr>
    </w:tbl>
    <w:p>
      <w:pPr>
        <w:spacing w:after="80" w:before="0"/>
      </w:pPr>
      <w:r>
        <w:t xml:space="preserve"/>
      </w:r>
    </w:p>
    <w:p>
      <w:pPr>
        <w:spacing w:after="80" w:before="60"/>
      </w:pPr>
      <w:r>
        <w:rPr>
          <w:rFonts w:ascii="Calibri" w:cs="Calibri" w:eastAsia="Calibri" w:hAnsi="Calibri"/>
          <w:i/>
          <w:iCs/>
          <w:color w:val="909090"/>
          <w:sz w:val="18"/>
          <w:szCs w:val="18"/>
        </w:rPr>
        <w:t xml:space="preserve">PRIVILEGED &amp; CONFIDENTIAL  ·  INTERNAL USE ONLY  ·  2678 Holdings LLC</w:t>
      </w:r>
    </w:p>
    <w:p>
      <w:r>
        <w:br w:type="page"/>
      </w:r>
    </w:p>
    <w:p>
      <w:pPr>
        <w:pStyle w:val="Heading1"/>
      </w:pPr>
      <w:r>
        <w:rPr>
          <w:rFonts w:ascii="Calibri" w:cs="Calibri" w:eastAsia="Calibri" w:hAnsi="Calibri"/>
          <w:b/>
          <w:bCs/>
          <w:color w:val="1F3864"/>
          <w:sz w:val="32"/>
          <w:szCs w:val="32"/>
        </w:rPr>
        <w:t xml:space="preserve">I. FOUR OPERATIONAL ASPECTS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400"/>
        <w:gridCol w:w="28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Aspect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What it is</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What it owns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Databases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1. The TCT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The credential artifact itself</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On-chain record, identity_binding hash, status, compliance metadata, jurisdiction, claims version, outcome references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On-chain (Polygon PoS) + Store 2</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2. The Token Engine</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TCM-side operational kernel for TCT lifecycle</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Contracts, signing keys, adapters, finality service, normalizer, sync gateway, audit log, chain registry, vocab registry, internal APIs</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Stores 2–7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3. Commercial Merchandising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The storefront — how project listers purchase TCTs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Lister accounts, pricing (LISTER_COHORT + INDIVIDUAL_PURCHASE), orders, invoices, payment rail, participation agreements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Stores 8, 13</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4. Post-Purchase Operations</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Everything between a sale and a working credential</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KYC/AML, wallet binding, permissioning, mint/activation, compliance review, suspension/revocation, support, document attestations</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Stores 9, 10, 11, 12</w:t>
            </w:r>
          </w:p>
        </w:tc>
      </w:tr>
    </w:tbl>
    <w:p>
      <w:pPr>
        <w:spacing w:after="80" w:before="0"/>
      </w:pPr>
      <w:r>
        <w:t xml:space="preserve"/>
      </w:r>
    </w:p>
    <w:p>
      <w:pPr>
        <w:pStyle w:val="Heading1"/>
      </w:pPr>
      <w:r>
        <w:rPr>
          <w:rFonts w:ascii="Calibri" w:cs="Calibri" w:eastAsia="Calibri" w:hAnsi="Calibri"/>
          <w:b/>
          <w:bCs/>
          <w:color w:val="1F3864"/>
          <w:sz w:val="32"/>
          <w:szCs w:val="32"/>
        </w:rPr>
        <w:t xml:space="preserve">II. TWO-CONTRACT ARCHITECTURE WITH UPGRADE MODELS</w:t>
      </w:r>
    </w:p>
    <w:p>
      <w:pPr>
        <w:spacing w:after="80" w:before="60"/>
      </w:pPr>
      <w:r>
        <w:rPr>
          <w:rFonts w:ascii="Calibri" w:cs="Calibri" w:eastAsia="Calibri" w:hAnsi="Calibri"/>
          <w:sz w:val="22"/>
          <w:szCs w:val="22"/>
        </w:rPr>
        <w:t xml:space="preserve">F7 FIX: TCTOutcomeRegistry upgrade model added per TCM Tech Specs v2 Part XII Open Item 5 recommendation.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Contract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Upgrade model</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TCTCredential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Mint, lifecycle state, identity binding, compliance status, RBAC. Nothing else.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NON-UPGRADEABLE (immutable)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Stays small, audit-stable, security-critical. The credential record must be permanent and tamper-proof. No proxy introduces upgrade-key risk on the most sensitive contract.</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TCTOutcomeRegistry</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Outcome references: event_id, event_hash, contract_id, result_type, offchain_authority_ref, finalized flag.</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UUPS proxy behind timelock</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Reporting logic evolves faster than credential logic. UUPS with timelock enables controlled upgrades without an immediate admin key risk. Timelock duration: Stan to recommend before contract coding begins.</w:t>
            </w:r>
          </w:p>
        </w:tc>
      </w:tr>
    </w:tbl>
    <w:p>
      <w:pPr>
        <w:spacing w:after="80" w:before="0"/>
      </w:pPr>
      <w:r>
        <w:t xml:space="preserve"/>
      </w:r>
    </w:p>
    <w:p>
      <w:pPr>
        <w:pStyle w:val="Heading1"/>
      </w:pPr>
      <w:r>
        <w:rPr>
          <w:rFonts w:ascii="Calibri" w:cs="Calibri" w:eastAsia="Calibri" w:hAnsi="Calibri"/>
          <w:b/>
          <w:bCs/>
          <w:color w:val="1F3864"/>
          <w:sz w:val="32"/>
          <w:szCs w:val="32"/>
        </w:rPr>
        <w:t xml:space="preserve">III. THREE-ENVIRONMENT MATRIX</w:t>
      </w:r>
    </w:p>
    <w:p>
      <w:pPr>
        <w:pBdr>
          <w:left w:val="single" w:color="C00000" w:sz="14" w:space="4"/>
        </w:pBdr>
        <w:shd w:fill="FFF0F0" w:val="clear"/>
        <w:spacing w:after="80" w:before="80"/>
        <w:ind w:left="240" w:right="240"/>
      </w:pPr>
      <w:r>
        <w:rPr>
          <w:rFonts w:ascii="Calibri" w:cs="Calibri" w:eastAsia="Calibri" w:hAnsi="Calibri"/>
          <w:b/>
          <w:bCs/>
          <w:color w:val="C00000"/>
          <w:sz w:val="20"/>
          <w:szCs w:val="20"/>
        </w:rPr>
        <w:t xml:space="preserve">GoDaddy VPS is transitional/staging infrastructure only. No production data, no production credentials, no production APIs may reside on the VPS.</w:t>
      </w:r>
    </w:p>
    <w:p>
      <w:pPr>
        <w:spacing w:after="8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1800"/>
        <w:gridCol w:w="200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Environment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AWS account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Blockchain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KYC vendor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PII rule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Development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Single shared (all engineers)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Polygon PoS Mumbai testnet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Persona sandbox (free)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No real PII — synthetic data only</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Staging</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TCM non-prod AWS account</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Polygon PoS Amoy testnet + Base Sepolia (dual-run)</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JPM sandbox (when available); Persona parallel</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Test credentials only; no live participant PII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Production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TCM prod AWS account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Polygon PoS mainnet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JPMorgan Chase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Real PII in Identity Vault only. Pseudonymous everywhere else.</w:t>
            </w:r>
          </w:p>
        </w:tc>
      </w:tr>
    </w:tbl>
    <w:p>
      <w:pPr>
        <w:spacing w:after="80" w:before="0"/>
      </w:pPr>
      <w:r>
        <w:t xml:space="preserve"/>
      </w:r>
    </w:p>
    <w:p>
      <w:pPr>
        <w:pStyle w:val="Heading1"/>
      </w:pPr>
      <w:r>
        <w:rPr>
          <w:rFonts w:ascii="Calibri" w:cs="Calibri" w:eastAsia="Calibri" w:hAnsi="Calibri"/>
          <w:b/>
          <w:bCs/>
          <w:color w:val="1F3864"/>
          <w:sz w:val="32"/>
          <w:szCs w:val="32"/>
        </w:rPr>
        <w:t xml:space="preserve">IV. 13-STORE DATABASE PORTFOLIO</w:t>
      </w:r>
    </w:p>
    <w:p>
      <w:pPr>
        <w:pBdr>
          <w:left w:val="single" w:color="2E75B6" w:sz="14" w:space="4"/>
        </w:pBdr>
        <w:shd w:fill="EEF4FB" w:val="clear"/>
        <w:spacing w:after="80" w:before="80"/>
        <w:ind w:left="240" w:right="240"/>
      </w:pPr>
      <w:r>
        <w:rPr>
          <w:rFonts w:ascii="Calibri" w:cs="Calibri" w:eastAsia="Calibri" w:hAnsi="Calibri"/>
          <w:i/>
          <w:iCs/>
          <w:color w:val="1a3a5c"/>
          <w:sz w:val="20"/>
          <w:szCs w:val="20"/>
        </w:rPr>
        <w:t xml:space="preserve">F11 FIX: Store count increased from 12 (Token Engine Staff Memo / TCM Tech Specs v2) to 13 in this document. Document Attestation Store (Store 10) added per MRB Comments C1/C2 resolutions incorporated into TCM Tech Specs v2. The source documents (Staff Memo, Tech Specs v2) list 12 stores because they were written before MRB's comments resolved the document custody question. This document reflects the post-comment-resolution architecture.</w:t>
      </w:r>
    </w:p>
    <w:p>
      <w:pPr>
        <w:spacing w:after="80" w:before="0"/>
      </w:pPr>
      <w:r>
        <w:t xml:space="preserve"/>
      </w:r>
    </w:p>
    <w:p>
      <w:pPr>
        <w:spacing w:after="80" w:before="60"/>
      </w:pPr>
      <w:r>
        <w:rPr>
          <w:rFonts w:ascii="Calibri" w:cs="Calibri" w:eastAsia="Calibri" w:hAnsi="Calibri"/>
          <w:sz w:val="22"/>
          <w:szCs w:val="22"/>
        </w:rPr>
        <w:t xml:space="preserve">Revenue recognition rule: no revenue is recognized against any chain event that has not reached Audit Final (128 blocks on Polygon PoS, ~4.3 minutes). Provisional events do not produce billable units.</w:t>
      </w:r>
    </w:p>
    <w:p>
      <w:pPr>
        <w:spacing w:after="8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9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Store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Aspect</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Sensitivity</w:t>
            </w:r>
          </w:p>
        </w:tc>
        <w:tc>
          <w:tcPr>
            <w:tcW w:type="dxa" w:w="4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Contents and key rules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1. Identity Vault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Post-purch ops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CRITICAL</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Raw KYC records, JPM results, salt material. AES-256 at rest. Access: compliance function only. RTBF via salt destruction. Never on Engine hot path.</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2. Credential-State Mirror</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Engine</w:t>
            </w:r>
          </w:p>
        </w:tc>
        <w:tc>
          <w:tcPr>
            <w:tcW w:type="dxa" w:w="11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Medium</w:t>
            </w:r>
          </w:p>
        </w:tc>
        <w:tc>
          <w:tcPr>
            <w:tcW w:type="dxa" w:w="4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Off-chain authoritative read model: token_id, network_id, identity_binding hash (NOT PII), 6-state status, compliance_status, jurisdiction, all 7 timestamps, audit_root_hash.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3. Outcome Reference Store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Engine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Low-Med</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Mirror of TCTOutcomeRegistry. result_type from controlled vocabulary v1.0.0. offchain_authority_ref as opaque pointer. finalized=true ONLY after Audit Final (128 blocks).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4. Audit Log</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Engine</w:t>
            </w:r>
          </w:p>
        </w:tc>
        <w:tc>
          <w:tcPr>
            <w:tcW w:type="dxa" w:w="11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High</w:t>
            </w:r>
          </w:p>
        </w:tc>
        <w:tc>
          <w:tcPr>
            <w:tcW w:type="dxa" w:w="4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Tamper-evident append-only. Every lifecycle event, role grant, sync write, reconciliation outcome. Minimum 7 years retention.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5. Sync Pipeline State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Engine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Low</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Adapter cursors, finality snapshots, idempotency-key index, replay checkpoints. Crash-safe resumption.</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6. Chain Registry / Config</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Engine</w:t>
            </w:r>
          </w:p>
        </w:tc>
        <w:tc>
          <w:tcPr>
            <w:tcW w:type="dxa" w:w="11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Low</w:t>
            </w:r>
          </w:p>
        </w:tc>
        <w:tc>
          <w:tcPr>
            <w:tcW w:type="dxa" w:w="4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Networks, contract addresses, adapter versions, RPC endpoints, finality thresholds, gas markup % (20% placeholder), TCTOutcomeRegistry UUPS proxy timelock config.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7. Controlled-Vocab Registry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Engine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Low</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Versioned result_type/result_subtype definitions. v1.0.0 bootstrap. New entries require explicit registration + version bump.</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8. Commercial / Merchandising</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Merchandising</w:t>
            </w:r>
          </w:p>
        </w:tc>
        <w:tc>
          <w:tcPr>
            <w:tcW w:type="dxa" w:w="11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Medium</w:t>
            </w:r>
          </w:p>
        </w:tc>
        <w:tc>
          <w:tcPr>
            <w:tcW w:type="dxa" w:w="4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Lister accounts, catalog, pricing, orders (LISTER_COHORT + INDIVIDUAL_PURCHASE), invoices, payment references.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9. KYC / Compliance Workflow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Post-purch ops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High</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Open verification cases, SDN screening state, jurisdiction determinations. Linked to vault by case ID only.</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10. Document Attestation Store</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Post-purch ops</w:t>
            </w:r>
          </w:p>
        </w:tc>
        <w:tc>
          <w:tcPr>
            <w:tcW w:type="dxa" w:w="11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Medium</w:t>
            </w:r>
          </w:p>
        </w:tc>
        <w:tc>
          <w:tcPr>
            <w:tcW w:type="dxa" w:w="4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F9 FIX: Attestation records and metadata ONLY — no document binary content. Access model per MRB Comments C1/C2: 2678 accesses but does not own the underlying database. offchain_authority_ref as opaque pointer to the authoritative record.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11. Customer Support / Case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Post-purch ops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Medium</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Tickets, communications, case state. Reads from credential-state mirror and audit log only.</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12. Analytics Feed Store</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Engine downstream</w:t>
            </w:r>
          </w:p>
        </w:tc>
        <w:tc>
          <w:tcPr>
            <w:tcW w:type="dxa" w:w="11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Low</w:t>
            </w:r>
          </w:p>
        </w:tc>
        <w:tc>
          <w:tcPr>
            <w:tcW w:type="dxa" w:w="4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Pseudonymized feed for TCA. No PII. No wallet address. No identity_binding. Downstream-only.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13. Billing &amp; Reconciliation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Merchandising + Engine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Medium</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Metered units, chain-cost ledger with gas markup, invoice lineage. Revenue recognized at Audit Final only.</w:t>
            </w:r>
          </w:p>
        </w:tc>
      </w:tr>
    </w:tbl>
    <w:p>
      <w:pPr>
        <w:spacing w:after="80" w:before="0"/>
      </w:pPr>
      <w:r>
        <w:t xml:space="preserve"/>
      </w:r>
    </w:p>
    <w:p>
      <w:pPr>
        <w:pStyle w:val="Heading1"/>
      </w:pPr>
      <w:r>
        <w:rPr>
          <w:rFonts w:ascii="Calibri" w:cs="Calibri" w:eastAsia="Calibri" w:hAnsi="Calibri"/>
          <w:b/>
          <w:bCs/>
          <w:color w:val="1F3864"/>
          <w:sz w:val="32"/>
          <w:szCs w:val="32"/>
        </w:rPr>
        <w:t xml:space="preserve">V. DUAL-RUN ADAPTER ACCEPTANCE CRITERIA</w:t>
      </w:r>
    </w:p>
    <w:p>
      <w:pPr>
        <w:pStyle w:val="ListParagraph"/>
        <w:numPr>
          <w:ilvl w:val="0"/>
          <w:numId w:val="2"/>
        </w:numPr>
        <w:spacing w:after="40" w:before="40"/>
      </w:pPr>
      <w:r>
        <w:rPr>
          <w:rFonts w:ascii="Calibri" w:cs="Calibri" w:eastAsia="Calibri" w:hAnsi="Calibri"/>
          <w:sz w:val="22"/>
          <w:szCs w:val="22"/>
        </w:rPr>
        <w:t xml:space="preserve">Minimum 50 events processed through both adapters (Polygon PoS Amoy + Base Sepolia)</w:t>
      </w:r>
    </w:p>
    <w:p>
      <w:pPr>
        <w:pStyle w:val="ListParagraph"/>
        <w:numPr>
          <w:ilvl w:val="0"/>
          <w:numId w:val="2"/>
        </w:numPr>
        <w:spacing w:after="40" w:before="40"/>
      </w:pPr>
      <w:r>
        <w:rPr>
          <w:rFonts w:ascii="Calibri" w:cs="Calibri" w:eastAsia="Calibri" w:hAnsi="Calibri"/>
          <w:sz w:val="22"/>
          <w:szCs w:val="22"/>
        </w:rPr>
        <w:t xml:space="preserve">Identical event_hash values on both chains — deterministic serialization required</w:t>
      </w:r>
    </w:p>
    <w:p>
      <w:pPr>
        <w:pStyle w:val="ListParagraph"/>
        <w:numPr>
          <w:ilvl w:val="0"/>
          <w:numId w:val="2"/>
        </w:numPr>
        <w:spacing w:after="40" w:before="40"/>
      </w:pPr>
      <w:r>
        <w:rPr>
          <w:rFonts w:ascii="Calibri" w:cs="Calibri" w:eastAsia="Calibri" w:hAnsi="Calibri"/>
          <w:sz w:val="22"/>
          <w:szCs w:val="22"/>
        </w:rPr>
        <w:t xml:space="preserve">All finality states covered: Observed → Soft Final (32 blocks) → Operational Final (64 blocks) → Audit Final (128 blocks)</w:t>
      </w:r>
    </w:p>
    <w:p>
      <w:pPr>
        <w:pStyle w:val="ListParagraph"/>
        <w:numPr>
          <w:ilvl w:val="0"/>
          <w:numId w:val="2"/>
        </w:numPr>
        <w:spacing w:after="40" w:before="40"/>
      </w:pPr>
      <w:r>
        <w:rPr>
          <w:rFonts w:ascii="Calibri" w:cs="Calibri" w:eastAsia="Calibri" w:hAnsi="Calibri"/>
          <w:sz w:val="22"/>
          <w:szCs w:val="22"/>
        </w:rPr>
        <w:t xml:space="preserve">Minimum 10 outcome references written to TCTOutcomeRegistry via SYNC_ROLE</w:t>
      </w:r>
    </w:p>
    <w:p>
      <w:pPr>
        <w:pStyle w:val="ListParagraph"/>
        <w:numPr>
          <w:ilvl w:val="0"/>
          <w:numId w:val="2"/>
        </w:numPr>
        <w:spacing w:after="40" w:before="40"/>
      </w:pPr>
      <w:r>
        <w:rPr>
          <w:rFonts w:ascii="Calibri" w:cs="Calibri" w:eastAsia="Calibri" w:hAnsi="Calibri"/>
          <w:sz w:val="22"/>
          <w:szCs w:val="22"/>
        </w:rPr>
        <w:t xml:space="preserve">Dual-run test report co-signed by Stan (TCM Lead) and Ganlin (TCN Lead) before Polygon PoS production deployment</w:t>
      </w:r>
    </w:p>
    <w:p>
      <w:pPr>
        <w:spacing w:after="80" w:before="0"/>
      </w:pPr>
      <w:r>
        <w:t xml:space="preserve"/>
      </w:r>
    </w:p>
    <w:p>
      <w:pPr>
        <w:pBdr>
          <w:top w:val="single" w:color="2E75B6" w:sz="4" w:space="1"/>
        </w:pBdr>
        <w:spacing w:after="0" w:before="240"/>
      </w:pPr>
      <w:r>
        <w:rPr>
          <w:rFonts w:ascii="Calibri" w:cs="Calibri" w:eastAsia="Calibri" w:hAnsi="Calibri"/>
          <w:i/>
          <w:iCs/>
          <w:color w:val="909090"/>
          <w:sz w:val="18"/>
          <w:szCs w:val="18"/>
        </w:rPr>
        <w:t xml:space="preserve">2678 Holdings LLC  ·  TokenCap Miner LLC  ·  TCM-ARCH-004 v3 — June 2026  ·  June 2026  ·  PRIVILEGED &amp;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10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2026-06-04T23:36:21.524Z</dcterms:created>
  <dcterms:modified xsi:type="dcterms:W3CDTF">2026-06-04T23:36:21.524Z</dcterms:modified>
</cp:coreProperties>
</file>

<file path=docProps/custom.xml><?xml version="1.0" encoding="utf-8"?>
<Properties xmlns="http://schemas.openxmlformats.org/officeDocument/2006/custom-properties" xmlns:vt="http://schemas.openxmlformats.org/officeDocument/2006/docPropsVTypes"/>
</file>