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2678 HOLDINGS LLC</w:t>
      </w:r>
    </w:p>
    <w:p>
      <w:pPr>
        <w:spacing w:after="0" w:before="4"/>
      </w:pPr>
      <w:r>
        <w:rPr>
          <w:rFonts w:ascii="Calibri" w:cs="Calibri" w:eastAsia="Calibri" w:hAnsi="Calibri"/>
          <w:b/>
          <w:bCs/>
          <w:color w:val="2E75B6"/>
          <w:sz w:val="36"/>
          <w:szCs w:val="36"/>
        </w:rPr>
        <w:t xml:space="preserve">TokenCap Miner LLC (TCM)</w:t>
      </w:r>
    </w:p>
    <w:p>
      <w:pPr>
        <w:spacing w:after="80" w:before="0"/>
      </w:pPr>
      <w:r>
        <w:t xml:space="preserve"/>
      </w:r>
    </w:p>
    <w:p>
      <w:pPr>
        <w:pBdr>
          <w:bottom w:val="single" w:color="2E75B6" w:sz="8" w:space="4"/>
        </w:pBdr>
        <w:spacing w:after="0" w:before="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Authentication API Specification — TCM-CRED-VERIFY-002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06060"/>
          <w:sz w:val="22"/>
          <w:szCs w:val="22"/>
        </w:rPr>
        <w:t xml:space="preserve">Revised v3 — F1: Stan confirmed as TCM Lead · Ganlin confirmed as TCN Lead · Tech Specs v2 Part X typo corrected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TCM-AUTH-API-005 v3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1.0 — June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Internal — Privileged &amp; Confidential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2678 Holdings LLC — Managing Member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Supersedes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TCM-AUTH-API-005 v2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API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TCM-CRED-VERIFY-002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Criticality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SLA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≥ 99.9% | p95 ≤ 150ms | RTO 15 min | RPO 5 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Schema co-sign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STAN (TCM Lead) + GANLIN (TCN Lead) — required before TCN codes middleware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Tech Specs v2 correction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Part X states 'TCM lead (Ganlin)' — this is a typo. Confirmed by MRB June 4, 2026: Stan = TCM Lead, Ganlin = TCN Lead.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909090"/>
          <w:sz w:val="18"/>
          <w:szCs w:val="18"/>
        </w:rPr>
        <w:t xml:space="preserve">PRIVILEGED &amp; CONFIDENTIAL  ·  INTERNAL USE ONLY  ·  2678 Holdings LLC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I. ENDPOINT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POST /auth/v1/validate-token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Authentication:  mTLS (TCN service certificate — no other caller permitted)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Rate limit:      1,000 requests per 5 minutes per caller IP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Transport:       HTTPS / TLS 1.3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Response source: credential_state_mirror DB read — NOT an RPC call to Polygon PoS</w:t>
      </w:r>
    </w:p>
    <w:p>
      <w:pPr>
        <w:spacing w:after="80" w:before="0"/>
      </w:pPr>
      <w:r>
        <w:t xml:space="preserve"/>
      </w:r>
    </w:p>
    <w:p>
      <w:pPr>
        <w:pBdr>
          <w:left w:val="single" w:color="2E75B6" w:sz="14" w:space="4"/>
        </w:pBdr>
        <w:shd w:fill="EEF4FB" w:val="clear"/>
        <w:spacing w:after="80" w:before="80"/>
        <w:ind w:left="240" w:right="240"/>
      </w:pPr>
      <w:r>
        <w:rPr>
          <w:rFonts w:ascii="Calibri" w:cs="Calibri" w:eastAsia="Calibri" w:hAnsi="Calibri"/>
          <w:i/>
          <w:iCs/>
          <w:color w:val="1a3a5c"/>
          <w:sz w:val="20"/>
          <w:szCs w:val="20"/>
        </w:rPr>
        <w:t xml:space="preserve">Latency target p95 ≤ 150ms is achievable because the Auth API reads from the credential_state_mirror (PostgreSQL). An RPC call to Polygon PoS introduces 50–500ms+ of variable latency. The mirror is the authoritative read model for application reads. The chain is the source of truth for audit.</w:t>
      </w:r>
    </w:p>
    <w:p>
      <w:pPr>
        <w:spacing w:after="80" w:before="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II. REQUEST SCHEMA (EXACT v1 — LOCKED)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{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"token_id": "string"   // Required. Example: "0x0001000000000001"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pBdr>
          <w:left w:val="single" w:color="C00000" w:sz="14" w:space="4"/>
        </w:pBdr>
        <w:shd w:fill="FFF0F0" w:val="clear"/>
        <w:spacing w:after="80" w:before="80"/>
        <w:ind w:left="240" w:right="24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No other fields. Any request with additional fields is rejected with 400 Bad Request.</w:t>
      </w:r>
    </w:p>
    <w:p>
      <w:pPr>
        <w:spacing w:after="80" w:before="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III. RESPONSE SCHEMA — HTTP 200 (EXACT v1 — LOCKED)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{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"status":            "ACTIVE" | "PENDING" | "SUSPENDED" |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                   "REVOKED" | "EXPIRED" | "RETIRED" | "NOT_FOUND",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"permission_tier":   "VIEWER" | "PARTICIPANT" | null,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"verified_at":       "ISO8601 timestamp" | null,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"network_id":        "string",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"jurisdiction_code": "string"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pBdr>
          <w:left w:val="single" w:color="C00000" w:sz="14" w:space="4"/>
        </w:pBdr>
        <w:shd w:fill="FFF0F0" w:val="clear"/>
        <w:spacing w:after="80" w:before="80"/>
        <w:ind w:left="240" w:right="24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NO identity data. NO PII. NO compliance detail. TCN receives only what it needs for an access decision.</w:t>
      </w:r>
    </w:p>
    <w:p>
      <w:pPr>
        <w:spacing w:after="80" w:before="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IV. STATUS ENUM — ALL 6 VALUES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400"/>
        <w:gridCol w:w="4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permission_tier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TCN access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VIEWER or PARTICIPANT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Grant at appropriate tier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VIEWER: no project_id embedded. PARTICIPANT: Gate 6 complete.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Deny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KYC in progress. Not yet activated.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SUSPENDED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Deny — terminate session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Reversible. TCN must not serve from cached status.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REVOKED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Deny permanently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Terminal. TCN must terminate session within session window.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EXPIRED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Deny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Renewable. Inform participant to renew.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RETIRED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Deny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Dormant. Not destroyed. Participant must complete fresh KYC for new project reactivation.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NOT_FOUND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Deny — HTTP 404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token_id not in registry.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V. ERROR RESPONSES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800"/>
        <w:gridCol w:w="39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TCN required behavior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404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TOKEN_NOT_FOUND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token_id not in registry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Deny. Log with token_id and timestamp.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401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INVALID_SERVICE_CREDENTIAL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mTLS failure or unrecognized caller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Escalate immediately. Do not retry.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429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RATE_LIMIT_EXCEEDED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1,000 req/5min exceeded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Exponential backoff with jitter. retry_after in response.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503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TCM_UNAVAILABLE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TCM service unavailable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FAIL CLOSED — deny ALL participant access immediately. No cached override. Non-negotiable.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VI. INTERCOMPANY AGREEMENT PREREQUISITE</w:t>
      </w:r>
    </w:p>
    <w:p>
      <w:pPr>
        <w:pBdr>
          <w:left w:val="single" w:color="C00000" w:sz="14" w:space="4"/>
        </w:pBdr>
        <w:shd w:fill="FFF0F0" w:val="clear"/>
        <w:spacing w:after="80" w:before="80"/>
        <w:ind w:left="240" w:right="24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API Policy §6.2 non-waivable. No live data exchange between TCM and TCN may commence until the TCM ↔ TCN intercompany data access agreement is fully executed. Sprint Day 12 dependency.</w:t>
      </w:r>
    </w:p>
    <w:p>
      <w:pPr>
        <w:spacing w:after="80" w:before="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VII. SLA AND PERFORMANCE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1200"/>
        <w:gridCol w:w="3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p95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p99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Auth API /auth/v1/validate-token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&lt; 50ms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≤ 150ms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≤ 300ms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DB read from credential_state_mirror. Not RPC.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SLA / Recovery metric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≥ 99.9% (8.7 hours/year allowed downtime)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RTO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≤ 15 minutes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RPO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≤ 5 minutes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Planned maintenance notice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48 hours advance to Ganlin (TCN Technology Lead)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mTLS cert rotation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Quarterly (90-day). 30-day expiry alert. 14-day overlap window.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Personnel departure rotation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All credentials rotated within 24 hours of departure or role change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Failover test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Annually — co-validated with Ganlin (TCN Technology Lead). Co-signed test report required.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top w:val="single" w:color="2E75B6" w:sz="4" w:space="1"/>
        </w:pBdr>
        <w:spacing w:after="0" w:before="240"/>
      </w:pPr>
      <w:r>
        <w:rPr>
          <w:rFonts w:ascii="Calibri" w:cs="Calibri" w:eastAsia="Calibri" w:hAnsi="Calibri"/>
          <w:i/>
          <w:iCs/>
          <w:color w:val="909090"/>
          <w:sz w:val="18"/>
          <w:szCs w:val="18"/>
        </w:rPr>
        <w:t xml:space="preserve">2678 Holdings LLC  ·  TokenCap Miner LLC  ·  TCM-AUTH-API-005 v3 — June 2026  ·  June 2026  ·  PRIVILEGED &amp;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1"/>
      </w:pBdr>
      <w:spacing w:after="100" w:before="28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2026-06-04T23:36:21.607Z</dcterms:created>
  <dcterms:modified xsi:type="dcterms:W3CDTF">2026-06-04T23:36:21.607Z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