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2678 HOLDINGS LLC</w:t>
      </w:r>
    </w:p>
    <w:p>
      <w:pPr>
        <w:spacing w:after="0" w:before="4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TokenCap Miner LLC (TCM)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Token Lifecycle State Machine Specification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06060"/>
          <w:sz w:val="22"/>
          <w:szCs w:val="22"/>
        </w:rPr>
        <w:t xml:space="preserve">Revised v3 — F7: TCTOutcomeRegistry upgrade model · F10: Seven timestamps corrected, source spec error noted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TCM-STATEMACHINE-006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1.0 —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Internal — Privileged &amp;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2678 Holdings LLC — Managing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TCM-STATEMACHINE-006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State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6: Pending | Active | Suspended | Revoked | Expired | Retired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Patent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TCM-TOKEN-STATE-005 — BLOCKED until Legal/Compliance written confirmation — Stan reviews first as patent-alignment owner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PRIVILEGED &amp; CONFIDENTIAL  ·  INTERNAL USE ONLY  ·  2678 Holdings LLC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I. TWO-CONTRACT ARCHITECTURE WITH UPGRADE MODELS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F7 FIX: Upgrade models specified per TCM Tech Specs v2 Part XII Open Item 5 recommendation.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Upgrade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TCTCredential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Mint, lifecycle state, identity binding, compliance status, RBAC. Nothing else.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NON-UPGRADEABLE — immutable. Security-critical. Credential records must be permanent.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ISSUER_ROLE, COMPLIANCE_ROLE, REVOCATION_ROLE_TCM, REVOCATION_ROLE_TCN, PAUSER_ROLE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TCTOutcomeRegistry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Outcome references: event_id, event_hash, contract_id, result_type, offchain_authority_ref, finalized flag.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UUPS proxy behind timelock. Reporting logic evolves; controlled upgrade path required. Timelock duration: Stan recommends before contract coding.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SYNC_ROLE only — never end users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II. SIX-STATE CREDENTIAL MACHINE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300"/>
        <w:gridCol w:w="1400"/>
        <w:gridCol w:w="4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isAuthorized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Reversible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Initial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Minted. identity_binding bound. KYC in progress. network_id recorded. Not authorized for TCN access.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KYC/AML verified. isAuthorized = true. Participant authenticates into TCN.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Suspended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Temporary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→ Active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 event or contract breach. Reversible.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Revoked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TERMINAL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FOREVER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Sanctions, fraud, program exit. isAuthorized = false permanently. Token not burned — audit continuity.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Time-based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(renewal)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expired_at reached. Renewable by ISSUER_ROLE.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Dormant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→ Pending (fresh KYC)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Workflow concluded. Token dormant — not destroyed. Fresh KYC required on reactivation for new project.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III. STATE TRANSITION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180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Reversible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ISSUER_ROLE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Project-lister mint instruction. identity_binding bound. network_id recorded.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ISSUER_ROLE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compliance_status = Verified (JPM KYC/AML cleared). isAuthorized = true.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Suspended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REVOCATION_ROLE_TCM or REVOCATION_ROLE_TCN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→ 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 event or contract breach.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Suspended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REVOCATION_ROLE_TCM or REVOCATION_ROLE_TCN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Underlying condition cleared.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Time-based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(renewal)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expired_at reached.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ISSUER_ROLE or WORKFLOW_ADMIN_ROLE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Yes → Pending (fresh KYC)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Workflow concluded for this participant. Token dormant.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Any non-Revoked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REVOCATION_ROLE_TCM or REVOCATION_ROLE_TCN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 — TERMINAL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Definitive sanctions, fraud, program exit. isAuthorized = false forever.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IV. CREDENTIAL RECORD — ON-CHAIN DATA FIELDS</w:t>
      </w:r>
    </w:p>
    <w:p>
      <w:pPr>
        <w:pBdr>
          <w:left w:val="single" w:color="2E75B6" w:sz="14" w:space="4"/>
        </w:pBdr>
        <w:shd w:fill="EEF4FB" w:val="clear"/>
        <w:spacing w:after="80" w:before="80"/>
        <w:ind w:left="240" w:right="240"/>
      </w:pPr>
      <w:r>
        <w:rPr>
          <w:rFonts w:ascii="Calibri" w:cs="Calibri" w:eastAsia="Calibri" w:hAnsi="Calibri"/>
          <w:i/>
          <w:iCs/>
          <w:color w:val="1a3a5c"/>
          <w:sz w:val="20"/>
          <w:szCs w:val="20"/>
        </w:rPr>
        <w:t xml:space="preserve">F10 FIX: Correct count is SEVEN timestamps, not six. TCM Tech Specs v2 Part III contains a count error — it states 'All six required in contract' but lists seven field names. Our documents correctly use seven. Engineers reading Tech Specs v2 directly will see the count discrepancy; the correct number is seven.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token_id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uint256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0x0001 base credential in v1. Per-class in future ranges.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network_id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bytes8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REQUIRED from first write. Multi-network rollout depends on this from day 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identity_binding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bytes32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SHA-256(canonical_identity_record + salt). Salt vault-resident. Never PII. Wallet-agnostic per ERC-4337 compatibility requirement.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enum(6)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Pending | Active | Suspended | Revoked | Expired | Retired — six values.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compliance_status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enum(4)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Verified | Pending | Failed | Restricted. Derived from JPM KYC/AML result.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jurisdiction_code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bytes4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ISO-style. Derived from KYC. Required from mint.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claims_version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uint32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Schema version for authorization context.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uint64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timestamp #1. Required even if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activated_at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uint64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timestamp #2. Required even if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uint64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timestamp #3. Required even if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suspended_at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uint64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timestamp #4. Required even if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revoked_at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uint64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timestamp #5. Required even if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expired_at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uint64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timestamp #6. Required even if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retired_at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uint64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 timestamp #7. Required even if zero. Added in v2 with RETIRED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audit_root_hash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bytes32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SHA-256 of canonical credential record + prior hash. Refreshed on every state change.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V. ERC-4337 COMPATIBILITY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Wallet-binding check must accept smart contract addresses via EIP-1271 isValidSignature — do not hard-code EOA assumptions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Wallet ownership challenge supports both EOA signatures (ecrecover) and ERC-4337 UserOperation signatures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identity_binding is wallet-agnostic — SHA-256 hash does not embed wallet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EIP-1271 is a supported verification method for smart contract wallets, not a gate condition in itself</w:t>
      </w:r>
    </w:p>
    <w:p>
      <w:pPr>
        <w:spacing w:after="80" w:before="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VI. MANDATORY PRE-PRODUCTION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Transfer hooks fuzz test: 1,000 random addresses attempting each transfer function, zero successful transfers = mandatory audit deliverable</w:t>
      </w:r>
    </w:p>
    <w:p>
      <w:pPr>
        <w:pBdr>
          <w:left w:val="single" w:color="C00000" w:sz="14" w:space="4"/>
        </w:pBdr>
        <w:shd w:fill="FFF0F0" w:val="clear"/>
        <w:spacing w:after="80" w:before="80"/>
        <w:ind w:left="240" w:right="24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Gas profiling test mandatory before production: mint cohort of 50 on Polygon PoS Amoy testnet. Record gas cost. Confirm 30% safety margin against current gas price. If safety margin fails, pause and reassess before mainnet deployment.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Cohort batch limit: maximum 50 tokens per transaction. Auto-chunk with idempotency key per token_id for larger cohorts.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Partial batch failure: service resumes from failed tx without re-minting completed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TCTOutcomeRegistry timelock duration: Stan to recommend before contract coding begins. Record in chain registry config.</w:t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4" w:space="1"/>
        </w:pBdr>
        <w:spacing w:after="0" w:before="240"/>
      </w:pPr>
      <w:r>
        <w:rPr>
          <w:rFonts w:ascii="Calibri" w:cs="Calibri" w:eastAsia="Calibri" w:hAnsi="Calibri"/>
          <w:i/>
          <w:iCs/>
          <w:color w:val="909090"/>
          <w:sz w:val="18"/>
          <w:szCs w:val="18"/>
        </w:rPr>
        <w:t xml:space="preserve">2678 Holdings LLC  ·  TokenCap Miner LLC  ·  TCM-STATEMACHINE-006 v3 — June 2026  ·  June 2026  ·  PRIVILEGED &amp;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0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2026-06-04T23:36:21.695Z</dcterms:created>
  <dcterms:modified xsi:type="dcterms:W3CDTF">2026-06-04T23:36:21.695Z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