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rPr>
          <w:rFonts w:ascii="Calibri" w:cs="Calibri" w:eastAsia="Calibri" w:hAnsi="Calibri"/>
          <w:b/>
          <w:bCs/>
          <w:color w:val="1F3864"/>
          <w:sz w:val="52"/>
          <w:szCs w:val="52"/>
        </w:rPr>
        <w:t xml:space="preserve">2678 HOLDINGS LLC</w:t>
      </w:r>
    </w:p>
    <w:p>
      <w:pPr>
        <w:spacing w:after="0" w:before="4"/>
      </w:pPr>
      <w:r>
        <w:rPr>
          <w:rFonts w:ascii="Calibri" w:cs="Calibri" w:eastAsia="Calibri" w:hAnsi="Calibri"/>
          <w:b/>
          <w:bCs/>
          <w:color w:val="2E75B6"/>
          <w:sz w:val="36"/>
          <w:szCs w:val="36"/>
        </w:rPr>
        <w:t xml:space="preserve">TokenCap Miner LLC (TCM)</w:t>
      </w:r>
    </w:p>
    <w:p>
      <w:pPr>
        <w:spacing w:after="80" w:before="0"/>
      </w:pPr>
      <w:r>
        <w:t xml:space="preserve"/>
      </w:r>
    </w:p>
    <w:p>
      <w:pPr>
        <w:pBdr>
          <w:bottom w:val="single" w:color="2E75B6" w:sz="8" w:space="4"/>
        </w:pBdr>
        <w:spacing w:after="0" w:before="0"/>
      </w:pPr>
      <w:r>
        <w:rPr>
          <w:rFonts w:ascii="Calibri" w:cs="Calibri" w:eastAsia="Calibri" w:hAnsi="Calibri"/>
          <w:b/>
          <w:bCs/>
          <w:color w:val="1a1a1a"/>
          <w:sz w:val="40"/>
          <w:szCs w:val="40"/>
        </w:rPr>
        <w:t xml:space="preserve">Data Governance &amp; PII Minimization Policy</w:t>
      </w:r>
    </w:p>
    <w:p>
      <w:pPr>
        <w:spacing w:after="80" w:before="0"/>
      </w:pPr>
      <w:r>
        <w:t xml:space="preserve"/>
      </w:r>
    </w:p>
    <w:p>
      <w:pPr>
        <w:spacing w:after="80" w:before="60"/>
      </w:pPr>
      <w:r>
        <w:rPr>
          <w:rFonts w:ascii="Calibri" w:cs="Calibri" w:eastAsia="Calibri" w:hAnsi="Calibri"/>
          <w:i/>
          <w:iCs/>
          <w:color w:val="606060"/>
          <w:sz w:val="22"/>
          <w:szCs w:val="22"/>
        </w:rPr>
        <w:t xml:space="preserve">Carried forward from v2 — no changes required from gap review</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Document ID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TCM-DATAGOV-007 v3</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Version</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1.0 — June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Classification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Internal — Privileged &amp; Confidential</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Owner</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2678 Holdings LLC — Managing Member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Supersedes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TCM-DATAGOV-007 v2</w:t>
            </w:r>
          </w:p>
        </w:tc>
      </w:tr>
      <w:tr>
        <w:tc>
          <w:tcPr>
            <w:tcW w:type="dxa" w:w="3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Retention minimum</w:t>
            </w:r>
          </w:p>
        </w:tc>
        <w:tc>
          <w:tcPr>
            <w:tcW w:type="dxa" w:w="636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7 years (Rule 17a-4)</w:t>
            </w:r>
          </w:p>
        </w:tc>
      </w:tr>
    </w:tbl>
    <w:p>
      <w:pPr>
        <w:spacing w:after="80" w:before="0"/>
      </w:pPr>
      <w:r>
        <w:t xml:space="preserve"/>
      </w:r>
    </w:p>
    <w:p>
      <w:pPr>
        <w:spacing w:after="80" w:before="60"/>
      </w:pPr>
      <w:r>
        <w:rPr>
          <w:rFonts w:ascii="Calibri" w:cs="Calibri" w:eastAsia="Calibri" w:hAnsi="Calibri"/>
          <w:i/>
          <w:iCs/>
          <w:color w:val="909090"/>
          <w:sz w:val="18"/>
          <w:szCs w:val="18"/>
        </w:rPr>
        <w:t xml:space="preserve">PRIVILEGED &amp; CONFIDENTIAL  ·  INTERNAL USE ONLY  ·  2678 Holdings LLC</w:t>
      </w:r>
    </w:p>
    <w:p>
      <w:r>
        <w:br w:type="page"/>
      </w:r>
    </w:p>
    <w:p>
      <w:pPr>
        <w:pStyle w:val="Heading1"/>
      </w:pPr>
      <w:r>
        <w:rPr>
          <w:rFonts w:ascii="Calibri" w:cs="Calibri" w:eastAsia="Calibri" w:hAnsi="Calibri"/>
          <w:b/>
          <w:bCs/>
          <w:color w:val="1F3864"/>
          <w:sz w:val="32"/>
          <w:szCs w:val="32"/>
        </w:rPr>
        <w:t xml:space="preserve">I. PII ISOLATION ARCHITECTURE</w:t>
      </w:r>
    </w:p>
    <w:p>
      <w:pPr>
        <w:pBdr>
          <w:left w:val="single" w:color="2E75B6" w:sz="14" w:space="4"/>
        </w:pBdr>
        <w:shd w:fill="EEF4FB" w:val="clear"/>
        <w:spacing w:after="80" w:before="80"/>
        <w:ind w:left="240" w:right="240"/>
      </w:pPr>
      <w:r>
        <w:rPr>
          <w:rFonts w:ascii="Calibri" w:cs="Calibri" w:eastAsia="Calibri" w:hAnsi="Calibri"/>
          <w:i/>
          <w:iCs/>
          <w:color w:val="1a3a5c"/>
          <w:sz w:val="20"/>
          <w:szCs w:val="20"/>
        </w:rPr>
        <w:t xml:space="preserve">PII isolation is structural, not procedural. The Identity Vault is its own database, on its own infrastructure, with its own key management and access policy. No other service shares its credentials. Other services see only salted hashes and opaque IDs.</w:t>
      </w:r>
    </w:p>
    <w:p>
      <w:pPr>
        <w:spacing w:after="80" w:before="0"/>
      </w:pPr>
      <w:r>
        <w:t xml:space="preserve"/>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Data tier</w:t>
            </w:r>
          </w:p>
        </w:tc>
        <w:tc>
          <w:tcPr>
            <w:tcW w:type="dxa" w:w="6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Rule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Identity Vault (isolated PostgreSQL instance)</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Raw KYC records, JPM verification results, government ID hashes, salt material. AES-256 at rest. Access: compliance function + legally required disclosures only. Never on Engine hot path.</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All other stores</w:t>
            </w:r>
          </w:p>
        </w:tc>
        <w:tc>
          <w:tcPr>
            <w:tcW w:type="dxa" w:w="6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identity_binding hash only — SHA-256(canonical_identity_record + salt). Salt vault-resident. Never PII. Wallet-agnostic.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Auth API (TCM-CRED-VERIFY-002)</w:t>
            </w:r>
          </w:p>
        </w:tc>
        <w:tc>
          <w:tcPr>
            <w:tcW w:type="dxa" w:w="6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Returns status and permission_tier only. No identity data, no compliance detail, no participant name. TCN receives only what it needs for an access decision.</w:t>
            </w:r>
          </w:p>
        </w:tc>
      </w:tr>
      <w:tr>
        <w:tc>
          <w:tcPr>
            <w:tcW w:type="dxa" w:w="3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Analytics Feed Store</w:t>
            </w:r>
          </w:p>
        </w:tc>
        <w:tc>
          <w:tcPr>
            <w:tcW w:type="dxa" w:w="62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pseudonym_id (UUID — not identity_binding). No PII. No wallet address. No identity_binding. Downstream-only. No write-back paths.</w:t>
            </w:r>
          </w:p>
        </w:tc>
      </w:tr>
    </w:tbl>
    <w:p>
      <w:pPr>
        <w:spacing w:after="80" w:before="0"/>
      </w:pPr>
      <w:r>
        <w:t xml:space="preserve"/>
      </w:r>
    </w:p>
    <w:p>
      <w:pPr>
        <w:pStyle w:val="Heading1"/>
      </w:pPr>
      <w:r>
        <w:rPr>
          <w:rFonts w:ascii="Calibri" w:cs="Calibri" w:eastAsia="Calibri" w:hAnsi="Calibri"/>
          <w:b/>
          <w:bCs/>
          <w:color w:val="1F3864"/>
          <w:sz w:val="32"/>
          <w:szCs w:val="32"/>
        </w:rPr>
        <w:t xml:space="preserve">II. RIGHT-TO-BE-FORGOTTEN MECHANISM</w:t>
      </w:r>
    </w:p>
    <w:p>
      <w:pPr>
        <w:pBdr>
          <w:left w:val="single" w:color="2E75B6" w:sz="14" w:space="4"/>
        </w:pBdr>
        <w:shd w:fill="EEF4FB" w:val="clear"/>
        <w:spacing w:after="80" w:before="80"/>
        <w:ind w:left="240" w:right="240"/>
      </w:pPr>
      <w:r>
        <w:rPr>
          <w:rFonts w:ascii="Calibri" w:cs="Calibri" w:eastAsia="Calibri" w:hAnsi="Calibri"/>
          <w:i/>
          <w:iCs/>
          <w:color w:val="1a3a5c"/>
          <w:sz w:val="20"/>
          <w:szCs w:val="20"/>
        </w:rPr>
        <w:t xml:space="preserve">Salt destruction is the RTBF mechanism. Salt destroyed → identity_binding becomes uninvertible. On-chain hash persists for audit continuity. KYC raw records deleted at vault layer.</w:t>
      </w:r>
    </w:p>
    <w:p>
      <w:pPr>
        <w:spacing w:after="80" w:before="0"/>
      </w:pPr>
      <w:r>
        <w:t xml:space="preserve"/>
      </w:r>
    </w:p>
    <w:p>
      <w:pPr>
        <w:pStyle w:val="ListParagraph"/>
        <w:numPr>
          <w:ilvl w:val="0"/>
          <w:numId w:val="2"/>
        </w:numPr>
        <w:spacing w:after="40" w:before="40"/>
      </w:pPr>
      <w:r>
        <w:rPr>
          <w:rFonts w:ascii="Calibri" w:cs="Calibri" w:eastAsia="Calibri" w:hAnsi="Calibri"/>
          <w:sz w:val="22"/>
          <w:szCs w:val="22"/>
        </w:rPr>
        <w:t xml:space="preserve">Salt must be vault-resident at all times. Never outside the Identity Vault.</w:t>
      </w:r>
    </w:p>
    <w:p>
      <w:pPr>
        <w:pStyle w:val="ListParagraph"/>
        <w:numPr>
          <w:ilvl w:val="0"/>
          <w:numId w:val="2"/>
        </w:numPr>
        <w:spacing w:after="40" w:before="40"/>
      </w:pPr>
      <w:r>
        <w:rPr>
          <w:rFonts w:ascii="Calibri" w:cs="Calibri" w:eastAsia="Calibri" w:hAnsi="Calibri"/>
          <w:sz w:val="22"/>
          <w:szCs w:val="22"/>
        </w:rPr>
        <w:t xml:space="preserve">Salt destruction = identity_binding becomes a dead-end hash for any external party</w:t>
      </w:r>
    </w:p>
    <w:p>
      <w:pPr>
        <w:pStyle w:val="ListParagraph"/>
        <w:numPr>
          <w:ilvl w:val="0"/>
          <w:numId w:val="2"/>
        </w:numPr>
        <w:spacing w:after="40" w:before="40"/>
      </w:pPr>
      <w:r>
        <w:rPr>
          <w:rFonts w:ascii="Calibri" w:cs="Calibri" w:eastAsia="Calibri" w:hAnsi="Calibri"/>
          <w:sz w:val="22"/>
          <w:szCs w:val="22"/>
        </w:rPr>
        <w:t xml:space="preserve">Credential-state mirror retains identity_binding hash for audit — this is appropriate and intended</w:t>
      </w:r>
    </w:p>
    <w:p>
      <w:pPr>
        <w:pStyle w:val="ListParagraph"/>
        <w:numPr>
          <w:ilvl w:val="0"/>
          <w:numId w:val="2"/>
        </w:numPr>
        <w:spacing w:after="40" w:before="40"/>
      </w:pPr>
      <w:r>
        <w:rPr>
          <w:rFonts w:ascii="Calibri" w:cs="Calibri" w:eastAsia="Calibri" w:hAnsi="Calibri"/>
          <w:sz w:val="22"/>
          <w:szCs w:val="22"/>
        </w:rPr>
        <w:t xml:space="preserve">KYC raw records deleted at vault layer on RTBF execution. On-chain hash persists on Polygon PoS — immutable for audit.</w:t>
      </w:r>
    </w:p>
    <w:p>
      <w:pPr>
        <w:spacing w:after="80" w:before="0"/>
      </w:pPr>
      <w:r>
        <w:t xml:space="preserve"/>
      </w:r>
    </w:p>
    <w:p>
      <w:pPr>
        <w:pStyle w:val="Heading1"/>
      </w:pPr>
      <w:r>
        <w:rPr>
          <w:rFonts w:ascii="Calibri" w:cs="Calibri" w:eastAsia="Calibri" w:hAnsi="Calibri"/>
          <w:b/>
          <w:bCs/>
          <w:color w:val="1F3864"/>
          <w:sz w:val="32"/>
          <w:szCs w:val="32"/>
        </w:rPr>
        <w:t xml:space="preserve">III. DOCUMENT ATTESTATION STORE</w:t>
      </w:r>
    </w:p>
    <w:p>
      <w:pPr>
        <w:pBdr>
          <w:left w:val="single" w:color="C00000" w:sz="14" w:space="4"/>
        </w:pBdr>
        <w:shd w:fill="FFF0F0" w:val="clear"/>
        <w:spacing w:after="80" w:before="80"/>
        <w:ind w:left="240" w:right="240"/>
      </w:pPr>
      <w:r>
        <w:rPr>
          <w:rFonts w:ascii="Calibri" w:cs="Calibri" w:eastAsia="Calibri" w:hAnsi="Calibri"/>
          <w:b/>
          <w:bCs/>
          <w:color w:val="C00000"/>
          <w:sz w:val="20"/>
          <w:szCs w:val="20"/>
        </w:rPr>
        <w:t xml:space="preserve">TCM holds structured attestation records and metadata ONLY — not document binary content. This is an access model per MRB Comments C1/C2. 2678 accesses the store but does not own or maintain the underlying database. offchain_authority_ref is used as an opaque pointer.</w:t>
      </w:r>
    </w:p>
    <w:p>
      <w:pPr>
        <w:spacing w:after="80" w:before="0"/>
      </w:pPr>
      <w:r>
        <w:t xml:space="preserve"/>
      </w:r>
    </w:p>
    <w:p>
      <w:pPr>
        <w:pStyle w:val="ListParagraph"/>
        <w:numPr>
          <w:ilvl w:val="0"/>
          <w:numId w:val="2"/>
        </w:numPr>
        <w:spacing w:after="40" w:before="40"/>
      </w:pPr>
      <w:r>
        <w:rPr>
          <w:rFonts w:ascii="Calibri" w:cs="Calibri" w:eastAsia="Calibri" w:hAnsi="Calibri"/>
          <w:sz w:val="22"/>
          <w:szCs w:val="22"/>
        </w:rPr>
        <w:t xml:space="preserve">No document binary content in any TCM store</w:t>
      </w:r>
    </w:p>
    <w:p>
      <w:pPr>
        <w:pStyle w:val="ListParagraph"/>
        <w:numPr>
          <w:ilvl w:val="0"/>
          <w:numId w:val="2"/>
        </w:numPr>
        <w:spacing w:after="40" w:before="40"/>
      </w:pPr>
      <w:r>
        <w:rPr>
          <w:rFonts w:ascii="Calibri" w:cs="Calibri" w:eastAsia="Calibri" w:hAnsi="Calibri"/>
          <w:sz w:val="22"/>
          <w:szCs w:val="22"/>
        </w:rPr>
        <w:t xml:space="preserve">TCM stores: attestation record ID, document hash, document type, attestation result, offchain_authority_ref</w:t>
      </w:r>
    </w:p>
    <w:p>
      <w:pPr>
        <w:pStyle w:val="ListParagraph"/>
        <w:numPr>
          <w:ilvl w:val="0"/>
          <w:numId w:val="2"/>
        </w:numPr>
        <w:spacing w:after="40" w:before="40"/>
      </w:pPr>
      <w:r>
        <w:rPr>
          <w:rFonts w:ascii="Calibri" w:cs="Calibri" w:eastAsia="Calibri" w:hAnsi="Calibri"/>
          <w:sz w:val="22"/>
          <w:szCs w:val="22"/>
        </w:rPr>
        <w:t xml:space="preserve">The underlying document database is operated by a separate entity — TCM holds the attestation, not the document</w:t>
      </w:r>
    </w:p>
    <w:p>
      <w:pPr>
        <w:pStyle w:val="ListParagraph"/>
        <w:numPr>
          <w:ilvl w:val="0"/>
          <w:numId w:val="2"/>
        </w:numPr>
        <w:spacing w:after="40" w:before="40"/>
      </w:pPr>
      <w:r>
        <w:rPr>
          <w:rFonts w:ascii="Calibri" w:cs="Calibri" w:eastAsia="Calibri" w:hAnsi="Calibri"/>
          <w:sz w:val="22"/>
          <w:szCs w:val="22"/>
        </w:rPr>
        <w:t xml:space="preserve">SOC-controlled access. Counsel review required before launch.</w:t>
      </w:r>
    </w:p>
    <w:p>
      <w:pPr>
        <w:spacing w:after="80" w:before="0"/>
      </w:pPr>
      <w:r>
        <w:t xml:space="preserve"/>
      </w:r>
    </w:p>
    <w:p>
      <w:pPr>
        <w:pStyle w:val="Heading1"/>
      </w:pPr>
      <w:r>
        <w:rPr>
          <w:rFonts w:ascii="Calibri" w:cs="Calibri" w:eastAsia="Calibri" w:hAnsi="Calibri"/>
          <w:b/>
          <w:bCs/>
          <w:color w:val="1F3864"/>
          <w:sz w:val="32"/>
          <w:szCs w:val="32"/>
        </w:rPr>
        <w:t xml:space="preserve">IV. ANALYTICS FEED SEPARATION</w:t>
      </w:r>
    </w:p>
    <w:p>
      <w:pPr>
        <w:pStyle w:val="ListParagraph"/>
        <w:numPr>
          <w:ilvl w:val="0"/>
          <w:numId w:val="2"/>
        </w:numPr>
        <w:spacing w:after="40" w:before="40"/>
      </w:pPr>
      <w:r>
        <w:rPr>
          <w:rFonts w:ascii="Calibri" w:cs="Calibri" w:eastAsia="Calibri" w:hAnsi="Calibri"/>
          <w:sz w:val="22"/>
          <w:szCs w:val="22"/>
        </w:rPr>
        <w:t xml:space="preserve">The Engine's hot operational stores are NOT the substrate for analytics queries</w:t>
      </w:r>
    </w:p>
    <w:p>
      <w:pPr>
        <w:pStyle w:val="ListParagraph"/>
        <w:numPr>
          <w:ilvl w:val="0"/>
          <w:numId w:val="2"/>
        </w:numPr>
        <w:spacing w:after="40" w:before="40"/>
      </w:pPr>
      <w:r>
        <w:rPr>
          <w:rFonts w:ascii="Calibri" w:cs="Calibri" w:eastAsia="Calibri" w:hAnsi="Calibri"/>
          <w:sz w:val="22"/>
          <w:szCs w:val="22"/>
        </w:rPr>
        <w:t xml:space="preserve">Approved, pseudonymized feed is materialized into the analytics feed store — downstream consumers query this, not the operational stores</w:t>
      </w:r>
    </w:p>
    <w:p>
      <w:pPr>
        <w:pStyle w:val="ListParagraph"/>
        <w:numPr>
          <w:ilvl w:val="0"/>
          <w:numId w:val="2"/>
        </w:numPr>
        <w:spacing w:after="40" w:before="40"/>
      </w:pPr>
      <w:r>
        <w:rPr>
          <w:rFonts w:ascii="Calibri" w:cs="Calibri" w:eastAsia="Calibri" w:hAnsi="Calibri"/>
          <w:sz w:val="22"/>
          <w:szCs w:val="22"/>
        </w:rPr>
        <w:t xml:space="preserve">Cross-traffic between operational stores and the analytics feed store is forbidden</w:t>
      </w:r>
    </w:p>
    <w:p>
      <w:pPr>
        <w:pBdr>
          <w:left w:val="single" w:color="C00000" w:sz="14" w:space="4"/>
        </w:pBdr>
        <w:shd w:fill="FFF0F0" w:val="clear"/>
        <w:spacing w:after="80" w:before="80"/>
        <w:ind w:left="240" w:right="240"/>
      </w:pPr>
      <w:r>
        <w:rPr>
          <w:rFonts w:ascii="Calibri" w:cs="Calibri" w:eastAsia="Calibri" w:hAnsi="Calibri"/>
          <w:b/>
          <w:bCs/>
          <w:color w:val="C00000"/>
          <w:sz w:val="20"/>
          <w:szCs w:val="20"/>
        </w:rPr>
        <w:t xml:space="preserve">Cross-workflow correlation indexes that re-identify users by aggregating their workflow participation are PROHIBITED. Per-workflow mapping only. Token Engine Staff Memo §8.3.</w:t>
      </w:r>
    </w:p>
    <w:p>
      <w:pPr>
        <w:spacing w:after="80" w:before="0"/>
      </w:pPr>
      <w:r>
        <w:t xml:space="preserve"/>
      </w:r>
    </w:p>
    <w:p>
      <w:pPr>
        <w:pStyle w:val="Heading1"/>
      </w:pPr>
      <w:r>
        <w:rPr>
          <w:rFonts w:ascii="Calibri" w:cs="Calibri" w:eastAsia="Calibri" w:hAnsi="Calibri"/>
          <w:b/>
          <w:bCs/>
          <w:color w:val="1F3864"/>
          <w:sz w:val="32"/>
          <w:szCs w:val="32"/>
        </w:rPr>
        <w:t xml:space="preserve">V. WHAT MUST NOT APPEAR OUTSIDE THE IDENTITY VAULT</w:t>
      </w:r>
    </w:p>
    <w:p>
      <w:pPr>
        <w:pBdr>
          <w:left w:val="single" w:color="C00000" w:sz="14" w:space="4"/>
        </w:pBdr>
        <w:shd w:fill="FFF0F0" w:val="clear"/>
        <w:spacing w:after="80" w:before="80"/>
        <w:ind w:left="240" w:right="240"/>
      </w:pPr>
      <w:r>
        <w:rPr>
          <w:rFonts w:ascii="Calibri" w:cs="Calibri" w:eastAsia="Calibri" w:hAnsi="Calibri"/>
          <w:b/>
          <w:bCs/>
          <w:color w:val="C00000"/>
          <w:sz w:val="20"/>
          <w:szCs w:val="20"/>
        </w:rPr>
        <w:t xml:space="preserve">Enforcement at code review and schema static analysis on every deployment.</w:t>
      </w:r>
    </w:p>
    <w:p>
      <w:pPr>
        <w:spacing w:after="80" w:before="0"/>
      </w:pPr>
      <w:r>
        <w:t xml:space="preserve"/>
      </w:r>
    </w:p>
    <w:p>
      <w:pPr>
        <w:pStyle w:val="ListParagraph"/>
        <w:numPr>
          <w:ilvl w:val="0"/>
          <w:numId w:val="2"/>
        </w:numPr>
        <w:spacing w:after="40" w:before="40"/>
      </w:pPr>
      <w:r>
        <w:rPr>
          <w:rFonts w:ascii="Calibri" w:cs="Calibri" w:eastAsia="Calibri" w:hAnsi="Calibri"/>
          <w:sz w:val="22"/>
          <w:szCs w:val="22"/>
        </w:rPr>
        <w:t xml:space="preserve">Raw UUIDs that map directly to identity</w:t>
      </w:r>
    </w:p>
    <w:p>
      <w:pPr>
        <w:pStyle w:val="ListParagraph"/>
        <w:numPr>
          <w:ilvl w:val="0"/>
          <w:numId w:val="2"/>
        </w:numPr>
        <w:spacing w:after="40" w:before="40"/>
      </w:pPr>
      <w:r>
        <w:rPr>
          <w:rFonts w:ascii="Calibri" w:cs="Calibri" w:eastAsia="Calibri" w:hAnsi="Calibri"/>
          <w:sz w:val="22"/>
          <w:szCs w:val="22"/>
        </w:rPr>
        <w:t xml:space="preserve">Plaintext wallet-to-identity mappings</w:t>
      </w:r>
    </w:p>
    <w:p>
      <w:pPr>
        <w:pStyle w:val="ListParagraph"/>
        <w:numPr>
          <w:ilvl w:val="0"/>
          <w:numId w:val="2"/>
        </w:numPr>
        <w:spacing w:after="40" w:before="40"/>
      </w:pPr>
      <w:r>
        <w:rPr>
          <w:rFonts w:ascii="Calibri" w:cs="Calibri" w:eastAsia="Calibri" w:hAnsi="Calibri"/>
          <w:sz w:val="22"/>
          <w:szCs w:val="22"/>
        </w:rPr>
        <w:t xml:space="preserve">Government IDs, addresses, names, KYC documents</w:t>
      </w:r>
    </w:p>
    <w:p>
      <w:pPr>
        <w:pStyle w:val="ListParagraph"/>
        <w:numPr>
          <w:ilvl w:val="0"/>
          <w:numId w:val="2"/>
        </w:numPr>
        <w:spacing w:after="40" w:before="40"/>
      </w:pPr>
      <w:r>
        <w:rPr>
          <w:rFonts w:ascii="Calibri" w:cs="Calibri" w:eastAsia="Calibri" w:hAnsi="Calibri"/>
          <w:sz w:val="22"/>
          <w:szCs w:val="22"/>
        </w:rPr>
        <w:t xml:space="preserve">Free-form metadata fields capable of carrying value-determining data — all metadata is enum-restricted</w:t>
      </w:r>
    </w:p>
    <w:p>
      <w:pPr>
        <w:pStyle w:val="ListParagraph"/>
        <w:numPr>
          <w:ilvl w:val="0"/>
          <w:numId w:val="2"/>
        </w:numPr>
        <w:spacing w:after="40" w:before="40"/>
      </w:pPr>
      <w:r>
        <w:rPr>
          <w:rFonts w:ascii="Calibri" w:cs="Calibri" w:eastAsia="Calibri" w:hAnsi="Calibri"/>
          <w:sz w:val="22"/>
          <w:szCs w:val="22"/>
        </w:rPr>
        <w:t xml:space="preserve">Calculated economic outcomes — Engine stores references only, not determined values</w:t>
      </w:r>
    </w:p>
    <w:p>
      <w:pPr>
        <w:pStyle w:val="ListParagraph"/>
        <w:numPr>
          <w:ilvl w:val="0"/>
          <w:numId w:val="2"/>
        </w:numPr>
        <w:spacing w:after="40" w:before="40"/>
      </w:pPr>
      <w:r>
        <w:rPr>
          <w:rFonts w:ascii="Calibri" w:cs="Calibri" w:eastAsia="Calibri" w:hAnsi="Calibri"/>
          <w:sz w:val="22"/>
          <w:szCs w:val="22"/>
        </w:rPr>
        <w:t xml:space="preserve">Cross-workflow correlation indexes that re-identify users by aggregating workflow participation</w:t>
      </w:r>
    </w:p>
    <w:p>
      <w:pPr>
        <w:spacing w:after="80" w:before="0"/>
      </w:pPr>
      <w:r>
        <w:t xml:space="preserve"/>
      </w:r>
    </w:p>
    <w:p>
      <w:pPr>
        <w:pStyle w:val="Heading1"/>
      </w:pPr>
      <w:r>
        <w:rPr>
          <w:rFonts w:ascii="Calibri" w:cs="Calibri" w:eastAsia="Calibri" w:hAnsi="Calibri"/>
          <w:b/>
          <w:bCs/>
          <w:color w:val="1F3864"/>
          <w:sz w:val="32"/>
          <w:szCs w:val="32"/>
        </w:rPr>
        <w:t xml:space="preserve">VI. DATA RETENTION SCHEDULE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6000"/>
      </w:tblGrid>
      <w:tr>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Store / record type</w:t>
            </w:r>
          </w:p>
        </w:tc>
        <w:tc>
          <w:tcPr>
            <w:tcW w:type="dxa" w:w="6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top"/>
          </w:tcPr>
          <w:p>
            <w:r>
              <w:rPr>
                <w:rFonts w:ascii="Calibri" w:cs="Calibri" w:eastAsia="Calibri" w:hAnsi="Calibri"/>
                <w:b/>
                <w:bCs/>
                <w:color w:val="FFFFFF"/>
                <w:sz w:val="20"/>
                <w:szCs w:val="20"/>
              </w:rPr>
              <w:t xml:space="preserve">Retention requirement</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Identity Vault (KYC records)</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Per KYC/AML regulatory minimum. Deletion = RTBF via salt destruction.</w:t>
            </w:r>
          </w:p>
        </w:tc>
      </w:tr>
      <w:tr>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Audit Log</w:t>
            </w:r>
          </w:p>
        </w:tc>
        <w:tc>
          <w:tcPr>
            <w:tcW w:type="dxa" w:w="6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Minimum 7 years (Rule 17a-4). Append-only — no deletion during retention window.</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KYC / Compliance Workflow</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Minimum 5 years.</w:t>
            </w:r>
          </w:p>
        </w:tc>
      </w:tr>
      <w:tr>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Credential-State Mirror</w:t>
            </w:r>
          </w:p>
        </w:tc>
        <w:tc>
          <w:tcPr>
            <w:tcW w:type="dxa" w:w="6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Indefinite — audit continuity.</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Outcome Reference Store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Indefinite — audit continuity.</w:t>
            </w:r>
          </w:p>
        </w:tc>
      </w:tr>
      <w:tr>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Commercial / Merchandising</w:t>
            </w:r>
          </w:p>
        </w:tc>
        <w:tc>
          <w:tcPr>
            <w:tcW w:type="dxa" w:w="6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7 years.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Billing &amp; Reconciliation</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7 years.</w:t>
            </w:r>
          </w:p>
        </w:tc>
      </w:tr>
      <w:tr>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Sync Pipeline State</w:t>
            </w:r>
          </w:p>
        </w:tc>
        <w:tc>
          <w:tcPr>
            <w:tcW w:type="dxa" w:w="6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Rolling 90-day cursor history + permanent idempotency index.</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Analytics Feed Store</w:t>
            </w:r>
          </w:p>
        </w:tc>
        <w:tc>
          <w:tcPr>
            <w:tcW w:type="dxa" w:w="6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Per analytics retention policy — define before analytics feed goes live.</w:t>
            </w:r>
          </w:p>
        </w:tc>
      </w:tr>
      <w:tr>
        <w:tc>
          <w:tcPr>
            <w:tcW w:type="dxa" w:w="34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Document Attestation Store</w:t>
            </w:r>
          </w:p>
        </w:tc>
        <w:tc>
          <w:tcPr>
            <w:tcW w:type="dxa" w:w="6000"/>
            <w:tcBorders>
              <w:top w:val="single" w:color="CCCCCC" w:sz="1"/>
              <w:left w:val="single" w:color="CCCCCC" w:sz="1"/>
              <w:bottom w:val="single" w:color="CCCCCC" w:sz="1"/>
              <w:right w:val="single" w:color="CCCCCC" w:sz="1"/>
            </w:tcBorders>
            <w:shd w:fill="F4F4F4" w:val="clear"/>
            <w:tcMar>
              <w:top w:type="dxa" w:w="80"/>
              <w:left w:type="dxa" w:w="120"/>
              <w:bottom w:type="dxa" w:w="80"/>
              <w:right w:type="dxa" w:w="120"/>
            </w:tcMar>
            <w:vAlign w:val="top"/>
          </w:tcPr>
          <w:p>
            <w:r>
              <w:rPr>
                <w:rFonts w:ascii="Calibri" w:cs="Calibri" w:eastAsia="Calibri" w:hAnsi="Calibri"/>
                <w:b/>
                <w:bCs/>
                <w:color w:val="000000"/>
                <w:sz w:val="20"/>
                <w:szCs w:val="20"/>
              </w:rPr>
              <w:t xml:space="preserve">Per document type and applicable regulatory requirement. Minimum 7 years for formation-related attestations.</w:t>
            </w:r>
          </w:p>
        </w:tc>
      </w:tr>
    </w:tbl>
    <w:p>
      <w:pPr>
        <w:spacing w:after="80" w:before="0"/>
      </w:pPr>
      <w:r>
        <w:t xml:space="preserve"/>
      </w:r>
    </w:p>
    <w:p>
      <w:pPr>
        <w:pBdr>
          <w:top w:val="single" w:color="2E75B6" w:sz="4" w:space="1"/>
        </w:pBdr>
        <w:spacing w:after="0" w:before="240"/>
      </w:pPr>
      <w:r>
        <w:rPr>
          <w:rFonts w:ascii="Calibri" w:cs="Calibri" w:eastAsia="Calibri" w:hAnsi="Calibri"/>
          <w:i/>
          <w:iCs/>
          <w:color w:val="909090"/>
          <w:sz w:val="18"/>
          <w:szCs w:val="18"/>
        </w:rPr>
        <w:t xml:space="preserve">2678 Holdings LLC  ·  TokenCap Miner LLC  ·  TCM-DATAGOV-007 v3 — June 2026  ·  June 2026  ·  PRIVILEGED &amp;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4" w:space="1"/>
      </w:pBdr>
      <w:spacing w:after="100" w:before="28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80" w:before="200"/>
      <w:outlineLvl w:val="1"/>
    </w:pPr>
    <w:rPr>
      <w:rFonts w:ascii="Calibri" w:cs="Calibri" w:eastAsia="Calibri" w:hAnsi="Calibri"/>
      <w:b/>
      <w:bCs/>
      <w:color w:val="2E75B6"/>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2026-06-04T23:36:21.788Z</dcterms:created>
  <dcterms:modified xsi:type="dcterms:W3CDTF">2026-06-04T23:36:21.788Z</dcterms:modified>
</cp:coreProperties>
</file>

<file path=docProps/custom.xml><?xml version="1.0" encoding="utf-8"?>
<Properties xmlns="http://schemas.openxmlformats.org/officeDocument/2006/custom-properties" xmlns:vt="http://schemas.openxmlformats.org/officeDocument/2006/docPropsVTypes"/>
</file>