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595959"/>
          <w:sz w:val="20"/>
          <w:szCs w:val="20"/>
        </w:rPr>
        <w:t xml:space="preserve">IMPLEMENTATION MEMORANDUM</w:t>
      </w:r>
    </w:p>
    <w:p>
      <w:pPr>
        <w:spacing w:after="80"/>
        <w:jc w:val="left"/>
      </w:pPr>
      <w:r>
        <w:rPr>
          <w:b/>
          <w:bCs/>
          <w:sz w:val="36"/>
          <w:szCs w:val="36"/>
        </w:rPr>
        <w:t xml:space="preserve">TokenCap Token (TCT) — Design, Creation, and Distribution</w:t>
      </w:r>
    </w:p>
    <w:p>
      <w:pPr>
        <w:spacing w:after="240"/>
        <w:jc w:val="left"/>
      </w:pPr>
      <w:r>
        <w:rPr>
          <w:i/>
          <w:iCs/>
          <w:color w:val="595959"/>
          <w:sz w:val="22"/>
          <w:szCs w:val="22"/>
        </w:rPr>
        <w:t xml:space="preserve">From identity-bound credential design through smart-contract deployment, issuance workflow, and operational distribution.</w:t>
      </w:r>
    </w:p>
    <w:p>
      <w:pPr>
        <w:pBdr>
          <w:bottom w:val="single" w:color="2E75B6" w:sz="6" w:space="1"/>
        </w:pBd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b/>
                <w:bCs/>
              </w:rPr>
              <w:t xml:space="preserve">Prepared for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2678 Holdings LLC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b/>
                <w:bCs/>
              </w:rPr>
              <w:t xml:space="preserve">Subject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Implementation plan for the TokenCap Token (TCT)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b/>
                <w:bCs/>
              </w:rPr>
              <w:t xml:space="preserve">Source artifacts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TCT Enterprise Architecture and Sync Protocol; Chain-Agnostic Abstraction Layer Spec; Provisional Patent Application (TCN/TCT layered architecture); Patent Figures Compendium</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b/>
                <w:bCs/>
              </w:rPr>
              <w:t xml:space="preserve">Architectural rule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TCT authorizes and reports; TCN executes; off-chain entities hold value, rights, and risk.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b/>
                <w:bCs/>
              </w:rPr>
              <w:t xml:space="preserve">Status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Implementation memo — internal planning baseline</w:t>
            </w:r>
          </w:p>
        </w:tc>
      </w:tr>
    </w:tbl>
    <w:p>
      <w:pPr>
        <w:spacing w:after="60"/>
      </w:pPr>
      <w:r>
        <w:t xml:space="preserve"/>
      </w:r>
    </w:p>
    <w:p>
      <w:pPr>
        <w:pStyle w:val="Heading1"/>
        <w:spacing w:after="160" w:before="320"/>
      </w:pPr>
      <w:r>
        <w:t xml:space="preserve">1. Executive summary</w:t>
      </w:r>
    </w:p>
    <w:p>
      <w:pPr>
        <w:spacing w:after="120" w:line="300"/>
      </w:pPr>
      <w:r>
        <w:t xml:space="preserve">This memo translates the project's three governing documents — the TCT Enterprise Architecture, the Chain-Agnostic Abstraction Layer specification, and the Provisional Patent Application — into a concrete implementation plan for the TokenCap Token (TCT). The output of that plan is a non-transferable, identity-bound, permissioned credential token that authenticates verified actors into TCN workflows and serves as the participant-facing surface for synchronized outcome reporting, while carrying no economic value, balances, or claims on assets.</w:t>
      </w:r>
    </w:p>
    <w:p>
      <w:pPr>
        <w:spacing w:after="120" w:line="300"/>
      </w:pPr>
      <w:r>
        <w:t xml:space="preserve">The plan is organized around five execution streams: (a) token design and the on-chain contract package, (b) the off-chain credential and identity plane operated by TCM, (c) the chain-agnostic abstraction layer that isolates TCT from any single network, (d) the synchronization and reporting pipeline that links TCN events to TCT outcome references, and (e) the issuance and distribution workflow by which TCTs reach approved participants. Each stream has named dependencies on the others, and the memo identifies which dependencies sit on the critical path.</w:t>
      </w:r>
    </w:p>
    <w:p>
      <w:pPr>
        <w:spacing w:after="120" w:line="300"/>
      </w:pPr>
      <w:r>
        <w:t xml:space="preserve">The most significant execution risks are not in the smart-contract code, which is small and well-bounded. They are concentrated in three places: the identity-to-wallet binding model that determines whether a wallet-anchored credential is even viable for the target user population; the finality-translation and synchronization service, which is the single largest source of correctness exposure across chains; and the legal characterization of TCT, where any drift from non-economic representational use would undermine both the regulatory posture and the patent strategy. The memo treats these three as the controlling risks and sequences the work accordingly.</w:t>
      </w:r>
    </w:p>
    <w:p>
      <w:pPr>
        <w:spacing w:after="60"/>
      </w:pPr>
      <w:r>
        <w:t xml:space="preserve"/>
      </w:r>
    </w:p>
    <w:p>
      <w:pPr>
        <w:pStyle w:val="Heading1"/>
        <w:spacing w:after="160" w:before="320"/>
      </w:pPr>
      <w:r>
        <w:t xml:space="preserve">2. Design objectives for TCT</w:t>
      </w:r>
    </w:p>
    <w:p>
      <w:pPr>
        <w:spacing w:after="120" w:line="300"/>
      </w:pPr>
      <w:r>
        <w:t xml:space="preserve">The token must satisfy six properties that are derived directly from the architecture documents and that drive every implementation decision below. None of these properties is negotiable in the first production release; relaxing any one of them would either collapse a layer boundary or invalidate a key claim in the provisional patent.</w:t>
      </w:r>
    </w:p>
    <w:p>
      <w:pPr>
        <w:pStyle w:val="ListParagraph"/>
        <w:numPr>
          <w:ilvl w:val="0"/>
          <w:numId w:val="2"/>
        </w:numPr>
        <w:spacing w:after="80" w:line="290"/>
      </w:pPr>
      <w:r>
        <w:rPr>
          <w:b/>
          <w:bCs/>
        </w:rPr>
        <w:t xml:space="preserve">Non-transferable. </w:t>
      </w:r>
      <w:r>
        <w:t xml:space="preserve">Transfer paths must be structurally blocked at the contract level, not merely disabled by policy. A credential that can be moved between wallets becomes a portable license, which destroys the identity binding and recreates the conflation problem the architecture is built to avoid.</w:t>
      </w:r>
    </w:p>
    <w:p>
      <w:pPr>
        <w:pStyle w:val="ListParagraph"/>
        <w:numPr>
          <w:ilvl w:val="0"/>
          <w:numId w:val="2"/>
        </w:numPr>
        <w:spacing w:after="80" w:line="290"/>
      </w:pPr>
      <w:r>
        <w:rPr>
          <w:b/>
          <w:bCs/>
        </w:rPr>
        <w:t xml:space="preserve">Identity-bound. </w:t>
      </w:r>
      <w:r>
        <w:t xml:space="preserve">Each TCT is permanently associated with a verified identity record held in TCM's segregated identity vault. Only a hash or pseudonym of that identity ever reaches chain.</w:t>
      </w:r>
    </w:p>
    <w:p>
      <w:pPr>
        <w:pStyle w:val="ListParagraph"/>
        <w:numPr>
          <w:ilvl w:val="0"/>
          <w:numId w:val="2"/>
        </w:numPr>
        <w:spacing w:after="80" w:line="290"/>
      </w:pPr>
      <w:r>
        <w:rPr>
          <w:b/>
          <w:bCs/>
        </w:rPr>
        <w:t xml:space="preserve">Permissioned. </w:t>
      </w:r>
      <w:r>
        <w:t xml:space="preserve">Mint, activation, suspension, revocation, and renewal are gated by TCM-controlled roles. There is no permissionless path to acquisition.</w:t>
      </w:r>
    </w:p>
    <w:p>
      <w:pPr>
        <w:pStyle w:val="ListParagraph"/>
        <w:numPr>
          <w:ilvl w:val="0"/>
          <w:numId w:val="2"/>
        </w:numPr>
        <w:spacing w:after="80" w:line="290"/>
      </w:pPr>
      <w:r>
        <w:rPr>
          <w:b/>
          <w:bCs/>
        </w:rPr>
        <w:t xml:space="preserve">Cryptographically verifiable. </w:t>
      </w:r>
      <w:r>
        <w:t xml:space="preserve">Authorization checks must be answerable from on-chain state alone (does the wallet hold the credential, is it active, is compliance verified) without recourse to off-chain calls during a workflow's hot path.</w:t>
      </w:r>
    </w:p>
    <w:p>
      <w:pPr>
        <w:pStyle w:val="ListParagraph"/>
        <w:numPr>
          <w:ilvl w:val="0"/>
          <w:numId w:val="2"/>
        </w:numPr>
        <w:spacing w:after="80" w:line="290"/>
      </w:pPr>
      <w:r>
        <w:rPr>
          <w:b/>
          <w:bCs/>
        </w:rPr>
        <w:t xml:space="preserve">Outcome-reporting capable. </w:t>
      </w:r>
      <w:r>
        <w:t xml:space="preserve">The TCT-anchored data model must support pointers to TCN execution outcomes — references only, never values — with a stable canonical event hash for idempotent synchronization.</w:t>
      </w:r>
    </w:p>
    <w:p>
      <w:pPr>
        <w:pStyle w:val="ListParagraph"/>
        <w:numPr>
          <w:ilvl w:val="0"/>
          <w:numId w:val="2"/>
        </w:numPr>
        <w:spacing w:after="80" w:line="290"/>
      </w:pPr>
      <w:r>
        <w:rPr>
          <w:b/>
          <w:bCs/>
        </w:rPr>
        <w:t xml:space="preserve">Non-value-bearing. </w:t>
      </w:r>
      <w:r>
        <w:t xml:space="preserve">No balances beyond the binary holds-credential / does-not-hold semantic, no payout logic, no redemption, no yield, no claim representation. This is enforced both by what is written into the contract and by what is deliberately omitted.</w:t>
      </w:r>
    </w:p>
    <w:p>
      <w:pPr>
        <w:spacing w:after="60"/>
      </w:pPr>
      <w:r>
        <w:t xml:space="preserve"/>
      </w:r>
    </w:p>
    <w:p>
      <w:pPr>
        <w:pStyle w:val="Heading1"/>
        <w:spacing w:after="160" w:before="320"/>
      </w:pPr>
      <w:r>
        <w:t xml:space="preserve">3. Token architecture and standard selection</w:t>
      </w:r>
    </w:p>
    <w:p>
      <w:pPr>
        <w:pStyle w:val="Heading2"/>
        <w:spacing w:after="120" w:before="240"/>
      </w:pPr>
      <w:r>
        <w:t xml:space="preserve">3.1 Standard: ERC-1155 with transfer hooks disabled</w:t>
      </w:r>
    </w:p>
    <w:p>
      <w:pPr>
        <w:spacing w:after="120" w:line="300"/>
      </w:pPr>
      <w:r>
        <w:t xml:space="preserve">The provisional patent intentionally describes the token in standard-agnostic terms (ERC-20, 721, 1155, 3643, 5192, 6551, EIP-712, DIDs, verifiable credentials) so that claim scope is preserved across implementations. For the first production release, the recommended standard is ERC-1155 with transfer hooks overridden to revert all transfers except mint and (optionally) burn. The reasoning:</w:t>
      </w:r>
    </w:p>
    <w:p>
      <w:pPr>
        <w:pStyle w:val="ListParagraph"/>
        <w:numPr>
          <w:ilvl w:val="0"/>
          <w:numId w:val="2"/>
        </w:numPr>
        <w:spacing w:after="80" w:line="290"/>
      </w:pPr>
      <w:r>
        <w:t xml:space="preserve">ERC-1155 supports a single contract holding multiple token IDs, which gives room for future credential classes (operator credentials, observer credentials, jurisdiction-specific credentials, test credentials) without redeploying the base contract.</w:t>
      </w:r>
    </w:p>
    <w:p>
      <w:pPr>
        <w:pStyle w:val="ListParagraph"/>
        <w:numPr>
          <w:ilvl w:val="0"/>
          <w:numId w:val="2"/>
        </w:numPr>
        <w:spacing w:after="80" w:line="290"/>
      </w:pPr>
      <w:r>
        <w:t xml:space="preserve">Mint and update operations are batchable, which materially affects gas economics if TCTs are issued in cohorts.</w:t>
      </w:r>
    </w:p>
    <w:p>
      <w:pPr>
        <w:pStyle w:val="ListParagraph"/>
        <w:numPr>
          <w:ilvl w:val="0"/>
          <w:numId w:val="2"/>
        </w:numPr>
        <w:spacing w:after="80" w:line="290"/>
      </w:pPr>
      <w:r>
        <w:t xml:space="preserve">Most existing wallets, indexers, and explorers handle ERC-1155 cleanly, which lowers the integration burden on the TCM portal and on third-party verifiers.</w:t>
      </w:r>
    </w:p>
    <w:p>
      <w:pPr>
        <w:pStyle w:val="ListParagraph"/>
        <w:numPr>
          <w:ilvl w:val="0"/>
          <w:numId w:val="2"/>
        </w:numPr>
        <w:spacing w:after="80" w:line="290"/>
      </w:pPr>
      <w:r>
        <w:t xml:space="preserve">Tooling for ERC-1155 with transfers disabled (sometimes called "soulbound 1155") is mature; ERC-5192 provides a complementary marker interface that explorers and aggregators recognize.</w:t>
      </w:r>
    </w:p>
    <w:p>
      <w:pPr>
        <w:spacing w:after="120" w:line="300"/>
      </w:pPr>
      <w:r>
        <w:t xml:space="preserve">Two alternatives were considered and deferred. ERC-721 with soulbound semantics is simpler but does not give the multi-class headroom. ERC-3643 (the permissioned-token standard used in regulated security-token deployments) is closer in spirit but is heavier than required given that TCT is explicitly non-economic; adopting it would invite the very securities framing the architecture is designed to avoid.</w:t>
      </w:r>
    </w:p>
    <w:p>
      <w:pPr>
        <w:pStyle w:val="Heading2"/>
        <w:spacing w:after="120" w:before="240"/>
      </w:pPr>
      <w:r>
        <w:t xml:space="preserve">3.2 Single token ID for the base credential</w:t>
      </w:r>
    </w:p>
    <w:p>
      <w:pPr>
        <w:spacing w:after="120" w:line="300"/>
      </w:pPr>
      <w:r>
        <w:t xml:space="preserve">In the first release every approved wallet holds exactly one unit of a single credential token ID, or zero units if not active. Authorization becomes a one-line on-chain check (balance ≥ 1 plus active status plus verified compliance), which is what the patent describes as the preferred embodiment. Additional token IDs can be added later for operator and observer roles without disturbing the base credential.</w:t>
      </w:r>
    </w:p>
    <w:p>
      <w:pPr>
        <w:pStyle w:val="Heading2"/>
        <w:spacing w:after="120" w:before="240"/>
      </w:pPr>
      <w:r>
        <w:t xml:space="preserve">3.3 Two-contract package: credential + outcome reference registry</w:t>
      </w:r>
    </w:p>
    <w:p>
      <w:pPr>
        <w:spacing w:after="120" w:line="300"/>
      </w:pPr>
      <w:r>
        <w:t xml:space="preserve">Following the patent's preferred embodiment, the on-chain footprint is split into two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Contract</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Purpose</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Why separated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TCTCredential</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Mint, lifecycle state, identity binding, compliance status, jurisdiction, role-based access control. Nothing else.</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Stays small, audit-stable, and rarely upgraded. Holds the data that is most security-sensitive.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TCTOutcomeRegistry</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Records outcome references written by the synchronization service: event ID, event hash, contract ID, off-chain authority ref, result type, timestamps, chain reference, finality flag.</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Reporting logic evolves faster than credential logic. Isolating it lets the registry be upgraded without touching the credential surface.</w:t>
            </w:r>
          </w:p>
        </w:tc>
      </w:tr>
    </w:tbl>
    <w:p>
      <w:pPr>
        <w:spacing w:after="60"/>
      </w:pPr>
      <w:r>
        <w:t xml:space="preserve"/>
      </w:r>
    </w:p>
    <w:p>
      <w:pPr>
        <w:spacing w:after="120" w:line="300"/>
      </w:pPr>
      <w:r>
        <w:t xml:space="preserve">The credential contract calls into the registry only for read paths during participant-view rendering. The registry's write path is gated by a dedicated SYNC_ROLE held by the synchronization service, never by end users.</w:t>
      </w:r>
    </w:p>
    <w:p>
      <w:pPr>
        <w:pStyle w:val="Heading2"/>
        <w:spacing w:after="120" w:before="240"/>
      </w:pPr>
      <w:r>
        <w:t xml:space="preserve">3.4 Network selection and chain-agnostic posture</w:t>
      </w:r>
    </w:p>
    <w:p>
      <w:pPr>
        <w:spacing w:after="120" w:line="300"/>
      </w:pPr>
      <w:r>
        <w:t xml:space="preserve">Per the abstraction layer spec, network choice is an implementation detail behind the adapter interface, not a foundational decision. The recommended sequencing is: deploy first to Polygon PoS for cost and ecosystem reasons, run the full canonical event pipeline against it, and validate the abstraction layer by running a parallel adapter against a second network (Base is the obvious candidate) before any production migration. Mainnet Ethereum is reserved as an anchoring layer for periodic merkle-root commitments, not as the day-to-day execution chain.</w:t>
      </w:r>
    </w:p>
    <w:p>
      <w:pPr>
        <w:spacing w:after="120" w:line="300"/>
      </w:pPr>
      <w:r>
        <w:t xml:space="preserve">Concretely, this means the TCT contracts are written to be deployable on any EVM-compatible chain, the chain registry is populated on day one with at least two network entries (one production, one staging-on-second-chain), and the canonical ledger pointer schema includes network_id from the first event written. Without that discipline, the system inherits Polygon's assumptions permanently and the abstraction layer becomes a label rather than an architecture.</w:t>
      </w:r>
    </w:p>
    <w:p>
      <w:pPr>
        <w:spacing w:after="60"/>
      </w:pPr>
      <w:r>
        <w:t xml:space="preserve"/>
      </w:r>
    </w:p>
    <w:p>
      <w:pPr>
        <w:pStyle w:val="Heading1"/>
        <w:spacing w:after="160" w:before="320"/>
      </w:pPr>
      <w:r>
        <w:t xml:space="preserve">4. On-chain data model</w:t>
      </w:r>
    </w:p>
    <w:p>
      <w:pPr>
        <w:spacing w:after="120" w:line="300"/>
      </w:pPr>
      <w:r>
        <w:t xml:space="preserve">The on-chain record is deliberately minimal. Anything sensitive lives in the TCM identity vault; anything economic lives off-chain in legal entities. The on-chain credential record holds only what is needed for authorization and for proving provenance during audit.</w:t>
      </w:r>
    </w:p>
    <w:p>
      <w:pPr>
        <w:pStyle w:val="Heading2"/>
        <w:spacing w:after="120" w:before="240"/>
      </w:pPr>
      <w:r>
        <w:t xml:space="preserve">4.1 Credential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Field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Type</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token_id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uint256</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Single base credential ID in v1; reserved range for future classes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identity_binding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bytes32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Hash of identity record; never raw UUID, never PII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status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enum</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Pending / Active / Suspended / Revoked / Expired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compliance_status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enum</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Verified / Pending / Failed / Restricted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jurisdiction_code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bytes4</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ISO-style code; drives policy routing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claims_version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uint32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Schema version for the authorization context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issued_at, activated_at, updated_at, revoked_at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uint64</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Audit timestamps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audit_root_hash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bytes32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Refreshed on every state change for tamper evidence</w:t>
            </w:r>
          </w:p>
        </w:tc>
      </w:tr>
    </w:tbl>
    <w:p>
      <w:pPr>
        <w:pStyle w:val="Heading2"/>
        <w:spacing w:after="120" w:before="240"/>
      </w:pPr>
      <w:r>
        <w:t xml:space="preserve">4.2 Outcome reference record</w:t>
      </w:r>
    </w:p>
    <w:p>
      <w:pPr>
        <w:spacing w:after="120" w:line="300"/>
      </w:pPr>
      <w:r>
        <w:t xml:space="preserve">Held in the registry, written only by SYNC_ROLE, and pointed to (not copied) from the participant view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Field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Purpose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event_id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Idempotency key; unique within network scope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event_hash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SHA-256 of canonical-serialized payload; integrity anchor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contract_id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Source TCN workflow contract family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result_type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Controlled vocabulary: allocation / vote / milestone / notice / exception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effective_at, synced_at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Business-effective time and ingest time, kept distinct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chain_ref</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 network_id, block, tx_hash, log_index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offchain_authority_ref</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Pointer outward to the legal record that controls interpretation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finalized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Boolean; true only after Audit Final state per the abstraction layer</w:t>
            </w:r>
          </w:p>
        </w:tc>
      </w:tr>
    </w:tbl>
    <w:p>
      <w:pPr>
        <w:pStyle w:val="Heading2"/>
        <w:spacing w:after="120" w:before="240"/>
      </w:pPr>
      <w:r>
        <w:t xml:space="preserve">4.3 What is deliberately not stored on-chain</w:t>
      </w:r>
    </w:p>
    <w:p>
      <w:pPr>
        <w:spacing w:after="120" w:line="300"/>
      </w:pPr>
      <w:r>
        <w:t xml:space="preserve">This list is as important as the field list above and should be enforced by code review and by static analysis on contract artifacts:</w:t>
      </w:r>
    </w:p>
    <w:p>
      <w:pPr>
        <w:pStyle w:val="ListParagraph"/>
        <w:numPr>
          <w:ilvl w:val="0"/>
          <w:numId w:val="2"/>
        </w:numPr>
        <w:spacing w:after="80" w:line="290"/>
      </w:pPr>
      <w:r>
        <w:t xml:space="preserve">Raw UUIDs, names, addresses, government IDs, KYC documents, sanctions screening results, or any direct identifier.</w:t>
      </w:r>
    </w:p>
    <w:p>
      <w:pPr>
        <w:pStyle w:val="ListParagraph"/>
        <w:numPr>
          <w:ilvl w:val="0"/>
          <w:numId w:val="2"/>
        </w:numPr>
        <w:spacing w:after="80" w:line="290"/>
      </w:pPr>
      <w:r>
        <w:t xml:space="preserve">Balances, payout amounts, redemption units, yield accruals, ownership percentages, or any field that could be read as an economic claim.</w:t>
      </w:r>
    </w:p>
    <w:p>
      <w:pPr>
        <w:pStyle w:val="ListParagraph"/>
        <w:numPr>
          <w:ilvl w:val="0"/>
          <w:numId w:val="2"/>
        </w:numPr>
        <w:spacing w:after="80" w:line="290"/>
      </w:pPr>
      <w:r>
        <w:t xml:space="preserve">Wallet-to-identity mappings in plaintext; only hash bindings appear on-chain, and the reverse mapping is held in TCM only.</w:t>
      </w:r>
    </w:p>
    <w:p>
      <w:pPr>
        <w:pStyle w:val="ListParagraph"/>
        <w:numPr>
          <w:ilvl w:val="0"/>
          <w:numId w:val="2"/>
        </w:numPr>
        <w:spacing w:after="80" w:line="290"/>
      </w:pPr>
      <w:r>
        <w:t xml:space="preserve">Free-form metadata that could later be repurposed to carry value-bearing fields. Metadata is restricted to a documented enum set.</w:t>
      </w:r>
    </w:p>
    <w:p>
      <w:pPr>
        <w:spacing w:after="60"/>
      </w:pPr>
      <w:r>
        <w:t xml:space="preserve"/>
      </w:r>
    </w:p>
    <w:p>
      <w:pPr>
        <w:pStyle w:val="Heading1"/>
        <w:spacing w:after="160" w:before="320"/>
      </w:pPr>
      <w:r>
        <w:t xml:space="preserve">5. Role-based access control</w:t>
      </w:r>
    </w:p>
    <w:p>
      <w:pPr>
        <w:spacing w:after="120" w:line="300"/>
      </w:pPr>
      <w:r>
        <w:t xml:space="preserve">Role separation is operational, not cosmetic. Each role corresponds to a distinct organizational function within TCM, and the keys for each role are held in separate signers (multi-sig in production). The roles below align with the patent's preferred embodiment.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80"/>
        <w:gridCol w:w="2280"/>
      </w:tblGrid>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Role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Authority</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Held by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DEFAULT_ADMIN_ROLE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Manages the role set itself; never used for routine operations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Governance multi-sig (3-of-5)</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ISSUER_ROLE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Mint and activate credentials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Onboarding service signer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COMPLIANCE_ROLE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Update compliance status, jurisdiction code, claims version</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Compliance service signer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REVOCATION_ROLE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Suspend, revoke, or expire credentials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Compliance / legal multi-sig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SYNC_ROLE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Write outcome references to the registry</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Synchronization service hot signer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PAUSER_ROLE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Emergency pause of mint and sync paths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Operations on-call multi-sig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URI_ROLE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Update non-sensitive metadata URI</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Engineering</w:t>
            </w:r>
          </w:p>
        </w:tc>
      </w:tr>
    </w:tbl>
    <w:p>
      <w:pPr>
        <w:spacing w:after="120" w:line="300"/>
      </w:pPr>
      <w:r>
        <w:t xml:space="preserve">Two operational rules accompany the role design. First, no single human controls more than one role's signer; key custody is segregated by function. Second, all role grants and revocations emit on-chain events and are mirrored into the off-chain audit log; a divergence between the two is a Sev-1 incident.</w:t>
      </w:r>
    </w:p>
    <w:p>
      <w:pPr>
        <w:spacing w:after="60"/>
      </w:pPr>
      <w:r>
        <w:t xml:space="preserve"/>
      </w:r>
    </w:p>
    <w:p>
      <w:pPr>
        <w:pStyle w:val="Heading1"/>
        <w:spacing w:after="160" w:before="320"/>
      </w:pPr>
      <w:r>
        <w:t xml:space="preserve">6. Token lifecycle and issuance flow</w:t>
      </w:r>
    </w:p>
    <w:p>
      <w:pPr>
        <w:pStyle w:val="Heading2"/>
        <w:spacing w:after="120" w:before="240"/>
      </w:pPr>
      <w:r>
        <w:t xml:space="preserve">6.1 State machine</w:t>
      </w:r>
    </w:p>
    <w:p>
      <w:pPr>
        <w:spacing w:after="120" w:line="300"/>
      </w:pPr>
      <w:r>
        <w:t xml:space="preserve">The lifecycle states are None, Pending, Active, Suspended, Revoked (terminal), and Expired, with an optional renewal path back to Active from Expired and an optional reactivation from Suspended. This is the state machine shown in FIG. 6 of the patent figures.</w:t>
      </w:r>
    </w:p>
    <w:p>
      <w:pPr>
        <w:pStyle w:val="ListParagraph"/>
        <w:numPr>
          <w:ilvl w:val="0"/>
          <w:numId w:val="2"/>
        </w:numPr>
        <w:spacing w:after="80" w:line="290"/>
      </w:pPr>
      <w:r>
        <w:rPr>
          <w:b/>
          <w:bCs/>
        </w:rPr>
        <w:t xml:space="preserve">None → Pending: </w:t>
      </w:r>
      <w:r>
        <w:t xml:space="preserve">ISSUER_ROLE mints; identity hash is bound; compliance is still Pending.</w:t>
      </w:r>
    </w:p>
    <w:p>
      <w:pPr>
        <w:pStyle w:val="ListParagraph"/>
        <w:numPr>
          <w:ilvl w:val="0"/>
          <w:numId w:val="2"/>
        </w:numPr>
        <w:spacing w:after="80" w:line="290"/>
      </w:pPr>
      <w:r>
        <w:rPr>
          <w:b/>
          <w:bCs/>
        </w:rPr>
        <w:t xml:space="preserve">Pending → Active: </w:t>
      </w:r>
      <w:r>
        <w:t xml:space="preserve">Compliance check passes (Verified); ISSUER_ROLE activates; isAuthorized becomes true.</w:t>
      </w:r>
    </w:p>
    <w:p>
      <w:pPr>
        <w:pStyle w:val="ListParagraph"/>
        <w:numPr>
          <w:ilvl w:val="0"/>
          <w:numId w:val="2"/>
        </w:numPr>
        <w:spacing w:after="80" w:line="290"/>
      </w:pPr>
      <w:r>
        <w:rPr>
          <w:b/>
          <w:bCs/>
        </w:rPr>
        <w:t xml:space="preserve">Active → Suspended: </w:t>
      </w:r>
      <w:r>
        <w:t xml:space="preserve">REVOCATION_ROLE suspends, typically driven by a compliance status downgrade or a risk signal from TCA.</w:t>
      </w:r>
    </w:p>
    <w:p>
      <w:pPr>
        <w:pStyle w:val="ListParagraph"/>
        <w:numPr>
          <w:ilvl w:val="0"/>
          <w:numId w:val="2"/>
        </w:numPr>
        <w:spacing w:after="80" w:line="290"/>
      </w:pPr>
      <w:r>
        <w:rPr>
          <w:b/>
          <w:bCs/>
        </w:rPr>
        <w:t xml:space="preserve">Suspended → Active: </w:t>
      </w:r>
      <w:r>
        <w:t xml:space="preserve">Optional reactivation when underlying condition clears.</w:t>
      </w:r>
    </w:p>
    <w:p>
      <w:pPr>
        <w:pStyle w:val="ListParagraph"/>
        <w:numPr>
          <w:ilvl w:val="0"/>
          <w:numId w:val="2"/>
        </w:numPr>
        <w:spacing w:after="80" w:line="290"/>
      </w:pPr>
      <w:r>
        <w:rPr>
          <w:b/>
          <w:bCs/>
        </w:rPr>
        <w:t xml:space="preserve">Any state → Revoked: </w:t>
      </w:r>
      <w:r>
        <w:t xml:space="preserve">Terminal; the underlying token is not burned (for audit continuity), but isAuthorized is false forever.</w:t>
      </w:r>
    </w:p>
    <w:p>
      <w:pPr>
        <w:pStyle w:val="ListParagraph"/>
        <w:numPr>
          <w:ilvl w:val="0"/>
          <w:numId w:val="2"/>
        </w:numPr>
        <w:spacing w:after="80" w:line="290"/>
      </w:pPr>
      <w:r>
        <w:rPr>
          <w:b/>
          <w:bCs/>
        </w:rPr>
        <w:t xml:space="preserve">Active → Expired: </w:t>
      </w:r>
      <w:r>
        <w:t xml:space="preserve">Triggered by time-based policy; renewable by ISSUER_ROLE.</w:t>
      </w:r>
    </w:p>
    <w:p>
      <w:pPr>
        <w:pStyle w:val="Heading2"/>
        <w:spacing w:after="120" w:before="240"/>
      </w:pPr>
      <w:r>
        <w:t xml:space="preserve">6.2 Issuance flow end-to-end</w:t>
      </w:r>
    </w:p>
    <w:p>
      <w:pPr>
        <w:pStyle w:val="ListParagraph"/>
        <w:numPr>
          <w:ilvl w:val="0"/>
          <w:numId w:val="3"/>
        </w:numPr>
        <w:spacing w:after="80" w:line="290"/>
      </w:pPr>
      <w:r>
        <w:t xml:space="preserve">Prospective participant submits identity through the TCM onboarding portal.</w:t>
      </w:r>
    </w:p>
    <w:p>
      <w:pPr>
        <w:pStyle w:val="ListParagraph"/>
        <w:numPr>
          <w:ilvl w:val="0"/>
          <w:numId w:val="3"/>
        </w:numPr>
        <w:spacing w:after="80" w:line="290"/>
      </w:pPr>
      <w:r>
        <w:t xml:space="preserve">TCM runs KYC/AML and sanctions screening; produces a Verified or Failed/Restricted result and a jurisdiction code.</w:t>
      </w:r>
    </w:p>
    <w:p>
      <w:pPr>
        <w:pStyle w:val="ListParagraph"/>
        <w:numPr>
          <w:ilvl w:val="0"/>
          <w:numId w:val="3"/>
        </w:numPr>
        <w:spacing w:after="80" w:line="290"/>
      </w:pPr>
      <w:r>
        <w:t xml:space="preserve">On Verified, TCM computes identity_binding = hash(canonical_identity_record + salt) and resolves the participant's wallet address (see §7 on the binding model).</w:t>
      </w:r>
    </w:p>
    <w:p>
      <w:pPr>
        <w:pStyle w:val="ListParagraph"/>
        <w:numPr>
          <w:ilvl w:val="0"/>
          <w:numId w:val="3"/>
        </w:numPr>
        <w:spacing w:after="80" w:line="290"/>
      </w:pPr>
      <w:r>
        <w:t xml:space="preserve">ISSUER_ROLE submits a mint transaction to TCTCredential with (wallet, identity_binding, jurisdiction, metadata_uri). Contract enforces that the wallet does not already hold a credential and that the identity_binding is not already bound.</w:t>
      </w:r>
    </w:p>
    <w:p>
      <w:pPr>
        <w:pStyle w:val="ListParagraph"/>
        <w:numPr>
          <w:ilvl w:val="0"/>
          <w:numId w:val="3"/>
        </w:numPr>
        <w:spacing w:after="80" w:line="290"/>
      </w:pPr>
      <w:r>
        <w:t xml:space="preserve">Mint emits CredentialMinted; status is Pending.</w:t>
      </w:r>
    </w:p>
    <w:p>
      <w:pPr>
        <w:pStyle w:val="ListParagraph"/>
        <w:numPr>
          <w:ilvl w:val="0"/>
          <w:numId w:val="3"/>
        </w:numPr>
        <w:spacing w:after="80" w:line="290"/>
      </w:pPr>
      <w:r>
        <w:t xml:space="preserve">ISSUER_ROLE submits an activate transaction. Contract checks compliance_status == Verified, sets status to Active, emits CredentialActivated.</w:t>
      </w:r>
    </w:p>
    <w:p>
      <w:pPr>
        <w:pStyle w:val="ListParagraph"/>
        <w:numPr>
          <w:ilvl w:val="0"/>
          <w:numId w:val="3"/>
        </w:numPr>
        <w:spacing w:after="80" w:line="290"/>
      </w:pPr>
      <w:r>
        <w:t xml:space="preserve">TCM reflects the on-chain state in its credential record, refreshes audit_root_hash, and notifies the participant that their TCT is active.</w:t>
      </w:r>
    </w:p>
    <w:p>
      <w:pPr>
        <w:spacing w:after="120" w:line="300"/>
      </w:pPr>
      <w:r>
        <w:t xml:space="preserve">Suspension, revocation, and expiry follow the same write-to-chain-then-mirror-off-chain pattern, with the appropriate role on each call.</w:t>
      </w:r>
    </w:p>
    <w:p>
      <w:pPr>
        <w:spacing w:after="60"/>
      </w:pPr>
      <w:r>
        <w:t xml:space="preserve"/>
      </w:r>
    </w:p>
    <w:p>
      <w:pPr>
        <w:pStyle w:val="Heading1"/>
        <w:spacing w:after="160" w:before="320"/>
      </w:pPr>
      <w:r>
        <w:t xml:space="preserve">7. Identity-to-wallet binding model</w:t>
      </w:r>
    </w:p>
    <w:p>
      <w:pPr>
        <w:spacing w:after="120" w:line="300"/>
      </w:pPr>
      <w:r>
        <w:t xml:space="preserve">This is the single highest-leverage decision in the implementation, and it is mostly an off-chain decision. The on-chain contract treats the wallet as a given; how the wallet becomes the participant's wallet determines the entire user experience and the entire compliance posture.</w:t>
      </w:r>
    </w:p>
    <w:p>
      <w:pPr>
        <w:pStyle w:val="Heading2"/>
        <w:spacing w:after="120" w:before="240"/>
      </w:pPr>
      <w:r>
        <w:t xml:space="preserve">7.1 Three viable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Model</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How the wallet is established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Tradeoff</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User-controlled EOA</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Participant brings or creates their own externally-owned account; signs an ownership challenge during onboarding to bind it.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Cleanest from a self-custody and patent-claim standpoint; highest friction for non-crypto-native users; key loss equals credential loss until reissue.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Custodial wallet provisioned by TCM</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TCM creates and holds the participant's wallet under an MPC or HSM scheme; participant authenticates through TCM and TCM signs.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Lowest friction; requires TCM to operate a regulated custody function and creates a meaningful operational risk surface; closer to a hosted-credential model.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Smart-contract wallet via ERC-4337 with TCM as a co-signer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Participant gets a smart wallet whose owner key they control, with TCM holding a co-signer for recovery and revocation.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Best long-term posture: self-custodial in normal operation, recoverable on key loss, supports session keys for agent-mediated participation per Family F of the patent. Highest engineering cost for v1.</w:t>
            </w:r>
          </w:p>
        </w:tc>
      </w:tr>
    </w:tbl>
    <w:p>
      <w:pPr>
        <w:pStyle w:val="Heading2"/>
        <w:spacing w:after="120" w:before="240"/>
      </w:pPr>
      <w:r>
        <w:t xml:space="preserve">7.2 Recommendation</w:t>
      </w:r>
    </w:p>
    <w:p>
      <w:pPr>
        <w:spacing w:after="120" w:line="300"/>
      </w:pPr>
      <w:r>
        <w:t xml:space="preserve">Ship v1 on the user-controlled EOA model with a clean upgrade path to ERC-4337 smart accounts in v2. Avoid the custodial model unless and until the regulatory analysis specifically calls for it; the operational cost and the partial collapse of the identity / execution boundary are not worth the friction reduction at this stage. The smart-account upgrade should be planned in v1 — choosing an ERC-1155 base contract preserves that flexibility because credentials are addressed by holder, not by sub-account.</w:t>
      </w:r>
    </w:p>
    <w:p>
      <w:pPr>
        <w:pStyle w:val="Heading2"/>
        <w:spacing w:after="120" w:before="240"/>
      </w:pPr>
      <w:r>
        <w:t xml:space="preserve">7.3 Re-binding and key recovery</w:t>
      </w:r>
    </w:p>
    <w:p>
      <w:pPr>
        <w:spacing w:after="120" w:line="300"/>
      </w:pPr>
      <w:r>
        <w:t xml:space="preserve">Even with EOAs, the system needs a documented re-binding flow for key loss. The flow is: (i) revoke the existing credential through REVOCATION_ROLE; (ii) require a fresh identity attestation step in TCM (not just a password reset, because the wallet is the credential anchor); (iii) issue a new credential to the new wallet, carrying the same identity_binding via a re-binding event recorded in the audit log. The on-chain history shows both credentials and the linkage; nothing is silently rewritten.</w:t>
      </w:r>
    </w:p>
    <w:p>
      <w:pPr>
        <w:spacing w:after="60"/>
      </w:pPr>
      <w:r>
        <w:t xml:space="preserve"/>
      </w:r>
    </w:p>
    <w:p>
      <w:pPr>
        <w:pStyle w:val="Heading1"/>
        <w:spacing w:after="160" w:before="320"/>
      </w:pPr>
      <w:r>
        <w:t xml:space="preserve">8. Synchronization pipeline (TCN → TCT)</w:t>
      </w:r>
    </w:p>
    <w:p>
      <w:pPr>
        <w:spacing w:after="120" w:line="300"/>
      </w:pPr>
      <w:r>
        <w:t xml:space="preserve">The synchronization layer is where most of the correctness work lives. The contracts are small; the pipeline is not. The pipeline is what proves that an outcome reference written against a TCT is the same outcome the TCN contract emitted, and that it survives reorgs, retries, and chain migration.</w:t>
      </w:r>
    </w:p>
    <w:p>
      <w:pPr>
        <w:pStyle w:val="Heading2"/>
        <w:spacing w:after="120" w:before="240"/>
      </w:pPr>
      <w:r>
        <w:t xml:space="preserve">8.1 Pipeline stages</w:t>
      </w:r>
    </w:p>
    <w:p>
      <w:pPr>
        <w:pStyle w:val="ListParagraph"/>
        <w:numPr>
          <w:ilvl w:val="0"/>
          <w:numId w:val="3"/>
        </w:numPr>
        <w:spacing w:after="80" w:line="290"/>
      </w:pPr>
      <w:r>
        <w:t xml:space="preserve">TCN contract emits a normalized outcome event with the full canonical payload.</w:t>
      </w:r>
    </w:p>
    <w:p>
      <w:pPr>
        <w:pStyle w:val="ListParagraph"/>
        <w:numPr>
          <w:ilvl w:val="0"/>
          <w:numId w:val="3"/>
        </w:numPr>
        <w:spacing w:after="80" w:line="290"/>
      </w:pPr>
      <w:r>
        <w:t xml:space="preserve">Network adapter reads the event from the active chain through the abstraction layer; raw chain semantics are translated into a canonical event record.</w:t>
      </w:r>
    </w:p>
    <w:p>
      <w:pPr>
        <w:pStyle w:val="ListParagraph"/>
        <w:numPr>
          <w:ilvl w:val="0"/>
          <w:numId w:val="3"/>
        </w:numPr>
        <w:spacing w:after="80" w:line="290"/>
      </w:pPr>
      <w:r>
        <w:t xml:space="preserve">Finality translation service holds the event in Observed or Soft Final state, refusing to promote it until the chain-specific Audit Final threshold is met (defined per network in the chain registry).</w:t>
      </w:r>
    </w:p>
    <w:p>
      <w:pPr>
        <w:pStyle w:val="ListParagraph"/>
        <w:numPr>
          <w:ilvl w:val="0"/>
          <w:numId w:val="3"/>
        </w:numPr>
        <w:spacing w:after="80" w:line="290"/>
      </w:pPr>
      <w:r>
        <w:t xml:space="preserve">Canonical event normalizer applies a deterministic serialization, computes event_hash, and rejects malformed records before they reach the registry.</w:t>
      </w:r>
    </w:p>
    <w:p>
      <w:pPr>
        <w:pStyle w:val="ListParagraph"/>
        <w:numPr>
          <w:ilvl w:val="0"/>
          <w:numId w:val="3"/>
        </w:numPr>
        <w:spacing w:after="80" w:line="290"/>
      </w:pPr>
      <w:r>
        <w:t xml:space="preserve">Outcome sync gateway performs the idempotency check on (event_id, event_hash), maps execution-layer pseudonyms to credential-layer participant IDs, and calls TCTOutcomeRegistry under SYNC_ROLE.</w:t>
      </w:r>
    </w:p>
    <w:p>
      <w:pPr>
        <w:pStyle w:val="ListParagraph"/>
        <w:numPr>
          <w:ilvl w:val="0"/>
          <w:numId w:val="3"/>
        </w:numPr>
        <w:spacing w:after="80" w:line="290"/>
      </w:pPr>
      <w:r>
        <w:t xml:space="preserve">TCM updates its mirror of the credential record, refreshes audit_root_hash and last_sync_at, and triggers the participant view refresh.</w:t>
      </w:r>
    </w:p>
    <w:p>
      <w:pPr>
        <w:pStyle w:val="ListParagraph"/>
        <w:numPr>
          <w:ilvl w:val="0"/>
          <w:numId w:val="3"/>
        </w:numPr>
        <w:spacing w:after="80" w:line="290"/>
      </w:pPr>
      <w:r>
        <w:t xml:space="preserve">TCA receives the approved, pseudonymized feed for analytics.</w:t>
      </w:r>
    </w:p>
    <w:p>
      <w:pPr>
        <w:pStyle w:val="Heading2"/>
        <w:spacing w:after="120" w:before="240"/>
      </w:pPr>
      <w:r>
        <w:t xml:space="preserve">8.2 Finality state machine</w:t>
      </w:r>
    </w:p>
    <w:p>
      <w:pPr>
        <w:spacing w:after="120" w:line="300"/>
      </w:pPr>
      <w:r>
        <w:t xml:space="preserve">The five-state model from the abstraction layer is enforced literally: Observed → Soft Final → Operational Final → Audit Final, with Superseded/Reversed as a side branch. Only Audit Final events become permanent outcome references. Soft and Operational Final events may surface in participant views as marked provisional, but never with the finalized flag set.</w:t>
      </w:r>
    </w:p>
    <w:p>
      <w:pPr>
        <w:pStyle w:val="Heading2"/>
        <w:spacing w:after="120" w:before="240"/>
      </w:pPr>
      <w:r>
        <w:t xml:space="preserve">8.3 Failure modes and required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Failure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Required handling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Reorg before Audit Final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Hold the event provisional; do not write to the registry; if the event is replaced post-reorg, the original is recorded as Reversed and the replacement enters as a fresh canonical event.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Duplicate delivery of same event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Idempotency key (event_id + event_hash) prevents double-write; a duplicate is logged but is not an exception.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Signature or source authenticity failure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Reject; raise an audit exception; never writes to registry.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Participant mapping miss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Queue for manual resolution; the event is recorded but not surfaced in any participant view until mapping resolves.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Compliance status changes mid-sync</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Re-evaluate policy before publishing the participant view; the registry write may proceed, but visibility is gated.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Adapter / RPC outage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Pipeline backs off and resumes from the last cursor; replay is idempotent by design.</w:t>
            </w:r>
          </w:p>
        </w:tc>
      </w:tr>
    </w:tbl>
    <w:p>
      <w:pPr>
        <w:spacing w:after="60"/>
      </w:pPr>
      <w:r>
        <w:t xml:space="preserve"/>
      </w:r>
    </w:p>
    <w:p>
      <w:pPr>
        <w:pStyle w:val="Heading1"/>
        <w:spacing w:after="160" w:before="320"/>
      </w:pPr>
      <w:r>
        <w:t xml:space="preserve">9. Distribution: how TCTs reach participants</w:t>
      </w:r>
    </w:p>
    <w:p>
      <w:pPr>
        <w:spacing w:after="120" w:line="300"/>
      </w:pPr>
      <w:r>
        <w:t xml:space="preserve">"Distribution" here does not mean a public sale or airdrop — those would each violate the non-economic, permissioned design. Distribution means the operational workflow that takes a verified person or entity from "applicant" to "holder of an active TCT bound to their wallet." The workflow has six gates.</w:t>
      </w:r>
    </w:p>
    <w:p>
      <w:pPr>
        <w:pStyle w:val="Heading2"/>
        <w:spacing w:after="120" w:before="240"/>
      </w:pPr>
      <w:r>
        <w:t xml:space="preserve">9.1 The six gates</w:t>
      </w:r>
    </w:p>
    <w:p>
      <w:pPr>
        <w:pStyle w:val="ListParagraph"/>
        <w:numPr>
          <w:ilvl w:val="0"/>
          <w:numId w:val="3"/>
        </w:numPr>
        <w:spacing w:after="80" w:line="290"/>
      </w:pPr>
      <w:r>
        <w:rPr>
          <w:b/>
          <w:bCs/>
        </w:rPr>
        <w:t xml:space="preserve">Eligibility gate. </w:t>
      </w:r>
      <w:r>
        <w:t xml:space="preserve">Applicant fits the policy definition for the credential class — geography, entity type, business purpose, and any program-specific eligibility set by 2678.</w:t>
      </w:r>
    </w:p>
    <w:p>
      <w:pPr>
        <w:pStyle w:val="ListParagraph"/>
        <w:numPr>
          <w:ilvl w:val="0"/>
          <w:numId w:val="3"/>
        </w:numPr>
        <w:spacing w:after="80" w:line="290"/>
      </w:pPr>
      <w:r>
        <w:rPr>
          <w:b/>
          <w:bCs/>
        </w:rPr>
        <w:t xml:space="preserve">Identity gate. </w:t>
      </w:r>
      <w:r>
        <w:t xml:space="preserve">KYC/AML, sanctions screening, and entity verification complete with a Verified result.</w:t>
      </w:r>
    </w:p>
    <w:p>
      <w:pPr>
        <w:pStyle w:val="ListParagraph"/>
        <w:numPr>
          <w:ilvl w:val="0"/>
          <w:numId w:val="3"/>
        </w:numPr>
        <w:spacing w:after="80" w:line="290"/>
      </w:pPr>
      <w:r>
        <w:rPr>
          <w:b/>
          <w:bCs/>
        </w:rPr>
        <w:t xml:space="preserve">Wallet gate. </w:t>
      </w:r>
      <w:r>
        <w:t xml:space="preserve">The wallet to be bound is established and proven to be controlled by the applicant via signed challenge.</w:t>
      </w:r>
    </w:p>
    <w:p>
      <w:pPr>
        <w:pStyle w:val="ListParagraph"/>
        <w:numPr>
          <w:ilvl w:val="0"/>
          <w:numId w:val="3"/>
        </w:numPr>
        <w:spacing w:after="80" w:line="290"/>
      </w:pPr>
      <w:r>
        <w:rPr>
          <w:b/>
          <w:bCs/>
        </w:rPr>
        <w:t xml:space="preserve">Legal gate. </w:t>
      </w:r>
      <w:r>
        <w:t xml:space="preserve">Applicant accepts the participation agreement, which makes the non-economic nature of the TCT explicit and locates economic rights, where any exist, in named off-chain entities.</w:t>
      </w:r>
    </w:p>
    <w:p>
      <w:pPr>
        <w:pStyle w:val="ListParagraph"/>
        <w:numPr>
          <w:ilvl w:val="0"/>
          <w:numId w:val="3"/>
        </w:numPr>
        <w:spacing w:after="80" w:line="290"/>
      </w:pPr>
      <w:r>
        <w:rPr>
          <w:b/>
          <w:bCs/>
        </w:rPr>
        <w:t xml:space="preserve">Mint gate. </w:t>
      </w:r>
      <w:r>
        <w:t xml:space="preserve">ISSUER_ROLE mints the credential into the bound wallet in Pending state.</w:t>
      </w:r>
    </w:p>
    <w:p>
      <w:pPr>
        <w:pStyle w:val="ListParagraph"/>
        <w:numPr>
          <w:ilvl w:val="0"/>
          <w:numId w:val="3"/>
        </w:numPr>
        <w:spacing w:after="80" w:line="290"/>
      </w:pPr>
      <w:r>
        <w:rPr>
          <w:b/>
          <w:bCs/>
        </w:rPr>
        <w:t xml:space="preserve">Activation gate. </w:t>
      </w:r>
      <w:r>
        <w:t xml:space="preserve">Compliance verifies and ISSUER_ROLE activates; the participant can now authenticate into TCN workflows.</w:t>
      </w:r>
    </w:p>
    <w:p>
      <w:pPr>
        <w:pStyle w:val="Heading2"/>
        <w:spacing w:after="120" w:before="240"/>
      </w:pPr>
      <w:r>
        <w:t xml:space="preserve">9.2 Distribution mechanics that are explicitly out of scope</w:t>
      </w:r>
    </w:p>
    <w:p>
      <w:pPr>
        <w:pStyle w:val="ListParagraph"/>
        <w:numPr>
          <w:ilvl w:val="0"/>
          <w:numId w:val="2"/>
        </w:numPr>
        <w:spacing w:after="80" w:line="290"/>
      </w:pPr>
      <w:r>
        <w:t xml:space="preserve">No public sale, ICO, IDO, or token-generation event.</w:t>
      </w:r>
    </w:p>
    <w:p>
      <w:pPr>
        <w:pStyle w:val="ListParagraph"/>
        <w:numPr>
          <w:ilvl w:val="0"/>
          <w:numId w:val="2"/>
        </w:numPr>
        <w:spacing w:after="80" w:line="290"/>
      </w:pPr>
      <w:r>
        <w:t xml:space="preserve">No transfer-based distribution; the contract structurally rejects transfers.</w:t>
      </w:r>
    </w:p>
    <w:p>
      <w:pPr>
        <w:pStyle w:val="ListParagraph"/>
        <w:numPr>
          <w:ilvl w:val="0"/>
          <w:numId w:val="2"/>
        </w:numPr>
        <w:spacing w:after="80" w:line="290"/>
      </w:pPr>
      <w:r>
        <w:t xml:space="preserve">No airdrops to unverified wallets. Mints to wallets that have not passed identity and wallet gates fail at the contract level because identity_binding is required.</w:t>
      </w:r>
    </w:p>
    <w:p>
      <w:pPr>
        <w:pStyle w:val="ListParagraph"/>
        <w:numPr>
          <w:ilvl w:val="0"/>
          <w:numId w:val="2"/>
        </w:numPr>
        <w:spacing w:after="80" w:line="290"/>
      </w:pPr>
      <w:r>
        <w:t xml:space="preserve">No secondary market. The lack of transferability means there is nothing to list; this should be communicated explicitly to avoid confusion with conventional token launches.</w:t>
      </w:r>
    </w:p>
    <w:p>
      <w:pPr>
        <w:pStyle w:val="Heading2"/>
        <w:spacing w:after="120" w:before="240"/>
      </w:pPr>
      <w:r>
        <w:t xml:space="preserve">9.3 Cohort issuance and operational throughput</w:t>
      </w:r>
    </w:p>
    <w:p>
      <w:pPr>
        <w:spacing w:after="120" w:line="300"/>
      </w:pPr>
      <w:r>
        <w:t xml:space="preserve">If TCTs are issued in cohorts (for example, when a new program partner onboards a wave of participants), the ERC-1155 batch mint path is used. The COMPLIANCE_ROLE pre-clears the cohort, the ISSUER_ROLE submits a single batched transaction, and activation is also batched once compliance signs off. Throughput planning should assume the limiting factor is identity verification, not chain capacity; the contract will not be the bottleneck.</w:t>
      </w:r>
    </w:p>
    <w:p>
      <w:pPr>
        <w:pStyle w:val="Heading2"/>
        <w:spacing w:after="120" w:before="240"/>
      </w:pPr>
      <w:r>
        <w:t xml:space="preserve">9.4 Communications posture</w:t>
      </w:r>
    </w:p>
    <w:p>
      <w:pPr>
        <w:spacing w:after="120" w:line="300"/>
      </w:pPr>
      <w:r>
        <w:t xml:space="preserve">Public-facing materials should describe TCT consistently as a credential, an authorization primitive, or a participation token — never as an asset, never as something one buys, holds for value, or trades. The messaging discipline matters because it is the first line of defense for the regulatory characterization on which the entire architecture depends.</w:t>
      </w:r>
    </w:p>
    <w:p>
      <w:pPr>
        <w:spacing w:after="60"/>
      </w:pPr>
      <w:r>
        <w:t xml:space="preserve"/>
      </w:r>
    </w:p>
    <w:p>
      <w:pPr>
        <w:pStyle w:val="Heading1"/>
        <w:spacing w:after="160" w:before="320"/>
      </w:pPr>
      <w:r>
        <w:t xml:space="preserve">10. Execution risks</w:t>
      </w:r>
    </w:p>
    <w:p>
      <w:pPr>
        <w:spacing w:after="120" w:line="300"/>
      </w:pPr>
      <w:r>
        <w:t xml:space="preserve">Risks are grouped by where they sit in the architecture. Severity is rated against the project's ability to ship a credible v1; mitigations are concrete actions, not principles.</w:t>
      </w:r>
    </w:p>
    <w:p>
      <w:pPr>
        <w:pStyle w:val="Heading2"/>
        <w:spacing w:after="120" w:before="240"/>
      </w:pPr>
      <w:r>
        <w:t xml:space="preserve">10.1 Legal and regulatory characterization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Risk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Severity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Mitigation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TCT is recharacterized as a security or other regulated instrument because a feature creep introduces value-bearing semantics.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Critical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Lock the prohibited-fields list (§4.3) into a code-level invariant checked by tests; require legal sign-off on any field added to the credential or registry contracts; enforce communications posture per §9.4.</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Jurisdictional treatment of soulbound or non-transferable credentials varies; some regimes may treat the credential itself as personal data subject to deletion rights.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Keep on-chain footprint to the hash-only model; design revocation to be the documented mechanism for the right-to-be-forgotten equivalent; obtain jurisdiction-specific opinions before opening the program in each market.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Patent claim drift if the implementation diverges from the disclosed embodiments before the non-provisional is filed.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Freeze the architectural vocabulary used in the implementation and the patent; designate one engineering owner to flag any divergence to counsel during the 12-month priority window.</w:t>
            </w:r>
          </w:p>
        </w:tc>
      </w:tr>
    </w:tbl>
    <w:p>
      <w:pPr>
        <w:pStyle w:val="Heading2"/>
        <w:spacing w:after="120" w:before="240"/>
      </w:pPr>
      <w:r>
        <w:t xml:space="preserve">10.2 Identity and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Risk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Severity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Mitigation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Participant key loss with no recovery path leaves an identity stuck against a dead wallet.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Document the re-binding flow in §7.3 before launch; plan v2 ERC-4337 upgrade with social or TCM-co-signed recovery.</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Compromise of ISSUER_ROLE key allows mass mint to attacker-controlled wallets.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Critical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Multi-sig with hardware-backed signers; PAUSER_ROLE held separately can halt mint and sync within minutes; on-chain monitoring on every mint.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Identity vault compromise re-identifies pseudonymous on-chain references.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Critical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Vault is segregated, encrypted at rest with rotated keys, accessed only by named services with per-call audit logging; pseudonyms use salted hashes so a vault leak does not directly invert chain data.</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Wallet-to-identity binding is silently swapped (e.g., adversary completes the wallet challenge for a stolen identity).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Bind only after multi-factor identity reverification; require a cooling-off window before activation for high-value cohorts; alerting on rebinds.</w:t>
            </w:r>
          </w:p>
        </w:tc>
      </w:tr>
    </w:tbl>
    <w:p>
      <w:pPr>
        <w:pStyle w:val="Heading2"/>
        <w:spacing w:after="120" w:before="240"/>
      </w:pPr>
      <w:r>
        <w:t xml:space="preserve">10.3 Smart contract and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Risk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Severity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Mitigation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Transfer-disable override is incomplete and a path leaks (e.g., via approvals, operator approvals, or future ERC extensions).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Override every transfer hook in the standard (safeTransferFrom, safeBatchTransferFrom, setApprovalForAll behavior); fuzz-test transfer paths; third-party audit must specifically test transfer-disable.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Upgrade pattern (proxy) is misconfigured and admin can rewrite credential state.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Use minimal upgradeability: registry is upgradeable, credential is not, or both behind timelocked proxies; admin keys are multi-sig only.</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Chain-specific finality assumptions leak into TCT logic, locking the system to one network.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Medium</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All finality logic lives in the abstraction layer; contracts only consume canonical events; second-adapter dual-run is a hard gate before v1 ships.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Gas-cost spikes on the active chain make routine operations prohibitively expensive.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Medium</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L2 deployment from day one (Polygon PoS or equivalent); batch operations for issuance; design for migration via the chain registry rather than reactive emergency moves.</w:t>
            </w:r>
          </w:p>
        </w:tc>
      </w:tr>
    </w:tbl>
    <w:p>
      <w:pPr>
        <w:pStyle w:val="Heading2"/>
        <w:spacing w:after="120" w:before="240"/>
      </w:pPr>
      <w:r>
        <w:t xml:space="preserve">10.4 Synchronization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Risk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Severity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Mitigation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Synchronization service is not finality-aware and writes a registry entry that is later reorged out.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Critical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Audit Final threshold per network is enforced in code; Sev-1 alert on any registry write whose underlying chain event is later reversed; reconciliation job runs daily.</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Idempotency key collision causes a duplicate-suppressed write that should have been a separate record.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Key is (event_id + event_hash), where event_id includes contract address, log index, and network ID; canonical normalization is deterministic and version-tagged.</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Participant mapping logic exposes pseudonymous correlations across workflows that re-identify users.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Mapping is per-workflow; cross-workflow correlation requires a separate, audited service with stricter access controls.</w:t>
            </w:r>
          </w:p>
        </w:tc>
      </w:tr>
    </w:tbl>
    <w:p>
      <w:pPr>
        <w:pStyle w:val="Heading2"/>
        <w:spacing w:after="120" w:before="240"/>
      </w:pPr>
      <w:r>
        <w:t xml:space="preserve">10.5 Privacy and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Risk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Severity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Mitigation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PII leakage into chain via metadata URI, event payload, or off-chain authority reference.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Critical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Static analysis on every contract change for PII patterns; metadata URIs point to non-sensitive descriptive content only; off-chain authority refs are opaque IDs not human-readable strings.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Right-to-be-forgotten request cannot be honored because chain history is immutable.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Documented policy: revocation + identity vault deletion is the operational equivalent; on-chain hash binding becomes uninvertible once vault entry is destroyed.</w:t>
            </w:r>
          </w:p>
        </w:tc>
      </w:tr>
    </w:tbl>
    <w:p>
      <w:pPr>
        <w:pStyle w:val="Heading2"/>
        <w:spacing w:after="120" w:before="240"/>
      </w:pPr>
      <w:r>
        <w:t xml:space="preserve">10.6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Risk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Severity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Mitigation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No replay capability means a sync service crash during a backlog burns events.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High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Replay is a first-class capability built from raw chain history; cursor-based ingest; idempotency makes replays safe by construction.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Runbooks for reorg, RPC outage, key rotation, network migration are not written before go-live.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Medium</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Each runbook is a launch gate; tabletop exercises before production cutover.</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Vendor concentration on a single RPC provider creates a single point of failure.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Medium</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Two RPC providers per network behind the adapter; automatic failover; chain registry tracks provider health.</w:t>
            </w:r>
          </w:p>
        </w:tc>
      </w:tr>
    </w:tbl>
    <w:p>
      <w:pPr>
        <w:spacing w:after="60"/>
      </w:pPr>
      <w:r>
        <w:t xml:space="preserve"/>
      </w:r>
    </w:p>
    <w:p>
      <w:pPr>
        <w:pStyle w:val="Heading1"/>
        <w:spacing w:after="160" w:before="320"/>
      </w:pPr>
      <w:r>
        <w:t xml:space="preserve">11. Critical-path dependencies</w:t>
      </w:r>
    </w:p>
    <w:p>
      <w:pPr>
        <w:spacing w:after="120" w:line="300"/>
      </w:pPr>
      <w:r>
        <w:t xml:space="preserve">Not every workstream gates every other; the dependencies that actually control delivery are the ones below. Anything not on this path can run in parallel.</w:t>
      </w:r>
    </w:p>
    <w:p>
      <w:pPr>
        <w:pStyle w:val="Heading2"/>
        <w:spacing w:after="120" w:before="240"/>
      </w:pPr>
      <w:r>
        <w:t xml:space="preserve">11.1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Step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Output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bCs/>
              </w:rPr>
              <w:t xml:space="preserve">Gates what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1. Canonical event schema and ledger pointer schema frozen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Versioned schema docs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Every contract event, every adapter, every sync write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2. Network adapter interface frozen and first adapter implemented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Adapter v1 against initial network</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Sync pipeline; second adapter; portability tests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3. TCTCredential and TCTOutcomeRegistry contracts implemented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Audited contract package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All on-chain operations; identity binding tests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4. Identity binding model decided and onboarding flow built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TCM onboarding service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Issuance; without this no real TCTs can be minted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5. Finality translation and sync service implemented and dual-run validated against second adapter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Sync v1 with portability proof</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Production launch — this is the longest pole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6. Legal review of participation agreement and characterization opinion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Signed legal sign-off</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Public launch and first cohort issuance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7. Independent smart-contract audit and architecture review</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Audit report and remediation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Production deployment of contracts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8. Runbooks, monitoring, and key custody operationalized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Ops readiness checklist signed off</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b w:val="false"/>
                <w:bCs w:val="false"/>
              </w:rPr>
              <w:t xml:space="preserve">Go-live</w:t>
            </w:r>
          </w:p>
        </w:tc>
      </w:tr>
    </w:tbl>
    <w:p>
      <w:pPr>
        <w:pStyle w:val="Heading2"/>
        <w:spacing w:after="120" w:before="240"/>
      </w:pPr>
      <w:r>
        <w:t xml:space="preserve">11.2 Key dependency chains</w:t>
      </w:r>
    </w:p>
    <w:p>
      <w:pPr>
        <w:pStyle w:val="ListParagraph"/>
        <w:numPr>
          <w:ilvl w:val="0"/>
          <w:numId w:val="2"/>
        </w:numPr>
        <w:spacing w:after="80" w:line="290"/>
      </w:pPr>
      <w:r>
        <w:rPr>
          <w:b/>
          <w:bCs/>
        </w:rPr>
        <w:t xml:space="preserve">Schema before adapter before contract before sync. </w:t>
      </w:r>
      <w:r>
        <w:t xml:space="preserve">Implementing contracts before the canonical event schema is frozen guarantees rework. The schema is the API the rest of the system is built against.</w:t>
      </w:r>
    </w:p>
    <w:p>
      <w:pPr>
        <w:pStyle w:val="ListParagraph"/>
        <w:numPr>
          <w:ilvl w:val="0"/>
          <w:numId w:val="2"/>
        </w:numPr>
        <w:spacing w:after="80" w:line="290"/>
      </w:pPr>
      <w:r>
        <w:rPr>
          <w:b/>
          <w:bCs/>
        </w:rPr>
        <w:t xml:space="preserve">Identity model before issuance. </w:t>
      </w:r>
      <w:r>
        <w:t xml:space="preserve">The wallet binding decision shapes the TCM portal, the user experience, and the recovery story. Building the contract before the binding model is decided is fine; building the onboarding flow before it is decided is not.</w:t>
      </w:r>
    </w:p>
    <w:p>
      <w:pPr>
        <w:pStyle w:val="ListParagraph"/>
        <w:numPr>
          <w:ilvl w:val="0"/>
          <w:numId w:val="2"/>
        </w:numPr>
        <w:spacing w:after="80" w:line="290"/>
      </w:pPr>
      <w:r>
        <w:rPr>
          <w:b/>
          <w:bCs/>
        </w:rPr>
        <w:t xml:space="preserve">Second adapter before launch. </w:t>
      </w:r>
      <w:r>
        <w:t xml:space="preserve">If the abstraction layer is not validated against a second network before v1 ships, it is a label, not an architecture. Validation is most efficient on staging against Base while production runs Polygon.</w:t>
      </w:r>
    </w:p>
    <w:p>
      <w:pPr>
        <w:pStyle w:val="ListParagraph"/>
        <w:numPr>
          <w:ilvl w:val="0"/>
          <w:numId w:val="2"/>
        </w:numPr>
        <w:spacing w:after="80" w:line="290"/>
      </w:pPr>
      <w:r>
        <w:rPr>
          <w:b/>
          <w:bCs/>
        </w:rPr>
        <w:t xml:space="preserve">Legal review before public communication. </w:t>
      </w:r>
      <w:r>
        <w:t xml:space="preserve">The non-economic characterization survives only if the messaging matches the architecture. Communications signed off by counsel are a hard gate.</w:t>
      </w:r>
    </w:p>
    <w:p>
      <w:pPr>
        <w:pStyle w:val="ListParagraph"/>
        <w:numPr>
          <w:ilvl w:val="0"/>
          <w:numId w:val="2"/>
        </w:numPr>
        <w:spacing w:after="80" w:line="290"/>
      </w:pPr>
      <w:r>
        <w:rPr>
          <w:b/>
          <w:bCs/>
        </w:rPr>
        <w:t xml:space="preserve">Audit before mint of any non-test cohort. </w:t>
      </w:r>
      <w:r>
        <w:t xml:space="preserve">Independent audit of the contract package is a precondition for any minting that affects real participants.</w:t>
      </w:r>
    </w:p>
    <w:p>
      <w:pPr>
        <w:spacing w:after="60"/>
      </w:pPr>
      <w:r>
        <w:t xml:space="preserve"/>
      </w:r>
    </w:p>
    <w:p>
      <w:pPr>
        <w:pStyle w:val="Heading1"/>
        <w:spacing w:after="160" w:before="320"/>
      </w:pPr>
      <w:r>
        <w:t xml:space="preserve">12. Open decisions for 2678 to make before build</w:t>
      </w:r>
    </w:p>
    <w:p>
      <w:pPr>
        <w:spacing w:after="120" w:line="300"/>
      </w:pPr>
      <w:r>
        <w:t xml:space="preserve">Each of these is a decision the architecture documents leave open. They do not require new analysis to resolve; they require an owner to pick a position and commit to it.</w:t>
      </w:r>
    </w:p>
    <w:p>
      <w:pPr>
        <w:pStyle w:val="ListParagraph"/>
        <w:numPr>
          <w:ilvl w:val="0"/>
          <w:numId w:val="3"/>
        </w:numPr>
        <w:spacing w:after="80" w:line="290"/>
      </w:pPr>
      <w:r>
        <w:rPr>
          <w:b/>
          <w:bCs/>
        </w:rPr>
        <w:t xml:space="preserve">Initial production network. </w:t>
      </w:r>
      <w:r>
        <w:t xml:space="preserve">Recommended: Polygon PoS. Alternatives: Base, Arbitrum. Decision drives chain registry initialization and the first adapter.</w:t>
      </w:r>
    </w:p>
    <w:p>
      <w:pPr>
        <w:pStyle w:val="ListParagraph"/>
        <w:numPr>
          <w:ilvl w:val="0"/>
          <w:numId w:val="3"/>
        </w:numPr>
        <w:spacing w:after="80" w:line="290"/>
      </w:pPr>
      <w:r>
        <w:rPr>
          <w:b/>
          <w:bCs/>
        </w:rPr>
        <w:t xml:space="preserve">Identity binding model for v1. </w:t>
      </w:r>
      <w:r>
        <w:t xml:space="preserve">Recommended: user-controlled EOA with a documented upgrade path to ERC-4337. Alternatives: custodial; ERC-4337 from day one.</w:t>
      </w:r>
    </w:p>
    <w:p>
      <w:pPr>
        <w:pStyle w:val="ListParagraph"/>
        <w:numPr>
          <w:ilvl w:val="0"/>
          <w:numId w:val="3"/>
        </w:numPr>
        <w:spacing w:after="80" w:line="290"/>
      </w:pPr>
      <w:r>
        <w:rPr>
          <w:b/>
          <w:bCs/>
        </w:rPr>
        <w:t xml:space="preserve">Credential class structure. </w:t>
      </w:r>
      <w:r>
        <w:t xml:space="preserve">Recommended: single base credential ID for v1, reserved ID range for future operator and observer credentials. Alternative: ship multiple classes from day one.</w:t>
      </w:r>
    </w:p>
    <w:p>
      <w:pPr>
        <w:pStyle w:val="ListParagraph"/>
        <w:numPr>
          <w:ilvl w:val="0"/>
          <w:numId w:val="3"/>
        </w:numPr>
        <w:spacing w:after="80" w:line="290"/>
      </w:pPr>
      <w:r>
        <w:rPr>
          <w:b/>
          <w:bCs/>
        </w:rPr>
        <w:t xml:space="preserve">Renewal and expiry policy. </w:t>
      </w:r>
      <w:r>
        <w:t xml:space="preserve">Whether credentials carry a time-based expiry, and if so on what cadence. Affects state machine, monitoring, and re-onboarding load.</w:t>
      </w:r>
    </w:p>
    <w:p>
      <w:pPr>
        <w:pStyle w:val="ListParagraph"/>
        <w:numPr>
          <w:ilvl w:val="0"/>
          <w:numId w:val="3"/>
        </w:numPr>
        <w:spacing w:after="80" w:line="290"/>
      </w:pPr>
      <w:r>
        <w:rPr>
          <w:b/>
          <w:bCs/>
        </w:rPr>
        <w:t xml:space="preserve">Anchoring strategy to Ethereum mainnet. </w:t>
      </w:r>
      <w:r>
        <w:t xml:space="preserve">Whether to commit periodic merkle roots of the outcome registry to mainnet, and on what cadence. Adds cost and a strong audit guarantee.</w:t>
      </w:r>
    </w:p>
    <w:p>
      <w:pPr>
        <w:pStyle w:val="ListParagraph"/>
        <w:numPr>
          <w:ilvl w:val="0"/>
          <w:numId w:val="3"/>
        </w:numPr>
        <w:spacing w:after="80" w:line="290"/>
      </w:pPr>
      <w:r>
        <w:rPr>
          <w:b/>
          <w:bCs/>
        </w:rPr>
        <w:t xml:space="preserve">Upgrade and governance model for the contract package. </w:t>
      </w:r>
      <w:r>
        <w:t xml:space="preserve">Specifically the multi-sig threshold for DEFAULT_ADMIN_ROLE, timelock duration, and the relationship between on-chain admin and off-chain corporate governance.</w:t>
      </w:r>
    </w:p>
    <w:p>
      <w:pPr>
        <w:pStyle w:val="ListParagraph"/>
        <w:numPr>
          <w:ilvl w:val="0"/>
          <w:numId w:val="3"/>
        </w:numPr>
        <w:spacing w:after="80" w:line="290"/>
      </w:pPr>
      <w:r>
        <w:rPr>
          <w:b/>
          <w:bCs/>
        </w:rPr>
        <w:t xml:space="preserve">Audit firm selection and timing. </w:t>
      </w:r>
      <w:r>
        <w:t xml:space="preserve">Booking should happen at schema-freeze, not at code-freeze; lead times for top-tier firms are months.</w:t>
      </w:r>
    </w:p>
    <w:p>
      <w:pPr>
        <w:spacing w:after="60"/>
      </w:pPr>
      <w:r>
        <w:t xml:space="preserve"/>
      </w:r>
    </w:p>
    <w:p>
      <w:pPr>
        <w:pStyle w:val="Heading1"/>
        <w:spacing w:after="160" w:before="320"/>
      </w:pPr>
      <w:r>
        <w:t xml:space="preserve">13. Closing</w:t>
      </w:r>
    </w:p>
    <w:p>
      <w:pPr>
        <w:spacing w:after="120" w:line="300"/>
      </w:pPr>
      <w:r>
        <w:t xml:space="preserve">TCT is a small token. Most of the implementation work is not in the token itself but in the disciplines around it: identity, finality, synchronization, and the legal characterization that the whole architecture depends on. The contracts can be implemented and audited in weeks; the surrounding system that makes those contracts mean what the architecture says they mean takes longer, and that is where execution risk concentrates.</w:t>
      </w:r>
    </w:p>
    <w:p>
      <w:pPr>
        <w:spacing w:after="120" w:line="300"/>
      </w:pPr>
      <w:r>
        <w:t xml:space="preserve">The recommendation is to treat the chain-agnostic abstraction layer, the synchronization pipeline, and the identity binding model as the three first-class engineering investments, and to treat everything else — including the on-chain contract code — as straightforward work that depends on those three. If those three are right, the rest of the system has somewhere stable to stand.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jc w:val="right"/>
    </w:pPr>
    <w:r>
      <w:rPr>
        <w:i/>
        <w:iCs/>
        <w:color w:val="595959"/>
        <w:sz w:val="18"/>
        <w:szCs w:val="18"/>
      </w:rPr>
      <w:t xml:space="preserve">TCT Implementation Memorandum  |  2678 Holdings LLC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TCT Implementation Memorandum</dc:title>
  <dc:creator>2678 Holdings LLC</dc:creator>
  <cp:lastModifiedBy>Un-named</cp:lastModifiedBy>
  <cp:revision>1</cp:revision>
  <dcterms:created xsi:type="dcterms:W3CDTF">2026-05-07T15:18:07.768Z</dcterms:created>
  <dcterms:modified xsi:type="dcterms:W3CDTF">2026-05-07T15:18:07.787Z</dcterms:modified>
</cp:coreProperties>
</file>

<file path=docProps/custom.xml><?xml version="1.0" encoding="utf-8"?>
<Properties xmlns="http://schemas.openxmlformats.org/officeDocument/2006/custom-properties" xmlns:vt="http://schemas.openxmlformats.org/officeDocument/2006/docPropsVTypes"/>
</file>