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E28D7" w14:textId="77777777" w:rsidR="000903FD" w:rsidRDefault="00000000">
      <w:pPr>
        <w:spacing w:after="60"/>
      </w:pPr>
      <w:r>
        <w:rPr>
          <w:b/>
          <w:bCs/>
          <w:color w:val="595959"/>
          <w:sz w:val="20"/>
          <w:szCs w:val="20"/>
        </w:rPr>
        <w:t>IMPLEMENTATION MEMORANDUM  —  REVISION 2</w:t>
      </w:r>
    </w:p>
    <w:p w14:paraId="4EF198AC" w14:textId="77777777" w:rsidR="000903FD" w:rsidRDefault="00000000">
      <w:pPr>
        <w:spacing w:after="80"/>
      </w:pPr>
      <w:r>
        <w:rPr>
          <w:b/>
          <w:bCs/>
          <w:sz w:val="36"/>
          <w:szCs w:val="36"/>
        </w:rPr>
        <w:t>TokenCap Token (TCT) — Design, Creation, and Distribution</w:t>
      </w:r>
    </w:p>
    <w:p w14:paraId="257ACCC9" w14:textId="77777777" w:rsidR="000903FD" w:rsidRDefault="00000000">
      <w:pPr>
        <w:spacing w:after="240"/>
      </w:pPr>
      <w:r>
        <w:rPr>
          <w:i/>
          <w:iCs/>
          <w:color w:val="595959"/>
        </w:rPr>
        <w:t>Revised to incorporate review comments from Michael Berry, Stan Hua, and Gan Lin. Material changes consolidated in §1.1.</w:t>
      </w:r>
    </w:p>
    <w:p w14:paraId="730F0DBD" w14:textId="77777777" w:rsidR="000903FD" w:rsidRDefault="000903FD">
      <w:pPr>
        <w:pBdr>
          <w:bottom w:val="single" w:sz="6" w:space="1" w:color="2E75B6"/>
        </w:pBd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903FD" w14:paraId="25C9A08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38EF9E2" w14:textId="77777777" w:rsidR="000903FD" w:rsidRDefault="00000000">
            <w:pPr>
              <w:spacing w:line="280" w:lineRule="auto"/>
            </w:pPr>
            <w:r>
              <w:rPr>
                <w:b/>
                <w:bCs/>
              </w:rPr>
              <w:t>Prepared for</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150E12" w14:textId="77777777" w:rsidR="000903FD" w:rsidRDefault="00000000">
            <w:pPr>
              <w:spacing w:line="280" w:lineRule="auto"/>
            </w:pPr>
            <w:r>
              <w:t>2678 Holdings LLC</w:t>
            </w:r>
          </w:p>
        </w:tc>
      </w:tr>
      <w:tr w:rsidR="000903FD" w14:paraId="29785A6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31F5825" w14:textId="77777777" w:rsidR="000903FD" w:rsidRDefault="00000000">
            <w:pPr>
              <w:spacing w:line="280" w:lineRule="auto"/>
            </w:pPr>
            <w:r>
              <w:rPr>
                <w:b/>
                <w:bCs/>
              </w:rPr>
              <w:t>Subject</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8550C5" w14:textId="77777777" w:rsidR="000903FD" w:rsidRDefault="00000000">
            <w:pPr>
              <w:spacing w:line="280" w:lineRule="auto"/>
            </w:pPr>
            <w:r>
              <w:t>Implementation plan for the TokenCap Token (TCT)</w:t>
            </w:r>
          </w:p>
        </w:tc>
      </w:tr>
      <w:tr w:rsidR="000903FD" w14:paraId="53D0EFD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931DEAB" w14:textId="77777777" w:rsidR="000903FD" w:rsidRDefault="00000000">
            <w:pPr>
              <w:spacing w:line="280" w:lineRule="auto"/>
            </w:pPr>
            <w:r>
              <w:rPr>
                <w:b/>
                <w:bCs/>
              </w:rPr>
              <w:t>Source artifacts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37FC25" w14:textId="77777777" w:rsidR="000903FD" w:rsidRDefault="00000000">
            <w:pPr>
              <w:spacing w:line="280" w:lineRule="auto"/>
            </w:pPr>
            <w:r>
              <w:t>TCT Enterprise Architecture and Sync Protocol; Chain-Agnostic Abstraction Layer Spec; Provisional Patent Application (TCN/TCT layered architecture); Patent Figures Compendium; Review comments from M. Berry, S. Hua, G. Lin</w:t>
            </w:r>
          </w:p>
        </w:tc>
      </w:tr>
      <w:tr w:rsidR="000903FD" w14:paraId="35703E2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18E8B4A" w14:textId="77777777" w:rsidR="000903FD" w:rsidRDefault="00000000">
            <w:pPr>
              <w:spacing w:line="280" w:lineRule="auto"/>
            </w:pPr>
            <w:r>
              <w:rPr>
                <w:b/>
                <w:bCs/>
              </w:rPr>
              <w:t>Architectural rule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824A7C" w14:textId="77777777" w:rsidR="000903FD" w:rsidRDefault="00000000">
            <w:pPr>
              <w:spacing w:line="280" w:lineRule="auto"/>
            </w:pPr>
            <w:r>
              <w:t>TCT authenticates and reports; TCN executes; off-chain entities determine, hold, and intermediate value.</w:t>
            </w:r>
          </w:p>
        </w:tc>
      </w:tr>
      <w:tr w:rsidR="000903FD" w14:paraId="3722D55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E0D4678" w14:textId="77777777" w:rsidR="000903FD" w:rsidRDefault="00000000">
            <w:pPr>
              <w:spacing w:line="280" w:lineRule="auto"/>
            </w:pPr>
            <w:r>
              <w:rPr>
                <w:b/>
                <w:bCs/>
              </w:rPr>
              <w:t>Status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553D70" w14:textId="77777777" w:rsidR="000903FD" w:rsidRDefault="00000000">
            <w:pPr>
              <w:spacing w:line="280" w:lineRule="auto"/>
            </w:pPr>
            <w:r>
              <w:t>Revised implementation memo — internal planning baseline (Rev 2)</w:t>
            </w:r>
          </w:p>
        </w:tc>
      </w:tr>
    </w:tbl>
    <w:p w14:paraId="4E5F5AC6" w14:textId="77777777" w:rsidR="000903FD" w:rsidRDefault="000903FD">
      <w:pPr>
        <w:spacing w:after="60"/>
      </w:pPr>
    </w:p>
    <w:p w14:paraId="3B2A348C" w14:textId="77777777" w:rsidR="000903FD" w:rsidRDefault="00000000">
      <w:pPr>
        <w:pStyle w:val="Heading1"/>
      </w:pPr>
      <w:r>
        <w:t>1. Executive summary</w:t>
      </w:r>
    </w:p>
    <w:p w14:paraId="5D2EB7CC" w14:textId="77777777" w:rsidR="000903FD" w:rsidRDefault="00000000">
      <w:pPr>
        <w:spacing w:after="120" w:line="300" w:lineRule="auto"/>
      </w:pPr>
      <w:r>
        <w:t xml:space="preserve">This memo translates the project's three governing documents — the TCT Enterprise Architecture, the Chain-Agnostic Abstraction Layer specification, and the Provisional Patent Application — into a concrete implementation plan for the TokenCap Token (TCT). The output of that plan is </w:t>
      </w:r>
      <w:r w:rsidRPr="00B164B5">
        <w:rPr>
          <w:highlight w:val="yellow"/>
        </w:rPr>
        <w:t>a non-transferable, identity-bound, permissioned credential token that authenticates verified actors into TCN workflows and serves as the participant-facing surface for synchronized outcome reporting.</w:t>
      </w:r>
      <w:r>
        <w:t xml:space="preserve"> As Rev 2 makes explicit (§2), non-transferability does not by itself imply that TCT carries no economic significance — the credential is the priced gateway to TCN participation, and its commercial role is acknowledged directly rather than disclaimed.</w:t>
      </w:r>
    </w:p>
    <w:p w14:paraId="644DFE40" w14:textId="77777777" w:rsidR="000903FD" w:rsidRDefault="00000000">
      <w:pPr>
        <w:spacing w:after="120" w:line="300" w:lineRule="auto"/>
      </w:pPr>
      <w:r>
        <w:t>The plan is organized around five execution streams: (a) token design and the on-chain contract package, (b) the off-chain credential, identity, and entity-formation plane operated by TCM, (c) the chain-agnostic abstraction layer that isolates TCT from any single network, (d) the synchronization and reporting pipeline that links TCN events to TCT outcome references, and (e) the issuance and commercial distribution workflow by which TCTs are sold to project listers and minted to verified participants. Each stream has named dependencies on the others, and the memo identifies which dependencies sit on the critical path.</w:t>
      </w:r>
    </w:p>
    <w:p w14:paraId="1F1FC1BB" w14:textId="77777777" w:rsidR="000903FD" w:rsidRDefault="00000000">
      <w:pPr>
        <w:spacing w:after="120" w:line="300" w:lineRule="auto"/>
      </w:pPr>
      <w:r>
        <w:t xml:space="preserve">The most significant execution risks are not in the smart-contract code, which is small and well-bounded. They are concentrated in three places: the identity-to-wallet binding model that determines </w:t>
      </w:r>
      <w:r>
        <w:lastRenderedPageBreak/>
        <w:t>whether a wallet-anchored credential is even viable for the target user population; the finality-translation and synchronization service, which is the single largest source of correctness exposure across chains; and the regulatory characterization of TCT, where the defensible position is reporter-of-outcomes rather than determiner-of-value, and where any drift would undermine both the regulatory posture and the patent strategy. The memo treats these three as the controlling risks and sequences the work accordingly.</w:t>
      </w:r>
    </w:p>
    <w:p w14:paraId="2057ECAA" w14:textId="77777777" w:rsidR="000903FD" w:rsidRDefault="00000000">
      <w:pPr>
        <w:pStyle w:val="Heading2"/>
      </w:pPr>
      <w:r>
        <w:t>1.1 What changed in Revision 2</w:t>
      </w:r>
    </w:p>
    <w:p w14:paraId="681F0568" w14:textId="77777777" w:rsidR="000903FD" w:rsidRDefault="00000000">
      <w:pPr>
        <w:spacing w:after="120" w:line="300" w:lineRule="auto"/>
      </w:pPr>
      <w:r>
        <w:t>Rev 2 incorporates substantive feedback from the May 2026 review cycle. The principal changes:</w:t>
      </w:r>
    </w:p>
    <w:p w14:paraId="091F43D9" w14:textId="77777777" w:rsidR="000903FD" w:rsidRDefault="00000000">
      <w:pPr>
        <w:pStyle w:val="ListParagraph"/>
        <w:numPr>
          <w:ilvl w:val="0"/>
          <w:numId w:val="2"/>
        </w:numPr>
        <w:spacing w:after="80" w:line="290" w:lineRule="auto"/>
      </w:pPr>
      <w:r>
        <w:rPr>
          <w:b/>
          <w:bCs/>
        </w:rPr>
        <w:t xml:space="preserve">New §2 — Definitions and the value-distinction. </w:t>
      </w:r>
      <w:r>
        <w:t>A dedicated section codifying technological, legal/regulatory, operational, and commercial definitions of TCT, with explicit treatment of the "reporter vs. determiner" distinction (the newspaper-vs-price-reporter analogy raised by M. Berry). Closes the logical gap identified by G. Lin between "non-transferable" and "no economic value."</w:t>
      </w:r>
    </w:p>
    <w:p w14:paraId="0F7A7FE0" w14:textId="77777777" w:rsidR="000903FD" w:rsidRDefault="00000000">
      <w:pPr>
        <w:pStyle w:val="ListParagraph"/>
        <w:numPr>
          <w:ilvl w:val="0"/>
          <w:numId w:val="2"/>
        </w:numPr>
        <w:spacing w:after="80" w:line="290" w:lineRule="auto"/>
      </w:pPr>
      <w:r>
        <w:rPr>
          <w:b/>
          <w:bCs/>
        </w:rPr>
        <w:t xml:space="preserve">Commercial framing throughout. </w:t>
      </w:r>
      <w:r>
        <w:t>Distribution is reframed as a commercial merchandising activity in which project listers instruct TCM to mint cohorts on a per-project basis. Revenue streams are identified explicitly: TCM as KYC verifier, TCN for synchronization services, gas-fee pass-through with markup, and the planned ERC-4337 wallet upgrade. See §9 and §13.</w:t>
      </w:r>
    </w:p>
    <w:p w14:paraId="69887603" w14:textId="77777777" w:rsidR="000903FD" w:rsidRDefault="00000000">
      <w:pPr>
        <w:pStyle w:val="ListParagraph"/>
        <w:numPr>
          <w:ilvl w:val="0"/>
          <w:numId w:val="2"/>
        </w:numPr>
        <w:spacing w:after="80" w:line="290" w:lineRule="auto"/>
      </w:pPr>
      <w:r>
        <w:rPr>
          <w:b/>
          <w:bCs/>
        </w:rPr>
        <w:t xml:space="preserve">TCN workflow tokens distinguished from TCT credential. </w:t>
      </w:r>
      <w:r>
        <w:t>Token-ID ranges within the ERC-1155 contract are clarified: TCT credential IDs are reserved separately from TCN workflow tokens, which are themselves potentially patentable artifacts. See §3.2 and §3.3.</w:t>
      </w:r>
    </w:p>
    <w:p w14:paraId="33242F6D" w14:textId="77777777" w:rsidR="000903FD" w:rsidRDefault="00000000">
      <w:pPr>
        <w:pStyle w:val="ListParagraph"/>
        <w:numPr>
          <w:ilvl w:val="0"/>
          <w:numId w:val="2"/>
        </w:numPr>
        <w:spacing w:after="80" w:line="290" w:lineRule="auto"/>
      </w:pPr>
      <w:r>
        <w:rPr>
          <w:b/>
          <w:bCs/>
        </w:rPr>
        <w:t xml:space="preserve">TCA role narrowed. </w:t>
      </w:r>
      <w:r>
        <w:t>TCA is treated as an optional analytics integration, not a first-class authority. Revocation authority is held by TCM (legal/regulatory grounds) and TCN (contract-breach grounds). See §5 and §6.1.</w:t>
      </w:r>
    </w:p>
    <w:p w14:paraId="0E3C3660" w14:textId="77777777" w:rsidR="000903FD" w:rsidRDefault="00000000">
      <w:pPr>
        <w:pStyle w:val="ListParagraph"/>
        <w:numPr>
          <w:ilvl w:val="0"/>
          <w:numId w:val="2"/>
        </w:numPr>
        <w:spacing w:after="80" w:line="290" w:lineRule="auto"/>
      </w:pPr>
      <w:r>
        <w:rPr>
          <w:b/>
          <w:bCs/>
        </w:rPr>
        <w:t xml:space="preserve">§4.3 rewritten. </w:t>
      </w:r>
      <w:r>
        <w:t>The "what is not stored on-chain" list is reframed: TCT may report outcomes that involve balances or allocations as third-party-determined facts, but never determines, calculates, or holds them. The distinction is reporter vs. custodian/issuer.</w:t>
      </w:r>
    </w:p>
    <w:p w14:paraId="36FEC92F" w14:textId="77777777" w:rsidR="000903FD" w:rsidRDefault="00000000">
      <w:pPr>
        <w:pStyle w:val="ListParagraph"/>
        <w:numPr>
          <w:ilvl w:val="0"/>
          <w:numId w:val="2"/>
        </w:numPr>
        <w:spacing w:after="80" w:line="290" w:lineRule="auto"/>
      </w:pPr>
      <w:r>
        <w:rPr>
          <w:b/>
          <w:bCs/>
        </w:rPr>
        <w:t xml:space="preserve">Token record extensions. </w:t>
      </w:r>
      <w:r>
        <w:t>network_id added as a required field for multi-network rollout; expired_at added as a required timestamp; result_type vocabulary extended with sub-types (e.g., contract breach, sanctions flag).</w:t>
      </w:r>
    </w:p>
    <w:p w14:paraId="6778CE6A" w14:textId="77777777" w:rsidR="000903FD" w:rsidRDefault="00000000">
      <w:pPr>
        <w:pStyle w:val="ListParagraph"/>
        <w:numPr>
          <w:ilvl w:val="0"/>
          <w:numId w:val="2"/>
        </w:numPr>
        <w:spacing w:after="80" w:line="290" w:lineRule="auto"/>
      </w:pPr>
      <w:r>
        <w:rPr>
          <w:b/>
          <w:bCs/>
        </w:rPr>
        <w:t xml:space="preserve">Wallet UX clarified. </w:t>
      </w:r>
      <w:r>
        <w:t>Standard wallets such as MetaMask satisfy the v1 EOA model; no TCT-exclusive wallet is required. ERC-4337 v2 upgrade is treated as a revenue opportunity, not merely a UX improvement.</w:t>
      </w:r>
    </w:p>
    <w:p w14:paraId="20939725" w14:textId="77777777" w:rsidR="000903FD" w:rsidRDefault="00000000">
      <w:pPr>
        <w:pStyle w:val="ListParagraph"/>
        <w:numPr>
          <w:ilvl w:val="0"/>
          <w:numId w:val="2"/>
        </w:numPr>
        <w:spacing w:after="80" w:line="290" w:lineRule="auto"/>
      </w:pPr>
      <w:r>
        <w:rPr>
          <w:b/>
          <w:bCs/>
        </w:rPr>
        <w:t xml:space="preserve">Off-chain formation custody. </w:t>
      </w:r>
      <w:r w:rsidRPr="00083E8A">
        <w:rPr>
          <w:highlight w:val="yellow"/>
        </w:rPr>
        <w:t>TCM is named as the custodian for off-chain entity formation and ownership documentation. See §7.4 and §10.1</w:t>
      </w:r>
      <w:r>
        <w:t>.</w:t>
      </w:r>
    </w:p>
    <w:p w14:paraId="591A29BA" w14:textId="77777777" w:rsidR="000903FD" w:rsidRDefault="00000000">
      <w:pPr>
        <w:pStyle w:val="ListParagraph"/>
        <w:numPr>
          <w:ilvl w:val="0"/>
          <w:numId w:val="2"/>
        </w:numPr>
        <w:spacing w:after="80" w:line="290" w:lineRule="auto"/>
      </w:pPr>
      <w:r>
        <w:rPr>
          <w:b/>
          <w:bCs/>
        </w:rPr>
        <w:t xml:space="preserve">Risk severity adjusted. </w:t>
      </w:r>
      <w:r>
        <w:t>Gas-cost spike risk on the active chain elevated from Medium to Critical per M. Berry ("that would be lethal"). Probability scoring deferred to the risk engine.</w:t>
      </w:r>
    </w:p>
    <w:p w14:paraId="5BBFA2C1" w14:textId="77777777" w:rsidR="000903FD" w:rsidRDefault="000903FD">
      <w:pPr>
        <w:spacing w:after="60"/>
      </w:pPr>
    </w:p>
    <w:p w14:paraId="61D3AC50" w14:textId="77777777" w:rsidR="000903FD" w:rsidRDefault="00000000">
      <w:pPr>
        <w:pStyle w:val="Heading1"/>
      </w:pPr>
      <w:r>
        <w:t>2. Definitions and the value-reporting distinction</w:t>
      </w:r>
    </w:p>
    <w:p w14:paraId="10866FFA" w14:textId="77777777" w:rsidR="000903FD" w:rsidRDefault="00000000">
      <w:pPr>
        <w:spacing w:after="120" w:line="300" w:lineRule="auto"/>
      </w:pPr>
      <w:r>
        <w:t>This section is new in Rev 2. It exists because the prior memo conflated two related but distinct properties of TCT — that it is non-transferable and that it carries no economic value — and treated the second as a consequence of the first. That conflation is not defensible on its own. Non-transferable credentials can and routinely do carry significant economic significance: a passport is non-transferable; a professional license is non-transferable; both have material economic value to their holders. The defensible position is more precise, and it has to be stated more precisely.</w:t>
      </w:r>
    </w:p>
    <w:p w14:paraId="1082876A" w14:textId="77777777" w:rsidR="000903FD" w:rsidRDefault="00000000">
      <w:pPr>
        <w:pStyle w:val="Heading2"/>
      </w:pPr>
      <w:r>
        <w:t>2.1 Four definitions of TCT, by perspective</w:t>
      </w:r>
    </w:p>
    <w:p w14:paraId="7A91ACD2" w14:textId="77777777" w:rsidR="000903FD" w:rsidRDefault="00000000">
      <w:pPr>
        <w:spacing w:after="120" w:line="300" w:lineRule="auto"/>
      </w:pPr>
      <w:r>
        <w:t>TCT means somewhat different things to different stakeholders. The implementation must remain consistent with all four definitions simultaneously.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903FD" w14:paraId="0997C09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19FE0C9" w14:textId="77777777" w:rsidR="000903FD" w:rsidRDefault="00000000">
            <w:pPr>
              <w:spacing w:line="280" w:lineRule="auto"/>
            </w:pPr>
            <w:r>
              <w:rPr>
                <w:b/>
                <w:bCs/>
              </w:rPr>
              <w:t>Perspective</w:t>
            </w:r>
          </w:p>
        </w:tc>
        <w:tc>
          <w:tcPr>
            <w:tcW w:w="716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2D7F5976" w14:textId="77777777" w:rsidR="000903FD" w:rsidRDefault="00000000">
            <w:pPr>
              <w:spacing w:line="280" w:lineRule="auto"/>
            </w:pPr>
            <w:r>
              <w:rPr>
                <w:b/>
                <w:bCs/>
              </w:rPr>
              <w:t>Definition</w:t>
            </w:r>
          </w:p>
        </w:tc>
      </w:tr>
      <w:tr w:rsidR="000903FD" w14:paraId="6093194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C30CBC" w14:textId="77777777" w:rsidR="000903FD" w:rsidRDefault="00000000">
            <w:pPr>
              <w:spacing w:line="280" w:lineRule="auto"/>
            </w:pPr>
            <w:r>
              <w:rPr>
                <w:b/>
                <w:bCs/>
              </w:rPr>
              <w:t>Technological</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CC5985" w14:textId="77777777" w:rsidR="000903FD" w:rsidRDefault="00000000">
            <w:pPr>
              <w:spacing w:line="280" w:lineRule="auto"/>
            </w:pPr>
            <w:r>
              <w:t>A non-transferable, identity-bound ERC-1155 credential token whose holder address can authenticate against TCN smart contracts and whose lifecycle and outcome references are written by TCM-controlled roles. Implements the credential, representation, and synchronization claims of the provisional patent.</w:t>
            </w:r>
          </w:p>
        </w:tc>
      </w:tr>
      <w:tr w:rsidR="000903FD" w14:paraId="644BC2D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3CDFEF" w14:textId="77777777" w:rsidR="000903FD" w:rsidRDefault="00000000">
            <w:pPr>
              <w:spacing w:line="280" w:lineRule="auto"/>
            </w:pPr>
            <w:r>
              <w:rPr>
                <w:b/>
                <w:bCs/>
              </w:rPr>
              <w:t>Legal / regulatory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6776F7" w14:textId="77777777" w:rsidR="000903FD" w:rsidRDefault="00000000">
            <w:pPr>
              <w:spacing w:line="280" w:lineRule="auto"/>
            </w:pPr>
            <w:r>
              <w:t>A reporter of outcomes, not a determiner or custodian of value. TCT does not constitute, embody, evidence, or convey ownership of any asset, fund, security, or economic interest. The outcomes it reports — including any allocations, distributions, or milestone events — are determined and effectuated by off-chain legal entities and are merely surfaced through TCT for participant visibility and audit. The analogy is to a financial newspaper or a price-reporting agency: reporting on regulated activity does not make the reporter the regulated entity.</w:t>
            </w:r>
          </w:p>
        </w:tc>
      </w:tr>
      <w:tr w:rsidR="000903FD" w14:paraId="2772591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7E752B" w14:textId="77777777" w:rsidR="000903FD" w:rsidRDefault="00000000">
            <w:pPr>
              <w:spacing w:line="280" w:lineRule="auto"/>
            </w:pPr>
            <w:r>
              <w:rPr>
                <w:b/>
                <w:bCs/>
              </w:rPr>
              <w:t>Operational</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61BBE7" w14:textId="77777777" w:rsidR="000903FD" w:rsidRDefault="00000000">
            <w:pPr>
              <w:spacing w:line="280" w:lineRule="auto"/>
            </w:pPr>
            <w:r>
              <w:t>The authentication and reporting layer between verified participants and TCN-executed business workflows. Operationally, TCT is the artifact a participant presents (via wallet) to gain authorized entry to a workflow and the artifact through which that participant later sees the outcomes of that workflow.</w:t>
            </w:r>
          </w:p>
        </w:tc>
      </w:tr>
      <w:tr w:rsidR="000903FD" w14:paraId="6D55C87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D1C9AF" w14:textId="77777777" w:rsidR="000903FD" w:rsidRDefault="00000000">
            <w:pPr>
              <w:spacing w:line="280" w:lineRule="auto"/>
            </w:pPr>
            <w:r>
              <w:rPr>
                <w:b/>
                <w:bCs/>
              </w:rPr>
              <w:t>Commercial</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332D18" w14:textId="77777777" w:rsidR="000903FD" w:rsidRDefault="00000000">
            <w:pPr>
              <w:spacing w:line="280" w:lineRule="auto"/>
            </w:pPr>
            <w:r>
              <w:t xml:space="preserve">A merchandised product. TCTs are purchased by, or on behalf of, project listers, who instruct TCM to mint a cohort of credentials for the verified participants in a specific TCN project. Pricing, terms, and quantities are set per project. Holding a TCT is the priced precondition for TCN participation </w:t>
            </w:r>
            <w:r>
              <w:lastRenderedPageBreak/>
              <w:t xml:space="preserve">and is therefore economically significant to the holder — but </w:t>
            </w:r>
            <w:r w:rsidRPr="00083E8A">
              <w:rPr>
                <w:highlight w:val="yellow"/>
              </w:rPr>
              <w:t>the price reflects access to a service, not a claim on assets</w:t>
            </w:r>
            <w:r>
              <w:t>.</w:t>
            </w:r>
          </w:p>
        </w:tc>
      </w:tr>
    </w:tbl>
    <w:p w14:paraId="0EF923ED" w14:textId="77777777" w:rsidR="000903FD" w:rsidRDefault="00000000">
      <w:pPr>
        <w:pStyle w:val="Heading2"/>
      </w:pPr>
      <w:r>
        <w:lastRenderedPageBreak/>
        <w:t>2.2 The reporter / determiner distinction</w:t>
      </w:r>
    </w:p>
    <w:p w14:paraId="06E3FDB6" w14:textId="77777777" w:rsidR="000903FD" w:rsidRDefault="00000000">
      <w:pPr>
        <w:spacing w:after="120" w:line="300" w:lineRule="auto"/>
      </w:pPr>
      <w:r>
        <w:t>The single most important regulatory framing in this memo is the distinction between reporting on value and determining value. Both involve numbers, allocations, and outcomes. Only one of them attracts securities, commodities, money-transmission, or custody regulation as a matter of long-settled US doctrine.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03FD" w14:paraId="6829F334" w14:textId="77777777">
        <w:tblPrEx>
          <w:tblCellMar>
            <w:top w:w="0" w:type="dxa"/>
            <w:bottom w:w="0" w:type="dxa"/>
          </w:tblCellMar>
        </w:tblPrEx>
        <w:tc>
          <w:tcPr>
            <w:tcW w:w="9360" w:type="dxa"/>
            <w:tcBorders>
              <w:top w:val="single" w:sz="8" w:space="0" w:color="2E75B6"/>
              <w:left w:val="single" w:sz="8" w:space="0" w:color="2E75B6"/>
              <w:bottom w:val="single" w:sz="4" w:space="0" w:color="2E75B6"/>
              <w:right w:val="single" w:sz="8" w:space="0" w:color="2E75B6"/>
            </w:tcBorders>
            <w:shd w:val="clear" w:color="auto" w:fill="DEEBF6"/>
            <w:tcMar>
              <w:top w:w="160" w:type="dxa"/>
              <w:left w:w="200" w:type="dxa"/>
              <w:bottom w:w="80" w:type="dxa"/>
              <w:right w:w="200" w:type="dxa"/>
            </w:tcMar>
          </w:tcPr>
          <w:p w14:paraId="7388F4F3" w14:textId="77777777" w:rsidR="000903FD" w:rsidRDefault="00000000">
            <w:pPr>
              <w:spacing w:after="80"/>
            </w:pPr>
            <w:r>
              <w:rPr>
                <w:b/>
                <w:bCs/>
                <w:color w:val="1F3864"/>
              </w:rPr>
              <w:t>Reporter vs. determiner — the working definition</w:t>
            </w:r>
          </w:p>
        </w:tc>
      </w:tr>
      <w:tr w:rsidR="000903FD" w14:paraId="41F7B401" w14:textId="77777777">
        <w:tblPrEx>
          <w:tblCellMar>
            <w:top w:w="0" w:type="dxa"/>
            <w:bottom w:w="0" w:type="dxa"/>
          </w:tblCellMar>
        </w:tblPrEx>
        <w:tc>
          <w:tcPr>
            <w:tcW w:w="9360" w:type="dxa"/>
            <w:tcBorders>
              <w:left w:val="single" w:sz="8" w:space="0" w:color="2E75B6"/>
              <w:bottom w:val="single" w:sz="8" w:space="0" w:color="2E75B6"/>
              <w:right w:val="single" w:sz="8" w:space="0" w:color="2E75B6"/>
            </w:tcBorders>
            <w:shd w:val="clear" w:color="auto" w:fill="DEEBF6"/>
            <w:tcMar>
              <w:top w:w="0" w:type="dxa"/>
              <w:left w:w="200" w:type="dxa"/>
              <w:bottom w:w="160" w:type="dxa"/>
              <w:right w:w="200" w:type="dxa"/>
            </w:tcMar>
          </w:tcPr>
          <w:p w14:paraId="2C640582" w14:textId="77777777" w:rsidR="000903FD" w:rsidRDefault="00000000">
            <w:pPr>
              <w:spacing w:after="100" w:line="280" w:lineRule="auto"/>
            </w:pPr>
            <w:r>
              <w:rPr>
                <w:b/>
                <w:bCs/>
              </w:rPr>
              <w:t xml:space="preserve">Reporter. </w:t>
            </w:r>
            <w:r>
              <w:t>Surfaces facts that have already been determined by an authoritative third party. Examples: a financial newspaper, a price-reporting agency, a court docket, a public records search. The reporter does not create the fact, does not hold the asset, does not effectuate the transfer, and does not stand between counterparties.</w:t>
            </w:r>
          </w:p>
          <w:p w14:paraId="14340A1F" w14:textId="77777777" w:rsidR="000903FD" w:rsidRDefault="00000000">
            <w:pPr>
              <w:spacing w:after="100" w:line="280" w:lineRule="auto"/>
            </w:pPr>
            <w:r>
              <w:rPr>
                <w:b/>
                <w:bCs/>
              </w:rPr>
              <w:t xml:space="preserve">Determiner / custodian / issuer. </w:t>
            </w:r>
            <w:r>
              <w:t>Creates, holds, calculates, or transfers the underlying value. Examples: a broker-dealer, a transfer agent, a money transmitter, an issuer of a security. The determiner is the party whose action causes the economic outcome.</w:t>
            </w:r>
          </w:p>
          <w:p w14:paraId="2B74FC16" w14:textId="5F23E2DC" w:rsidR="000903FD" w:rsidRDefault="00000000">
            <w:pPr>
              <w:spacing w:after="100" w:line="280" w:lineRule="auto"/>
            </w:pPr>
            <w:r>
              <w:rPr>
                <w:b/>
                <w:bCs/>
              </w:rPr>
              <w:t xml:space="preserve">Where TCT sits. </w:t>
            </w:r>
            <w:r>
              <w:t>TCT is a reporter. Outcomes — including economic ones — are determined by TCN workflow logic acting under</w:t>
            </w:r>
            <w:r w:rsidR="00083E8A">
              <w:t xml:space="preserve">, in some instances, </w:t>
            </w:r>
            <w:r>
              <w:t>instructions from off-chain legal entities. TCT records pointers to those determinations and renders them in participant-facing views. TCT never holds custody, never effectuates a transfer, never calculates an entitlement, and never stands between counterparties.</w:t>
            </w:r>
          </w:p>
        </w:tc>
      </w:tr>
    </w:tbl>
    <w:p w14:paraId="56C1664D" w14:textId="77777777" w:rsidR="000903FD" w:rsidRDefault="00000000">
      <w:pPr>
        <w:pStyle w:val="Heading2"/>
      </w:pPr>
      <w:r>
        <w:t>2.3 Closing the logical gap</w:t>
      </w:r>
    </w:p>
    <w:p w14:paraId="547E6CF1" w14:textId="77777777" w:rsidR="000903FD" w:rsidRDefault="00000000">
      <w:pPr>
        <w:spacing w:after="120" w:line="300" w:lineRule="auto"/>
      </w:pPr>
      <w:r>
        <w:t>The reviewer-identified logical gap was this: if TCT is the precondition for participating in workflows that have economic outcomes, regulators could argue that TCT indirectly carries economic value, and therefore the non-economic framing is rhetorical. The Rev 2 answer is that this is essentially correct as a matter of economics and essentially irrelevant as a matter of law. Holding a CME membership has economic value; holding a brokerage account has economic value; holding a passport has economic value. The regulatory question is not whether the credential is economically significant to its holder but whether the credential itself constitutes an investment contract, security, derivative, deposit, or transmissible value. TCT does not, by construction:</w:t>
      </w:r>
    </w:p>
    <w:p w14:paraId="112632A5" w14:textId="77777777" w:rsidR="000903FD" w:rsidRDefault="00000000">
      <w:pPr>
        <w:pStyle w:val="ListParagraph"/>
        <w:numPr>
          <w:ilvl w:val="0"/>
          <w:numId w:val="2"/>
        </w:numPr>
        <w:spacing w:after="80" w:line="290" w:lineRule="auto"/>
      </w:pPr>
      <w:r>
        <w:t>It is not transferable, so there is no secondary market for its appreciation.</w:t>
      </w:r>
    </w:p>
    <w:p w14:paraId="0171964C" w14:textId="77777777" w:rsidR="000903FD" w:rsidRDefault="00000000">
      <w:pPr>
        <w:pStyle w:val="ListParagraph"/>
        <w:numPr>
          <w:ilvl w:val="0"/>
          <w:numId w:val="2"/>
        </w:numPr>
        <w:spacing w:after="80" w:line="290" w:lineRule="auto"/>
      </w:pPr>
      <w:r>
        <w:t>It is not redeemable for anything, so there is no claim on a pool of assets.</w:t>
      </w:r>
    </w:p>
    <w:p w14:paraId="7D9F977B" w14:textId="77777777" w:rsidR="000903FD" w:rsidRDefault="00000000">
      <w:pPr>
        <w:pStyle w:val="ListParagraph"/>
        <w:numPr>
          <w:ilvl w:val="0"/>
          <w:numId w:val="2"/>
        </w:numPr>
        <w:spacing w:after="80" w:line="290" w:lineRule="auto"/>
      </w:pPr>
      <w:r>
        <w:t>It does not pay yield, dividends, or distributions, so there is no profit-from-the-efforts-of-others.</w:t>
      </w:r>
    </w:p>
    <w:p w14:paraId="6E833A86" w14:textId="77777777" w:rsidR="000903FD" w:rsidRDefault="00000000">
      <w:pPr>
        <w:pStyle w:val="ListParagraph"/>
        <w:numPr>
          <w:ilvl w:val="0"/>
          <w:numId w:val="2"/>
        </w:numPr>
        <w:spacing w:after="80" w:line="290" w:lineRule="auto"/>
      </w:pPr>
      <w:r>
        <w:t>It does not represent an undivided interest in anything, so there is no investment contract.</w:t>
      </w:r>
    </w:p>
    <w:p w14:paraId="3B692130" w14:textId="77777777" w:rsidR="000903FD" w:rsidRDefault="00000000">
      <w:pPr>
        <w:pStyle w:val="ListParagraph"/>
        <w:numPr>
          <w:ilvl w:val="0"/>
          <w:numId w:val="2"/>
        </w:numPr>
        <w:spacing w:after="80" w:line="290" w:lineRule="auto"/>
      </w:pPr>
      <w:r>
        <w:lastRenderedPageBreak/>
        <w:t>It does not store, transfer, or settle value, so there is no money-transmission function.</w:t>
      </w:r>
    </w:p>
    <w:p w14:paraId="4B2B07AD" w14:textId="77777777" w:rsidR="000903FD" w:rsidRDefault="00000000">
      <w:pPr>
        <w:spacing w:after="120" w:line="300" w:lineRule="auto"/>
      </w:pPr>
      <w:r>
        <w:t>What TCT does is grant authenticated access to TCN workflows in exchange for a price set by a project lister. That is a service-access contract, not a security, and the architecture is designed to keep it that way.</w:t>
      </w:r>
    </w:p>
    <w:p w14:paraId="4CD25E80" w14:textId="77777777" w:rsidR="000903FD" w:rsidRDefault="00000000">
      <w:pPr>
        <w:pStyle w:val="Heading2"/>
      </w:pPr>
      <w:r>
        <w:t>2.4 Operational implication</w:t>
      </w:r>
    </w:p>
    <w:p w14:paraId="3D80287F" w14:textId="77777777" w:rsidR="000903FD" w:rsidRDefault="00000000">
      <w:pPr>
        <w:spacing w:after="120" w:line="300" w:lineRule="auto"/>
      </w:pPr>
      <w:r>
        <w:t>The reporter/determiner distinction is not just a defensive frame; it constrains design. Every field, function, and message in the system must be auditable to one of two categories: (i) a reporting artifact derived from an authoritative external source, or (ii) a credential/access primitive with no embedded value semantics. The §4.3 "prohibited list" in Rev 2 is rewritten against this constraint.</w:t>
      </w:r>
    </w:p>
    <w:p w14:paraId="789E5B5D" w14:textId="77777777" w:rsidR="000903FD" w:rsidRDefault="000903FD">
      <w:pPr>
        <w:spacing w:after="60"/>
      </w:pPr>
    </w:p>
    <w:p w14:paraId="6E23E6B5" w14:textId="77777777" w:rsidR="000903FD" w:rsidRDefault="00000000">
      <w:pPr>
        <w:pStyle w:val="Heading1"/>
      </w:pPr>
      <w:r>
        <w:t>3. Design objectives for TCT</w:t>
      </w:r>
    </w:p>
    <w:p w14:paraId="7256AB8E" w14:textId="77777777" w:rsidR="000903FD" w:rsidRDefault="00000000">
      <w:pPr>
        <w:spacing w:after="120" w:line="300" w:lineRule="auto"/>
      </w:pPr>
      <w:r>
        <w:t>The token must satisfy six properties that are derived from the architecture documents and the §2 definitions. None of these properties is negotiable in the first production release; relaxing any one would either collapse a layer boundary or invalidate a key claim in the provisional patent.</w:t>
      </w:r>
    </w:p>
    <w:p w14:paraId="020065E5" w14:textId="77777777" w:rsidR="000903FD" w:rsidRDefault="00000000">
      <w:pPr>
        <w:pStyle w:val="ListParagraph"/>
        <w:numPr>
          <w:ilvl w:val="0"/>
          <w:numId w:val="2"/>
        </w:numPr>
        <w:spacing w:after="80" w:line="290" w:lineRule="auto"/>
      </w:pPr>
      <w:r>
        <w:rPr>
          <w:b/>
          <w:bCs/>
        </w:rPr>
        <w:t xml:space="preserve">Non-transferable. </w:t>
      </w:r>
      <w:r>
        <w:t>Transfer paths must be structurally blocked at the contract level, not merely disabled by policy. A credential that can be moved between wallets becomes a portable license, which destroys the identity binding and recreates the conflation problem the architecture is built to avoid.</w:t>
      </w:r>
    </w:p>
    <w:p w14:paraId="6451A6AE" w14:textId="77777777" w:rsidR="000903FD" w:rsidRDefault="00000000">
      <w:pPr>
        <w:pStyle w:val="ListParagraph"/>
        <w:numPr>
          <w:ilvl w:val="0"/>
          <w:numId w:val="2"/>
        </w:numPr>
        <w:spacing w:after="80" w:line="290" w:lineRule="auto"/>
      </w:pPr>
      <w:r>
        <w:rPr>
          <w:b/>
          <w:bCs/>
        </w:rPr>
        <w:t xml:space="preserve">Identity-bound. </w:t>
      </w:r>
      <w:r>
        <w:t>Each TCT is permanently associated with a verified identity record held in TCM's segregated identity vault. Only a hash or pseudonym of that identity ever reaches chain. KYC vetting drives both the identity binding and the jurisdiction code.</w:t>
      </w:r>
    </w:p>
    <w:p w14:paraId="2B744CA9" w14:textId="77777777" w:rsidR="000903FD" w:rsidRDefault="00000000">
      <w:pPr>
        <w:pStyle w:val="ListParagraph"/>
        <w:numPr>
          <w:ilvl w:val="0"/>
          <w:numId w:val="2"/>
        </w:numPr>
        <w:spacing w:after="80" w:line="290" w:lineRule="auto"/>
      </w:pPr>
      <w:r>
        <w:rPr>
          <w:b/>
          <w:bCs/>
        </w:rPr>
        <w:t xml:space="preserve">Permissioned. </w:t>
      </w:r>
      <w:r>
        <w:t>Mint, activation, suspension, revocation, and renewal are gated by TCM-controlled roles. There is no permissionless path to acquisition. Project listers instruct issuance; TCM verifies and executes.</w:t>
      </w:r>
    </w:p>
    <w:p w14:paraId="27ADCC02" w14:textId="77777777" w:rsidR="000903FD" w:rsidRDefault="00000000">
      <w:pPr>
        <w:pStyle w:val="ListParagraph"/>
        <w:numPr>
          <w:ilvl w:val="0"/>
          <w:numId w:val="2"/>
        </w:numPr>
        <w:spacing w:after="80" w:line="290" w:lineRule="auto"/>
      </w:pPr>
      <w:r>
        <w:rPr>
          <w:b/>
          <w:bCs/>
        </w:rPr>
        <w:t xml:space="preserve">Cryptographically verifiable. </w:t>
      </w:r>
      <w:r>
        <w:t>Authorization checks must be answerable from on-chain state alone (does the wallet hold the credential, is it active, is compliance verified) without recourse to off-chain calls during a workflow's hot path.</w:t>
      </w:r>
    </w:p>
    <w:p w14:paraId="51782FAF" w14:textId="77777777" w:rsidR="000903FD" w:rsidRDefault="00000000">
      <w:pPr>
        <w:pStyle w:val="ListParagraph"/>
        <w:numPr>
          <w:ilvl w:val="0"/>
          <w:numId w:val="2"/>
        </w:numPr>
        <w:spacing w:after="80" w:line="290" w:lineRule="auto"/>
      </w:pPr>
      <w:r>
        <w:rPr>
          <w:b/>
          <w:bCs/>
        </w:rPr>
        <w:t xml:space="preserve">Outcome-reporting capable. </w:t>
      </w:r>
      <w:r>
        <w:t>The TCT-anchored data model must support pointers to TCN execution outcomes — references only, never the underlying value — with a stable canonical event hash for idempotent synchronization. TCT reports; it does not determine.</w:t>
      </w:r>
    </w:p>
    <w:p w14:paraId="0ACA26F1" w14:textId="77777777" w:rsidR="000903FD" w:rsidRDefault="00000000">
      <w:pPr>
        <w:pStyle w:val="ListParagraph"/>
        <w:numPr>
          <w:ilvl w:val="0"/>
          <w:numId w:val="2"/>
        </w:numPr>
        <w:spacing w:after="80" w:line="290" w:lineRule="auto"/>
      </w:pPr>
      <w:r>
        <w:rPr>
          <w:b/>
          <w:bCs/>
        </w:rPr>
        <w:t xml:space="preserve">Non-value-bearing (in the regulatory sense of §2). </w:t>
      </w:r>
      <w:r>
        <w:t>No balances beyond the binary holds-credential / does-not-hold semantic; no payout logic, no redemption, no yield, no custody, no claim representation. TCT may report on amounts determined elsewhere; it may not itself constitute, store, or transfer them.</w:t>
      </w:r>
    </w:p>
    <w:p w14:paraId="0844A147" w14:textId="77777777" w:rsidR="000903FD" w:rsidRDefault="000903FD">
      <w:pPr>
        <w:spacing w:after="60"/>
      </w:pPr>
    </w:p>
    <w:p w14:paraId="4BEBDD56" w14:textId="77777777" w:rsidR="000903FD" w:rsidRDefault="00000000">
      <w:pPr>
        <w:pStyle w:val="Heading1"/>
      </w:pPr>
      <w:r>
        <w:t>4. Token architecture and standard selection</w:t>
      </w:r>
    </w:p>
    <w:p w14:paraId="3296FD17" w14:textId="77777777" w:rsidR="000903FD" w:rsidRDefault="00000000">
      <w:pPr>
        <w:pStyle w:val="Heading2"/>
      </w:pPr>
      <w:r>
        <w:t>4.1 Standard: ERC-1155 with transfer hooks disabled</w:t>
      </w:r>
    </w:p>
    <w:p w14:paraId="657834D1" w14:textId="77777777" w:rsidR="000903FD" w:rsidRDefault="00000000">
      <w:pPr>
        <w:spacing w:after="120" w:line="300" w:lineRule="auto"/>
      </w:pPr>
      <w:r>
        <w:t>The provisional patent intentionally describes the token in standard-agnostic terms (ERC-20, 721, 1155, 3643, 5192, 6551, EIP-712, DIDs, verifiable credentials) so that claim scope is preserved across implementations. For the first production release, the recommended standard is ERC-1155 with transfer hooks overridden to revert all transfers except mint and (optionally) burn. The reasoning, with Rev 2 clarifications:</w:t>
      </w:r>
    </w:p>
    <w:p w14:paraId="4F8F317B" w14:textId="77777777" w:rsidR="000903FD" w:rsidRDefault="00000000">
      <w:pPr>
        <w:pStyle w:val="ListParagraph"/>
        <w:numPr>
          <w:ilvl w:val="0"/>
          <w:numId w:val="2"/>
        </w:numPr>
        <w:spacing w:after="80" w:line="290" w:lineRule="auto"/>
      </w:pPr>
      <w:r>
        <w:t xml:space="preserve">ERC-1155 supports a single contract holding multiple token IDs. This is the foundation for separating the </w:t>
      </w:r>
      <w:r>
        <w:rPr>
          <w:b/>
          <w:bCs/>
        </w:rPr>
        <w:t>TCT credential ID range</w:t>
      </w:r>
      <w:r>
        <w:t xml:space="preserve"> from </w:t>
      </w:r>
      <w:r>
        <w:rPr>
          <w:b/>
          <w:bCs/>
        </w:rPr>
        <w:t>TCN workflow token IDs</w:t>
      </w:r>
      <w:r>
        <w:t xml:space="preserve">, which are themselves a separate inventive concept and potentially patentable as workflow-specific representational artifacts. </w:t>
      </w:r>
      <w:r w:rsidRPr="00083E8A">
        <w:rPr>
          <w:highlight w:val="yellow"/>
        </w:rPr>
        <w:t xml:space="preserve">The ERC-1155 multi-ID structure is what allows TCT credentials, operator credentials, observer credentials, and TCN workflow tokens to coexist in coherent ID ranges without redeploying </w:t>
      </w:r>
      <w:commentRangeStart w:id="0"/>
      <w:r w:rsidRPr="00083E8A">
        <w:rPr>
          <w:highlight w:val="yellow"/>
        </w:rPr>
        <w:t>contracts</w:t>
      </w:r>
      <w:commentRangeEnd w:id="0"/>
      <w:r w:rsidR="00083E8A">
        <w:rPr>
          <w:rStyle w:val="CommentReference"/>
          <w:sz w:val="22"/>
          <w:szCs w:val="22"/>
        </w:rPr>
        <w:commentReference w:id="0"/>
      </w:r>
      <w:r>
        <w:t>.</w:t>
      </w:r>
    </w:p>
    <w:p w14:paraId="436A29AE" w14:textId="77777777" w:rsidR="000903FD" w:rsidRDefault="00000000">
      <w:pPr>
        <w:pStyle w:val="ListParagraph"/>
        <w:numPr>
          <w:ilvl w:val="0"/>
          <w:numId w:val="2"/>
        </w:numPr>
        <w:spacing w:after="80" w:line="290" w:lineRule="auto"/>
      </w:pPr>
      <w:r>
        <w:t xml:space="preserve">Mint and update operations are batchable, which materially affects gas economics when TCTs are issued in cohorts (per-project, instructed by project listers). The system is not high-frequency; credential state changes are lifecycle events (activate, suspend, update compliance), not continuous trading. Batching dominates the cost model. </w:t>
      </w:r>
    </w:p>
    <w:p w14:paraId="5ACDC490" w14:textId="77777777" w:rsidR="000903FD" w:rsidRDefault="00000000">
      <w:pPr>
        <w:pStyle w:val="ListParagraph"/>
        <w:numPr>
          <w:ilvl w:val="0"/>
          <w:numId w:val="2"/>
        </w:numPr>
        <w:spacing w:after="80" w:line="290" w:lineRule="auto"/>
      </w:pPr>
      <w:r>
        <w:t>Most existing wallets, indexers, and explorers handle ERC-1155 cleanly, which lowers the integration burden on the TCM portal and on third-party verifiers. TCM is positioned as the verifier — a revenue stream in its own right.</w:t>
      </w:r>
    </w:p>
    <w:p w14:paraId="22FAA5AD" w14:textId="77777777" w:rsidR="000903FD" w:rsidRDefault="00000000">
      <w:pPr>
        <w:pStyle w:val="ListParagraph"/>
        <w:numPr>
          <w:ilvl w:val="0"/>
          <w:numId w:val="2"/>
        </w:numPr>
        <w:spacing w:after="80" w:line="290" w:lineRule="auto"/>
      </w:pPr>
      <w:r>
        <w:t xml:space="preserve">Tooling for ERC-1155 with transfers disabled is mature. </w:t>
      </w:r>
      <w:r>
        <w:rPr>
          <w:b/>
          <w:bCs/>
        </w:rPr>
        <w:t xml:space="preserve">Why ERC-1155 over ERC-5192 (soulbound): </w:t>
      </w:r>
      <w:r>
        <w:t>ERC-5192 is inherently non-transferable, but ERC-1155 with disabled transfer hooks delivers the same practical non-transferability while providing significant efficiency advantages for batch operations, multi-class token management, and gas economics. ERC-5192 can still be implemented as a complementary marker interface so explorers and aggregators recognize the soulbound semantic.</w:t>
      </w:r>
    </w:p>
    <w:p w14:paraId="04B29DC4" w14:textId="77777777" w:rsidR="000903FD" w:rsidRDefault="00000000">
      <w:pPr>
        <w:spacing w:after="120" w:line="300" w:lineRule="auto"/>
      </w:pPr>
      <w:r>
        <w:t>Two alternatives were considered and deferred. ERC-721 with soulbound semantics is simpler but does not give the multi-class headroom for TCN workflow tokens. ERC-3643 (the permissioned-token standard used in regulated security-token deployments) is closer in spirit but is heavier than required given that TCT is explicitly a reporter not a security; adopting it would invite the very securities framing the architecture is designed to avoid.</w:t>
      </w:r>
    </w:p>
    <w:p w14:paraId="535B195B" w14:textId="77777777" w:rsidR="000903FD" w:rsidRDefault="00000000">
      <w:pPr>
        <w:pStyle w:val="Heading2"/>
      </w:pPr>
      <w:r>
        <w:t>4.2 Credential class structure</w:t>
      </w:r>
    </w:p>
    <w:p w14:paraId="68E897E4" w14:textId="77777777" w:rsidR="000903FD" w:rsidRDefault="00000000">
      <w:pPr>
        <w:spacing w:after="120" w:line="300" w:lineRule="auto"/>
      </w:pPr>
      <w:r>
        <w:t>v1 reserves a single base credential ID for the standard TCT. The ID space is structured so that the following classes can be added later without redeploying: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160"/>
        <w:gridCol w:w="2000"/>
      </w:tblGrid>
      <w:tr w:rsidR="000903FD" w14:paraId="2AEA42F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3E17EBE2" w14:textId="77777777" w:rsidR="000903FD" w:rsidRDefault="00000000">
            <w:pPr>
              <w:spacing w:line="280" w:lineRule="auto"/>
            </w:pPr>
            <w:r>
              <w:rPr>
                <w:b/>
                <w:bCs/>
              </w:rPr>
              <w:lastRenderedPageBreak/>
              <w:t>ID range</w:t>
            </w:r>
          </w:p>
        </w:tc>
        <w:tc>
          <w:tcPr>
            <w:tcW w:w="516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36C0FFB7" w14:textId="77777777" w:rsidR="000903FD" w:rsidRDefault="00000000">
            <w:pPr>
              <w:spacing w:line="280" w:lineRule="auto"/>
            </w:pPr>
            <w:r>
              <w:rPr>
                <w:b/>
                <w:bCs/>
              </w:rPr>
              <w:t>Purpose</w:t>
            </w:r>
          </w:p>
        </w:tc>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251ED551" w14:textId="77777777" w:rsidR="000903FD" w:rsidRDefault="00000000">
            <w:pPr>
              <w:spacing w:line="280" w:lineRule="auto"/>
            </w:pPr>
            <w:r>
              <w:rPr>
                <w:b/>
                <w:bCs/>
              </w:rPr>
              <w:t>Status</w:t>
            </w:r>
          </w:p>
        </w:tc>
      </w:tr>
      <w:tr w:rsidR="000903FD" w14:paraId="536945D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18D772" w14:textId="77777777" w:rsidR="000903FD" w:rsidRDefault="00000000">
            <w:pPr>
              <w:spacing w:line="280" w:lineRule="auto"/>
            </w:pPr>
            <w:r>
              <w:t>0x0001</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0E3410" w14:textId="77777777" w:rsidR="000903FD" w:rsidRDefault="00000000">
            <w:pPr>
              <w:spacing w:line="280" w:lineRule="auto"/>
            </w:pPr>
            <w:r>
              <w:t>Base participant credential (v1)</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F02931" w14:textId="77777777" w:rsidR="000903FD" w:rsidRDefault="00000000">
            <w:pPr>
              <w:spacing w:line="280" w:lineRule="auto"/>
            </w:pPr>
            <w:r>
              <w:t>Ship in v1</w:t>
            </w:r>
          </w:p>
        </w:tc>
      </w:tr>
      <w:tr w:rsidR="000903FD" w14:paraId="5ADA194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A951DA" w14:textId="77777777" w:rsidR="000903FD" w:rsidRDefault="00000000">
            <w:pPr>
              <w:spacing w:line="280" w:lineRule="auto"/>
            </w:pPr>
            <w:r>
              <w:t>0x0002 – 0x000F</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B5DEA0" w14:textId="77777777" w:rsidR="000903FD" w:rsidRDefault="00000000">
            <w:pPr>
              <w:spacing w:line="280" w:lineRule="auto"/>
            </w:pPr>
            <w:r>
              <w:t>Operator credentials (e.g., project lister admin, TCM compliance officer)</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2A966F" w14:textId="77777777" w:rsidR="000903FD" w:rsidRDefault="00000000">
            <w:pPr>
              <w:spacing w:line="280" w:lineRule="auto"/>
            </w:pPr>
            <w:r>
              <w:t>Reserved, defined as needed</w:t>
            </w:r>
          </w:p>
        </w:tc>
      </w:tr>
      <w:tr w:rsidR="000903FD" w14:paraId="0F8BF34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07D968" w14:textId="77777777" w:rsidR="000903FD" w:rsidRDefault="00000000">
            <w:pPr>
              <w:spacing w:line="280" w:lineRule="auto"/>
            </w:pPr>
            <w:r>
              <w:t>0x0010 – 0x001F</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2C6237" w14:textId="77777777" w:rsidR="000903FD" w:rsidRDefault="00000000">
            <w:pPr>
              <w:spacing w:line="280" w:lineRule="auto"/>
            </w:pPr>
            <w:r>
              <w:t>Observer / auditor credentials (read-only access)</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C0C680" w14:textId="77777777" w:rsidR="000903FD" w:rsidRDefault="00000000">
            <w:pPr>
              <w:spacing w:line="280" w:lineRule="auto"/>
            </w:pPr>
            <w:r>
              <w:t>Reserved</w:t>
            </w:r>
          </w:p>
        </w:tc>
      </w:tr>
      <w:tr w:rsidR="000903FD" w14:paraId="3052EE9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005E95" w14:textId="77777777" w:rsidR="000903FD" w:rsidRDefault="00000000">
            <w:pPr>
              <w:spacing w:line="280" w:lineRule="auto"/>
            </w:pPr>
            <w:r>
              <w:t>0x0020 – 0x002F</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393CAB" w14:textId="77777777" w:rsidR="000903FD" w:rsidRDefault="00000000">
            <w:pPr>
              <w:spacing w:line="280" w:lineRule="auto"/>
            </w:pPr>
            <w:r>
              <w:t>Jurisdiction-specific credentials (where local rules differ)</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D92AFD" w14:textId="77777777" w:rsidR="000903FD" w:rsidRDefault="00000000">
            <w:pPr>
              <w:spacing w:line="280" w:lineRule="auto"/>
            </w:pPr>
            <w:r>
              <w:t>Reserved</w:t>
            </w:r>
          </w:p>
        </w:tc>
      </w:tr>
      <w:tr w:rsidR="000903FD" w14:paraId="13484B6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983061" w14:textId="77777777" w:rsidR="000903FD" w:rsidRDefault="00000000">
            <w:pPr>
              <w:spacing w:line="280" w:lineRule="auto"/>
            </w:pPr>
            <w:r>
              <w:t>0x0100 – 0xFFFF</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85006A" w14:textId="77777777" w:rsidR="000903FD" w:rsidRDefault="00000000">
            <w:pPr>
              <w:spacing w:line="280" w:lineRule="auto"/>
            </w:pPr>
            <w:r>
              <w:t>TCN workflow tokens (per-workflow representational artifacts)</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6D89B1" w14:textId="77777777" w:rsidR="000903FD" w:rsidRDefault="00000000">
            <w:pPr>
              <w:spacing w:line="280" w:lineRule="auto"/>
            </w:pPr>
            <w:r>
              <w:t>Out of TCT scope — TCN managed</w:t>
            </w:r>
          </w:p>
        </w:tc>
      </w:tr>
    </w:tbl>
    <w:p w14:paraId="57829121" w14:textId="77777777" w:rsidR="000903FD" w:rsidRDefault="00000000">
      <w:pPr>
        <w:spacing w:after="120" w:line="300" w:lineRule="auto"/>
      </w:pPr>
      <w:r>
        <w:t>The reservation of a high range for TCN workflow tokens is deliberate. TCN workflow tokens are operationally distinct from TCT credentials — they represent workflow positions, allocations, or state, not authentication. They are likely to be the subject of separate patent claims (per the patent's Family E and the broader workflow-monitoring architecture). Keeping the ID ranges segregated from day one preserves that separation.</w:t>
      </w:r>
    </w:p>
    <w:p w14:paraId="4706747B" w14:textId="77777777" w:rsidR="000903FD" w:rsidRDefault="00000000">
      <w:pPr>
        <w:pStyle w:val="Heading2"/>
      </w:pPr>
      <w:r>
        <w:t>4.3 Two-contract package: credential + outcome reference registry</w:t>
      </w:r>
    </w:p>
    <w:p w14:paraId="5DAF7630" w14:textId="77777777" w:rsidR="000903FD" w:rsidRDefault="00000000">
      <w:pPr>
        <w:spacing w:after="120" w:line="300" w:lineRule="auto"/>
      </w:pPr>
      <w:r>
        <w:t>Following the patent's preferred embodiment, the on-chain footprint is split into two contracts: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80"/>
        <w:gridCol w:w="3080"/>
      </w:tblGrid>
      <w:tr w:rsidR="000903FD" w14:paraId="6C0258B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2F55F1AB" w14:textId="77777777" w:rsidR="000903FD" w:rsidRDefault="00000000">
            <w:pPr>
              <w:spacing w:line="280" w:lineRule="auto"/>
            </w:pPr>
            <w:r>
              <w:rPr>
                <w:b/>
                <w:bCs/>
              </w:rPr>
              <w:t>Contract</w:t>
            </w:r>
          </w:p>
        </w:tc>
        <w:tc>
          <w:tcPr>
            <w:tcW w:w="408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0F250BFC" w14:textId="77777777" w:rsidR="000903FD" w:rsidRDefault="00000000">
            <w:pPr>
              <w:spacing w:line="280" w:lineRule="auto"/>
            </w:pPr>
            <w:r>
              <w:rPr>
                <w:b/>
                <w:bCs/>
              </w:rPr>
              <w:t>Purpose</w:t>
            </w:r>
          </w:p>
        </w:tc>
        <w:tc>
          <w:tcPr>
            <w:tcW w:w="308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1B497460" w14:textId="77777777" w:rsidR="000903FD" w:rsidRDefault="00000000">
            <w:pPr>
              <w:spacing w:line="280" w:lineRule="auto"/>
            </w:pPr>
            <w:r>
              <w:rPr>
                <w:b/>
                <w:bCs/>
              </w:rPr>
              <w:t>Why separated</w:t>
            </w:r>
          </w:p>
        </w:tc>
      </w:tr>
      <w:tr w:rsidR="000903FD" w14:paraId="069B4A8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118BFE" w14:textId="77777777" w:rsidR="000903FD" w:rsidRDefault="00000000">
            <w:pPr>
              <w:spacing w:line="280" w:lineRule="auto"/>
            </w:pPr>
            <w:r>
              <w:t>TCTCredential</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345556" w14:textId="77777777" w:rsidR="000903FD" w:rsidRDefault="00000000">
            <w:pPr>
              <w:spacing w:line="280" w:lineRule="auto"/>
            </w:pPr>
            <w:r>
              <w:t>Mint, lifecycle state, identity binding, compliance status, jurisdiction, network ID, role-based access control. Nothing else.</w:t>
            </w:r>
          </w:p>
        </w:tc>
        <w:tc>
          <w:tcPr>
            <w:tcW w:w="3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BA715A" w14:textId="77777777" w:rsidR="000903FD" w:rsidRDefault="00000000">
            <w:pPr>
              <w:spacing w:line="280" w:lineRule="auto"/>
            </w:pPr>
            <w:r>
              <w:t>Stays small, audit-stable, and rarely upgraded. Holds the data that is most security-sensitive.</w:t>
            </w:r>
          </w:p>
        </w:tc>
      </w:tr>
      <w:tr w:rsidR="000903FD" w14:paraId="7203B34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863BA4" w14:textId="77777777" w:rsidR="000903FD" w:rsidRDefault="00000000">
            <w:pPr>
              <w:spacing w:line="280" w:lineRule="auto"/>
            </w:pPr>
            <w:r>
              <w:t>TCTOutcomeRegistry</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AAB0F5" w14:textId="77777777" w:rsidR="000903FD" w:rsidRDefault="00000000">
            <w:pPr>
              <w:spacing w:line="280" w:lineRule="auto"/>
            </w:pPr>
            <w:r>
              <w:t>Records outcome references written by the synchronization service: event ID, event hash, contract ID, off-chain authority ref, result type (with sub-types), timestamps, chain reference, finality flag.</w:t>
            </w:r>
          </w:p>
        </w:tc>
        <w:tc>
          <w:tcPr>
            <w:tcW w:w="3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53918E" w14:textId="77777777" w:rsidR="000903FD" w:rsidRDefault="00000000">
            <w:pPr>
              <w:spacing w:line="280" w:lineRule="auto"/>
            </w:pPr>
            <w:r>
              <w:t>Reporting logic evolves faster than credential logic. Isolating it lets the registry be upgraded without touching the credential surface. Synchronization is the basis for a TCM/TCN sync-services revenue stream.</w:t>
            </w:r>
          </w:p>
        </w:tc>
      </w:tr>
    </w:tbl>
    <w:p w14:paraId="13026C17" w14:textId="77777777" w:rsidR="000903FD" w:rsidRDefault="000903FD">
      <w:pPr>
        <w:spacing w:after="60"/>
      </w:pPr>
    </w:p>
    <w:p w14:paraId="5EF95D09" w14:textId="77777777" w:rsidR="000903FD" w:rsidRDefault="00000000">
      <w:pPr>
        <w:spacing w:after="120" w:line="300" w:lineRule="auto"/>
      </w:pPr>
      <w:r>
        <w:t xml:space="preserve">The credential contract calls into the registry only for read paths during participant-view rendering. The registry's write path is gated by a dedicated SYNC_ROLE held by the synchronization service, never by </w:t>
      </w:r>
      <w:r>
        <w:lastRenderedPageBreak/>
        <w:t>end users. Per the commercial framing, synchronization access is a billable service charged to the entity operating the project, separate from the listing fee.</w:t>
      </w:r>
    </w:p>
    <w:p w14:paraId="1F730254" w14:textId="77777777" w:rsidR="000903FD" w:rsidRDefault="00000000">
      <w:pPr>
        <w:pStyle w:val="Heading2"/>
      </w:pPr>
      <w:r>
        <w:t>4.4 Network selection and chain-agnostic posture</w:t>
      </w:r>
    </w:p>
    <w:p w14:paraId="1A2D251D" w14:textId="77777777" w:rsidR="000903FD" w:rsidRDefault="00000000">
      <w:pPr>
        <w:spacing w:after="120" w:line="300" w:lineRule="auto"/>
      </w:pPr>
      <w:r>
        <w:t>Per the abstraction layer spec, network choice is an implementation detail behind the adapter interface, not a foundational decision. The recommended sequencing is: deploy first to Polygon PoS for cost and ecosystem reasons (validated against the no-high-frequency assumption above), run the full canonical event pipeline against it, and validate the abstraction layer by running a parallel adapter against a second network (Base is the obvious candidate) before any production migration. Mainnet Ethereum is reserved as an anchoring layer for periodic merkle-root commitments, not as the day-to-day execution chain.</w:t>
      </w:r>
    </w:p>
    <w:p w14:paraId="50F57FC8" w14:textId="77777777" w:rsidR="000903FD" w:rsidRDefault="00000000">
      <w:pPr>
        <w:spacing w:after="120" w:line="300" w:lineRule="auto"/>
      </w:pPr>
      <w:r>
        <w:t>Concretely, this means the TCT contracts are written to be deployable on any EVM-compatible chain, the chain registry is populated on day one with at least two network entries (one production, one staging-on-second-chain), and every credential record and outcome reference includes network_id from the first write. Without that discipline, the system inherits Polygon's assumptions permanently and the abstraction layer becomes a label rather than an architecture.</w:t>
      </w:r>
    </w:p>
    <w:p w14:paraId="753408F9" w14:textId="77777777" w:rsidR="000903FD" w:rsidRDefault="000903FD">
      <w:pPr>
        <w:spacing w:after="60"/>
      </w:pPr>
    </w:p>
    <w:p w14:paraId="6849392F" w14:textId="77777777" w:rsidR="000903FD" w:rsidRDefault="00000000">
      <w:pPr>
        <w:pStyle w:val="Heading1"/>
      </w:pPr>
      <w:r>
        <w:t>5. On-chain data model</w:t>
      </w:r>
    </w:p>
    <w:p w14:paraId="5C239C4F" w14:textId="77777777" w:rsidR="000903FD" w:rsidRDefault="00000000">
      <w:pPr>
        <w:spacing w:after="120" w:line="300" w:lineRule="auto"/>
      </w:pPr>
      <w:r w:rsidRPr="00263834">
        <w:rPr>
          <w:highlight w:val="yellow"/>
        </w:rPr>
        <w:t>The on-chain record is deliberately minimal. Anything sensitive lives in the TCM identity vault; anything determining economic outcomes lives off-chain in legal entities</w:t>
      </w:r>
      <w:r>
        <w:t>. The on-chain credential record holds only what is needed for authorization and for proving provenance during audit. The reporting registry holds only references — never the underlying values.</w:t>
      </w:r>
    </w:p>
    <w:p w14:paraId="5D30738A" w14:textId="77777777" w:rsidR="000903FD" w:rsidRDefault="00000000">
      <w:pPr>
        <w:pStyle w:val="Heading2"/>
      </w:pPr>
      <w:r>
        <w:t>5.1 Credential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0903FD" w14:paraId="632DA7A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26CD641A" w14:textId="77777777" w:rsidR="000903FD" w:rsidRDefault="00000000">
            <w:pPr>
              <w:spacing w:line="280" w:lineRule="auto"/>
            </w:pPr>
            <w:r>
              <w:rPr>
                <w:b/>
                <w:bCs/>
              </w:rPr>
              <w:t>Field</w:t>
            </w:r>
          </w:p>
        </w:tc>
        <w:tc>
          <w:tcPr>
            <w:tcW w:w="18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308613A9" w14:textId="77777777" w:rsidR="000903FD" w:rsidRDefault="00000000">
            <w:pPr>
              <w:spacing w:line="280" w:lineRule="auto"/>
            </w:pPr>
            <w:r>
              <w:rPr>
                <w:b/>
                <w:bCs/>
              </w:rPr>
              <w:t>Type</w:t>
            </w:r>
          </w:p>
        </w:tc>
        <w:tc>
          <w:tcPr>
            <w:tcW w:w="516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22AD088C" w14:textId="77777777" w:rsidR="000903FD" w:rsidRDefault="00000000">
            <w:pPr>
              <w:spacing w:line="280" w:lineRule="auto"/>
            </w:pPr>
            <w:r>
              <w:rPr>
                <w:b/>
                <w:bCs/>
              </w:rPr>
              <w:t>Notes</w:t>
            </w:r>
          </w:p>
        </w:tc>
      </w:tr>
      <w:tr w:rsidR="000903FD" w14:paraId="70EAFB2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85350A" w14:textId="77777777" w:rsidR="000903FD" w:rsidRDefault="00000000">
            <w:pPr>
              <w:spacing w:line="280" w:lineRule="auto"/>
            </w:pPr>
            <w:r>
              <w:t>token_id</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50A124" w14:textId="77777777" w:rsidR="000903FD" w:rsidRDefault="00000000">
            <w:pPr>
              <w:spacing w:line="280" w:lineRule="auto"/>
            </w:pPr>
            <w:r>
              <w:t>uint256</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42BA1E" w14:textId="77777777" w:rsidR="000903FD" w:rsidRDefault="00000000">
            <w:pPr>
              <w:spacing w:line="280" w:lineRule="auto"/>
            </w:pPr>
            <w:r>
              <w:t>Single base credential ID in v1; reserved ranges per §4.2</w:t>
            </w:r>
          </w:p>
        </w:tc>
      </w:tr>
      <w:tr w:rsidR="000903FD" w14:paraId="5C8EBCB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B1AA04" w14:textId="77777777" w:rsidR="000903FD" w:rsidRDefault="00000000">
            <w:pPr>
              <w:spacing w:line="280" w:lineRule="auto"/>
            </w:pPr>
            <w:r>
              <w:t>network_id</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D3FA67" w14:textId="77777777" w:rsidR="000903FD" w:rsidRDefault="00000000">
            <w:pPr>
              <w:spacing w:line="280" w:lineRule="auto"/>
            </w:pPr>
            <w:r>
              <w:t>bytes8</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39F592" w14:textId="77777777" w:rsidR="000903FD" w:rsidRDefault="00000000">
            <w:pPr>
              <w:spacing w:line="280" w:lineRule="auto"/>
            </w:pPr>
            <w:r>
              <w:t>Required. Identifies the chain this credential lives on. Required for multi-network rollout.</w:t>
            </w:r>
          </w:p>
        </w:tc>
      </w:tr>
      <w:tr w:rsidR="000903FD" w14:paraId="6BFC797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EA16FC" w14:textId="77777777" w:rsidR="000903FD" w:rsidRDefault="00000000">
            <w:pPr>
              <w:spacing w:line="280" w:lineRule="auto"/>
            </w:pPr>
            <w:r>
              <w:t>identity_binding</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80BA55" w14:textId="77777777" w:rsidR="000903FD" w:rsidRDefault="00000000">
            <w:pPr>
              <w:spacing w:line="280" w:lineRule="auto"/>
            </w:pPr>
            <w:r>
              <w:t>bytes32</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79213A" w14:textId="77777777" w:rsidR="000903FD" w:rsidRDefault="00000000">
            <w:pPr>
              <w:spacing w:line="280" w:lineRule="auto"/>
            </w:pPr>
            <w:r>
              <w:t>Hash of identity record (KYC-derived); never raw UUID, never PII</w:t>
            </w:r>
          </w:p>
        </w:tc>
      </w:tr>
      <w:tr w:rsidR="000903FD" w14:paraId="1CD20E9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CC0047" w14:textId="77777777" w:rsidR="000903FD" w:rsidRDefault="00000000">
            <w:pPr>
              <w:spacing w:line="280" w:lineRule="auto"/>
            </w:pPr>
            <w:r>
              <w:t>status</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3372FE" w14:textId="77777777" w:rsidR="000903FD" w:rsidRDefault="00000000">
            <w:pPr>
              <w:spacing w:line="280" w:lineRule="auto"/>
            </w:pPr>
            <w:r>
              <w:t>enum</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CF53E4" w14:textId="77777777" w:rsidR="000903FD" w:rsidRDefault="00000000">
            <w:pPr>
              <w:spacing w:line="280" w:lineRule="auto"/>
            </w:pPr>
            <w:r>
              <w:t>Pending / Active / Suspended / Revoked / Expired</w:t>
            </w:r>
          </w:p>
        </w:tc>
      </w:tr>
      <w:tr w:rsidR="000903FD" w14:paraId="7E95572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86C2F9" w14:textId="77777777" w:rsidR="000903FD" w:rsidRDefault="00000000">
            <w:pPr>
              <w:spacing w:line="280" w:lineRule="auto"/>
            </w:pPr>
            <w:r>
              <w:lastRenderedPageBreak/>
              <w:t>compliance_status</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F2978E" w14:textId="77777777" w:rsidR="000903FD" w:rsidRDefault="00000000">
            <w:pPr>
              <w:spacing w:line="280" w:lineRule="auto"/>
            </w:pPr>
            <w:r>
              <w:t>enum</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AD1F45" w14:textId="77777777" w:rsidR="000903FD" w:rsidRDefault="00000000">
            <w:pPr>
              <w:spacing w:line="280" w:lineRule="auto"/>
            </w:pPr>
            <w:r>
              <w:t>Verified / Pending / Failed / Restricted (derived from KYC vetting). Suspended state covers sanctions-block scenarios.</w:t>
            </w:r>
          </w:p>
        </w:tc>
      </w:tr>
      <w:tr w:rsidR="000903FD" w14:paraId="36440D3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3C8E9D" w14:textId="77777777" w:rsidR="000903FD" w:rsidRDefault="00000000">
            <w:pPr>
              <w:spacing w:line="280" w:lineRule="auto"/>
            </w:pPr>
            <w:r>
              <w:t>jurisdiction_code</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38002B" w14:textId="77777777" w:rsidR="000903FD" w:rsidRDefault="00000000">
            <w:pPr>
              <w:spacing w:line="280" w:lineRule="auto"/>
            </w:pPr>
            <w:r>
              <w:t>bytes4</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6B3104" w14:textId="77777777" w:rsidR="000903FD" w:rsidRDefault="00000000">
            <w:pPr>
              <w:spacing w:line="280" w:lineRule="auto"/>
            </w:pPr>
            <w:r>
              <w:t>ISO-style code; drives policy routing; derived from KYC</w:t>
            </w:r>
          </w:p>
        </w:tc>
      </w:tr>
      <w:tr w:rsidR="000903FD" w14:paraId="7250173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BAE71E" w14:textId="77777777" w:rsidR="000903FD" w:rsidRDefault="00000000">
            <w:pPr>
              <w:spacing w:line="280" w:lineRule="auto"/>
            </w:pPr>
            <w:r>
              <w:t>claims_version</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414D53" w14:textId="77777777" w:rsidR="000903FD" w:rsidRDefault="00000000">
            <w:pPr>
              <w:spacing w:line="280" w:lineRule="auto"/>
            </w:pPr>
            <w:r>
              <w:t>uint32</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406ADA" w14:textId="77777777" w:rsidR="000903FD" w:rsidRDefault="00000000">
            <w:pPr>
              <w:spacing w:line="280" w:lineRule="auto"/>
            </w:pPr>
            <w:r>
              <w:t>Schema version for the authorization context</w:t>
            </w:r>
          </w:p>
        </w:tc>
      </w:tr>
      <w:tr w:rsidR="000903FD" w14:paraId="6D671DD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979A16" w14:textId="77777777" w:rsidR="000903FD" w:rsidRDefault="00000000">
            <w:pPr>
              <w:spacing w:line="280" w:lineRule="auto"/>
            </w:pPr>
            <w:r>
              <w:t>issued_at, activated_at, updated_at, suspended_at, revoked_at, expired_at</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FEF045" w14:textId="77777777" w:rsidR="000903FD" w:rsidRDefault="00000000">
            <w:pPr>
              <w:spacing w:line="280" w:lineRule="auto"/>
            </w:pPr>
            <w:r>
              <w:t>uint64</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545C57" w14:textId="77777777" w:rsidR="000903FD" w:rsidRDefault="00000000">
            <w:pPr>
              <w:spacing w:line="280" w:lineRule="auto"/>
            </w:pPr>
            <w:r>
              <w:t>Audit timestamps. expired_at is required (regulator/auditor question).</w:t>
            </w:r>
          </w:p>
        </w:tc>
      </w:tr>
      <w:tr w:rsidR="000903FD" w14:paraId="35F61A7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F0AFB4" w14:textId="77777777" w:rsidR="000903FD" w:rsidRDefault="00000000">
            <w:pPr>
              <w:spacing w:line="280" w:lineRule="auto"/>
            </w:pPr>
            <w:r>
              <w:t>audit_root_hash</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9143C3" w14:textId="77777777" w:rsidR="000903FD" w:rsidRDefault="00000000">
            <w:pPr>
              <w:spacing w:line="280" w:lineRule="auto"/>
            </w:pPr>
            <w:r>
              <w:t>bytes32</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E17298" w14:textId="77777777" w:rsidR="000903FD" w:rsidRDefault="00000000">
            <w:pPr>
              <w:spacing w:line="280" w:lineRule="auto"/>
            </w:pPr>
            <w:r>
              <w:t>Refreshed on every state change for tamper evidence</w:t>
            </w:r>
          </w:p>
        </w:tc>
      </w:tr>
    </w:tbl>
    <w:p w14:paraId="3D63358E" w14:textId="77777777" w:rsidR="000903FD" w:rsidRDefault="00000000">
      <w:pPr>
        <w:pStyle w:val="Heading2"/>
      </w:pPr>
      <w:r>
        <w:t>5.2 Outcome reference record</w:t>
      </w:r>
    </w:p>
    <w:p w14:paraId="220A6400" w14:textId="77777777" w:rsidR="000903FD" w:rsidRDefault="00000000">
      <w:pPr>
        <w:spacing w:after="120" w:line="300" w:lineRule="auto"/>
      </w:pPr>
      <w:r>
        <w:t>Held in the registry, written only by SYNC_ROLE, and pointed to (not copied) from the participant view layer. The outcome reference is a pointer to a determination made elsewhere; it never contains the determined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903FD" w14:paraId="1E5FE3F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03AB1E8F" w14:textId="77777777" w:rsidR="000903FD" w:rsidRDefault="00000000">
            <w:pPr>
              <w:spacing w:line="280" w:lineRule="auto"/>
            </w:pPr>
            <w:r>
              <w:rPr>
                <w:b/>
                <w:bCs/>
              </w:rPr>
              <w:t>Field</w:t>
            </w:r>
          </w:p>
        </w:tc>
        <w:tc>
          <w:tcPr>
            <w:tcW w:w="696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56BFFD29" w14:textId="77777777" w:rsidR="000903FD" w:rsidRDefault="00000000">
            <w:pPr>
              <w:spacing w:line="280" w:lineRule="auto"/>
            </w:pPr>
            <w:r>
              <w:rPr>
                <w:b/>
                <w:bCs/>
              </w:rPr>
              <w:t>Purpose</w:t>
            </w:r>
          </w:p>
        </w:tc>
      </w:tr>
      <w:tr w:rsidR="000903FD" w14:paraId="0623F82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BA2F6F" w14:textId="77777777" w:rsidR="000903FD" w:rsidRDefault="00000000">
            <w:pPr>
              <w:spacing w:line="280" w:lineRule="auto"/>
            </w:pPr>
            <w:r>
              <w:t>event_id</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BA9CF4" w14:textId="77777777" w:rsidR="000903FD" w:rsidRDefault="00000000">
            <w:pPr>
              <w:spacing w:line="280" w:lineRule="auto"/>
            </w:pPr>
            <w:r>
              <w:t>Idempotency key; unique within network scope; includes contract address, log index, and network_id</w:t>
            </w:r>
          </w:p>
        </w:tc>
      </w:tr>
      <w:tr w:rsidR="000903FD" w14:paraId="3A17E1E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F312BC" w14:textId="77777777" w:rsidR="000903FD" w:rsidRDefault="00000000">
            <w:pPr>
              <w:spacing w:line="280" w:lineRule="auto"/>
            </w:pPr>
            <w:r>
              <w:t>event_hash</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227CBC" w14:textId="77777777" w:rsidR="000903FD" w:rsidRDefault="00000000">
            <w:pPr>
              <w:spacing w:line="280" w:lineRule="auto"/>
            </w:pPr>
            <w:r>
              <w:t>SHA-256 of canonical-serialized payload; integrity anchor</w:t>
            </w:r>
          </w:p>
        </w:tc>
      </w:tr>
      <w:tr w:rsidR="000903FD" w14:paraId="11B02BB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416DAC" w14:textId="77777777" w:rsidR="000903FD" w:rsidRDefault="00000000">
            <w:pPr>
              <w:spacing w:line="280" w:lineRule="auto"/>
            </w:pPr>
            <w:r>
              <w:t>contract_id</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193FC5" w14:textId="77777777" w:rsidR="000903FD" w:rsidRDefault="00000000">
            <w:pPr>
              <w:spacing w:line="280" w:lineRule="auto"/>
            </w:pPr>
            <w:r>
              <w:t>Source TCN workflow contract family — points to the determining contract, not a TCT field</w:t>
            </w:r>
          </w:p>
        </w:tc>
      </w:tr>
      <w:tr w:rsidR="000903FD" w14:paraId="16E4DA3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8968A4" w14:textId="77777777" w:rsidR="000903FD" w:rsidRDefault="00000000">
            <w:pPr>
              <w:spacing w:line="280" w:lineRule="auto"/>
            </w:pPr>
            <w:r>
              <w:t>result_type + result_subtype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8023A8" w14:textId="77777777" w:rsidR="000903FD" w:rsidRDefault="00000000">
            <w:pPr>
              <w:spacing w:line="280" w:lineRule="auto"/>
            </w:pPr>
            <w:r>
              <w:t>Controlled vocabulary. Top-level: allocation / vote / milestone / notice / exception. Sub-types include: contract_breach, sanctions_flag, compliance_downgrade, lister_action, participant_action, finality_confirmation, etc.</w:t>
            </w:r>
          </w:p>
        </w:tc>
      </w:tr>
      <w:tr w:rsidR="000903FD" w14:paraId="4E76959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9374CC" w14:textId="77777777" w:rsidR="000903FD" w:rsidRDefault="00000000">
            <w:pPr>
              <w:spacing w:line="280" w:lineRule="auto"/>
            </w:pPr>
            <w:r>
              <w:t>effective_at, synced_at, network_id</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F49EA3" w14:textId="77777777" w:rsidR="000903FD" w:rsidRDefault="00000000">
            <w:pPr>
              <w:spacing w:line="280" w:lineRule="auto"/>
            </w:pPr>
            <w:r>
              <w:t>Business-effective time, ingest time, and originating network — all kept distinct</w:t>
            </w:r>
          </w:p>
        </w:tc>
      </w:tr>
      <w:tr w:rsidR="000903FD" w14:paraId="57ED7D6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560C3D" w14:textId="77777777" w:rsidR="000903FD" w:rsidRDefault="00000000">
            <w:pPr>
              <w:spacing w:line="280" w:lineRule="auto"/>
            </w:pPr>
            <w:r>
              <w:t>chain_ref</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204B17" w14:textId="77777777" w:rsidR="000903FD" w:rsidRDefault="00000000">
            <w:pPr>
              <w:spacing w:line="280" w:lineRule="auto"/>
            </w:pPr>
            <w:r>
              <w:t>{ network_id, block, tx_hash, log_index } — full chain provenance</w:t>
            </w:r>
          </w:p>
        </w:tc>
      </w:tr>
      <w:tr w:rsidR="000903FD" w14:paraId="55EC5E4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F0E6A2" w14:textId="77777777" w:rsidR="000903FD" w:rsidRDefault="00000000">
            <w:pPr>
              <w:spacing w:line="280" w:lineRule="auto"/>
            </w:pPr>
            <w:r>
              <w:t>offchain_authority_ref</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CCA540" w14:textId="77777777" w:rsidR="000903FD" w:rsidRDefault="00000000">
            <w:pPr>
              <w:spacing w:line="280" w:lineRule="auto"/>
            </w:pPr>
            <w:r>
              <w:t>Pointer outward to the legal record that controls interpretation. The off-chain authority — not the chain event — is the controlling determination.</w:t>
            </w:r>
          </w:p>
        </w:tc>
      </w:tr>
      <w:tr w:rsidR="000903FD" w14:paraId="752E23B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E9449F" w14:textId="77777777" w:rsidR="000903FD" w:rsidRDefault="00000000">
            <w:pPr>
              <w:spacing w:line="280" w:lineRule="auto"/>
            </w:pPr>
            <w:r>
              <w:lastRenderedPageBreak/>
              <w:t>finalized</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FA7381" w14:textId="77777777" w:rsidR="000903FD" w:rsidRDefault="00000000">
            <w:pPr>
              <w:spacing w:line="280" w:lineRule="auto"/>
            </w:pPr>
            <w:r>
              <w:t>Boolean; true only after Audit Final state per the abstraction layer</w:t>
            </w:r>
          </w:p>
        </w:tc>
      </w:tr>
    </w:tbl>
    <w:p w14:paraId="061CBCBC" w14:textId="77777777" w:rsidR="000903FD" w:rsidRDefault="00000000">
      <w:pPr>
        <w:pStyle w:val="Heading2"/>
      </w:pPr>
      <w:r>
        <w:t>5.3 What TCT reports vs. what TCT must not do (Rev 2 rewrite)</w:t>
      </w:r>
    </w:p>
    <w:p w14:paraId="17813404" w14:textId="77777777" w:rsidR="000903FD" w:rsidRDefault="00000000">
      <w:pPr>
        <w:spacing w:after="120" w:line="300" w:lineRule="auto"/>
      </w:pPr>
      <w:r>
        <w:t xml:space="preserve">This section was substantively revised based on review feedback. The original framing — "no balances, no payout amounts, no redemption units" — was too broad and not feasible: TCT will inevitably surface outcomes that include numeric amounts, distributions, and allocations, because those are precisely what participants need to see. </w:t>
      </w:r>
      <w:r w:rsidRPr="00263834">
        <w:rPr>
          <w:highlight w:val="yellow"/>
        </w:rPr>
        <w:t>The correct distinction is not between numbers and no-numbers, but between reporting and determining</w:t>
      </w:r>
      <w:r>
        <w:t>. Reporters report numbers all the time; what they do not do is calculate or hold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03FD" w14:paraId="108C9950"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70AD47"/>
            <w:tcMar>
              <w:top w:w="100" w:type="dxa"/>
              <w:left w:w="140" w:type="dxa"/>
              <w:bottom w:w="100" w:type="dxa"/>
              <w:right w:w="140" w:type="dxa"/>
            </w:tcMar>
          </w:tcPr>
          <w:p w14:paraId="52B54E60" w14:textId="77777777" w:rsidR="000903FD" w:rsidRDefault="00000000">
            <w:pPr>
              <w:spacing w:line="280" w:lineRule="auto"/>
            </w:pPr>
            <w:r>
              <w:rPr>
                <w:b/>
                <w:bCs/>
                <w:color w:val="FFFFFF"/>
              </w:rPr>
              <w:t>Permitted — TCT reports these as third-party-determined facts</w:t>
            </w:r>
          </w:p>
        </w:tc>
      </w:tr>
      <w:tr w:rsidR="000903FD" w14:paraId="0E423FF0"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E23CC5" w14:textId="77777777" w:rsidR="000903FD" w:rsidRDefault="00000000">
            <w:pPr>
              <w:spacing w:line="280" w:lineRule="auto"/>
            </w:pPr>
            <w:r>
              <w:t>Result-type events that include numeric allocations, distribution amounts, vote tallies, milestone payouts, or exposure figures — as long as the amount was determined by a TCN contract or an off-chain authority and TCT is merely surfacing the reference.</w:t>
            </w:r>
          </w:p>
        </w:tc>
      </w:tr>
      <w:tr w:rsidR="000903FD" w14:paraId="53CC9F71"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9BA318" w14:textId="77777777" w:rsidR="000903FD" w:rsidRDefault="00000000">
            <w:pPr>
              <w:spacing w:line="280" w:lineRule="auto"/>
            </w:pPr>
            <w:r>
              <w:t>Participant-specific views that show the holder which outcomes affect them and in what amount, with explicit pointers to the determining authority.</w:t>
            </w:r>
          </w:p>
        </w:tc>
      </w:tr>
      <w:tr w:rsidR="000903FD" w14:paraId="604369E9"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0D9614" w14:textId="77777777" w:rsidR="000903FD" w:rsidRDefault="00000000">
            <w:pPr>
              <w:spacing w:line="280" w:lineRule="auto"/>
            </w:pPr>
            <w:r>
              <w:t>Audit timestamps, integrity hashes, and chain provenance for every reported outcome.</w:t>
            </w:r>
          </w:p>
        </w:tc>
      </w:tr>
      <w:tr w:rsidR="000903FD" w14:paraId="4537725F"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42F82C" w14:textId="77777777" w:rsidR="000903FD" w:rsidRDefault="00000000">
            <w:pPr>
              <w:spacing w:line="280" w:lineRule="auto"/>
            </w:pPr>
            <w:r>
              <w:t>Status fields (active/suspended/revoked) and compliance metadata that reflect KYC determinations made by TCM.</w:t>
            </w:r>
          </w:p>
        </w:tc>
      </w:tr>
    </w:tbl>
    <w:p w14:paraId="7B2B7DCD" w14:textId="77777777" w:rsidR="000903FD" w:rsidRDefault="000903F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03FD" w14:paraId="088AB542"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C00000"/>
            <w:tcMar>
              <w:top w:w="100" w:type="dxa"/>
              <w:left w:w="140" w:type="dxa"/>
              <w:bottom w:w="100" w:type="dxa"/>
              <w:right w:w="140" w:type="dxa"/>
            </w:tcMar>
          </w:tcPr>
          <w:p w14:paraId="4E8612C3" w14:textId="77777777" w:rsidR="000903FD" w:rsidRDefault="00000000">
            <w:pPr>
              <w:spacing w:line="280" w:lineRule="auto"/>
            </w:pPr>
            <w:r>
              <w:rPr>
                <w:b/>
                <w:bCs/>
                <w:color w:val="FFFFFF"/>
              </w:rPr>
              <w:t>Prohibited — TCT must not do any of the following</w:t>
            </w:r>
          </w:p>
        </w:tc>
      </w:tr>
      <w:tr w:rsidR="000903FD" w14:paraId="765FB3A0"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586677" w14:textId="77777777" w:rsidR="000903FD" w:rsidRDefault="00000000">
            <w:pPr>
              <w:spacing w:line="280" w:lineRule="auto"/>
            </w:pPr>
            <w:r>
              <w:t xml:space="preserve">Determine, compute, or calculate any economic value, allocation, or distribution. </w:t>
            </w:r>
            <w:r w:rsidRPr="00263834">
              <w:rPr>
                <w:highlight w:val="yellow"/>
              </w:rPr>
              <w:t>Calculation belongs to TCN contracts and off-chain authorities</w:t>
            </w:r>
            <w:r>
              <w:t>.</w:t>
            </w:r>
          </w:p>
        </w:tc>
      </w:tr>
      <w:tr w:rsidR="000903FD" w14:paraId="195C2BC9"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7AFD81" w14:textId="77777777" w:rsidR="000903FD" w:rsidRDefault="00000000">
            <w:pPr>
              <w:spacing w:line="280" w:lineRule="auto"/>
            </w:pPr>
            <w:r>
              <w:t>Hold custody of any asset, fund, token, or instrument. Custody belongs to off-chain legal entities.</w:t>
            </w:r>
          </w:p>
        </w:tc>
      </w:tr>
      <w:tr w:rsidR="000903FD" w14:paraId="61A5E7E6"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088368" w14:textId="77777777" w:rsidR="000903FD" w:rsidRDefault="00000000">
            <w:pPr>
              <w:spacing w:line="280" w:lineRule="auto"/>
            </w:pPr>
            <w:r>
              <w:t>Stand between counterparties in any transfer or settlement. Transfer logic belongs to TCN execution or off-chain rails.</w:t>
            </w:r>
          </w:p>
        </w:tc>
      </w:tr>
      <w:tr w:rsidR="000903FD" w14:paraId="02EE992F"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BE4876" w14:textId="77777777" w:rsidR="000903FD" w:rsidRDefault="00000000">
            <w:pPr>
              <w:spacing w:line="280" w:lineRule="auto"/>
            </w:pPr>
            <w:r>
              <w:t>Pay yield, distribute returns, or process redemptions. The credential is not redeemable for anything.</w:t>
            </w:r>
          </w:p>
        </w:tc>
      </w:tr>
      <w:tr w:rsidR="000903FD" w14:paraId="79600A51"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774A09" w14:textId="77777777" w:rsidR="000903FD" w:rsidRDefault="00000000">
            <w:pPr>
              <w:spacing w:line="280" w:lineRule="auto"/>
            </w:pPr>
            <w:r>
              <w:t>Store raw UUIDs, names, addresses, government IDs, KYC documents, or sanctions screening results. Identity vault is segregated and off-chain.</w:t>
            </w:r>
          </w:p>
        </w:tc>
      </w:tr>
      <w:tr w:rsidR="000903FD" w14:paraId="5995B3F9"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78CE77" w14:textId="77777777" w:rsidR="000903FD" w:rsidRDefault="00000000">
            <w:pPr>
              <w:spacing w:line="280" w:lineRule="auto"/>
            </w:pPr>
            <w:r>
              <w:t>Maintain plaintext wallet-to-identity mappings on chain. Only salted hash bindings appear on chain.</w:t>
            </w:r>
          </w:p>
        </w:tc>
      </w:tr>
      <w:tr w:rsidR="000903FD" w14:paraId="5A18216E"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264454" w14:textId="77777777" w:rsidR="000903FD" w:rsidRDefault="00000000">
            <w:pPr>
              <w:spacing w:line="280" w:lineRule="auto"/>
            </w:pPr>
            <w:r>
              <w:lastRenderedPageBreak/>
              <w:t xml:space="preserve">Accept free-form metadata that could later be repurposed to carry value-determining fields. </w:t>
            </w:r>
            <w:r w:rsidRPr="00263834">
              <w:rPr>
                <w:highlight w:val="yellow"/>
              </w:rPr>
              <w:t>Metadata is restricted to a documented enum set with code-level invariants enforcing it</w:t>
            </w:r>
            <w:r>
              <w:t>.</w:t>
            </w:r>
          </w:p>
        </w:tc>
      </w:tr>
    </w:tbl>
    <w:p w14:paraId="6AC76DC6" w14:textId="77777777" w:rsidR="000903FD" w:rsidRDefault="000903FD">
      <w:pPr>
        <w:spacing w:after="60"/>
      </w:pPr>
    </w:p>
    <w:p w14:paraId="7FCB2595" w14:textId="77777777" w:rsidR="000903FD" w:rsidRDefault="00000000">
      <w:pPr>
        <w:spacing w:after="120" w:line="300" w:lineRule="auto"/>
      </w:pPr>
      <w:r>
        <w:t>The operational implication is enforceable in code review: every new field, function, or message must be classifiable as (a) credential/access primitive or (b) reference-to-external-determination. Anything that looks like (c) on-chain calculation of an economic outcome is rejected at code review and again at audit.</w:t>
      </w:r>
    </w:p>
    <w:p w14:paraId="2F6DD19F" w14:textId="77777777" w:rsidR="000903FD" w:rsidRDefault="000903FD">
      <w:pPr>
        <w:spacing w:after="60"/>
      </w:pPr>
    </w:p>
    <w:p w14:paraId="230F8A6B" w14:textId="77777777" w:rsidR="000903FD" w:rsidRDefault="00000000">
      <w:pPr>
        <w:pStyle w:val="Heading1"/>
      </w:pPr>
      <w:r>
        <w:t>6. Role-based access control</w:t>
      </w:r>
    </w:p>
    <w:p w14:paraId="263DF38E" w14:textId="77777777" w:rsidR="000903FD" w:rsidRDefault="00000000">
      <w:pPr>
        <w:spacing w:after="120" w:line="300" w:lineRule="auto"/>
      </w:pPr>
      <w:r>
        <w:t>Role separation is operational, not cosmetic. Each role corresponds to a distinct organizational function within TCM, and the keys for each role are held in separate signers (multi-sig in production). The role design below incorporates the Rev 2 narrowing of TCA's authority — TCA is an optional analytics consumer, not a revocation 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80"/>
        <w:gridCol w:w="2280"/>
      </w:tblGrid>
      <w:tr w:rsidR="000903FD" w14:paraId="60BAB9C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31B54968" w14:textId="77777777" w:rsidR="000903FD" w:rsidRDefault="00000000">
            <w:pPr>
              <w:spacing w:line="280" w:lineRule="auto"/>
            </w:pPr>
            <w:r>
              <w:rPr>
                <w:b/>
                <w:bCs/>
              </w:rPr>
              <w:t>Role</w:t>
            </w:r>
          </w:p>
        </w:tc>
        <w:tc>
          <w:tcPr>
            <w:tcW w:w="408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12CDE4D0" w14:textId="77777777" w:rsidR="000903FD" w:rsidRDefault="00000000">
            <w:pPr>
              <w:spacing w:line="280" w:lineRule="auto"/>
            </w:pPr>
            <w:r>
              <w:rPr>
                <w:b/>
                <w:bCs/>
              </w:rPr>
              <w:t>Authority</w:t>
            </w:r>
          </w:p>
        </w:tc>
        <w:tc>
          <w:tcPr>
            <w:tcW w:w="228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7FCFC4B8" w14:textId="77777777" w:rsidR="000903FD" w:rsidRDefault="00000000">
            <w:pPr>
              <w:spacing w:line="280" w:lineRule="auto"/>
            </w:pPr>
            <w:r>
              <w:rPr>
                <w:b/>
                <w:bCs/>
              </w:rPr>
              <w:t>Held by</w:t>
            </w:r>
          </w:p>
        </w:tc>
      </w:tr>
      <w:tr w:rsidR="000903FD" w14:paraId="37D01B5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762012" w14:textId="77777777" w:rsidR="000903FD" w:rsidRDefault="00000000">
            <w:pPr>
              <w:spacing w:line="280" w:lineRule="auto"/>
            </w:pPr>
            <w:r>
              <w:t>DEFAULT_ADMIN_ROLE</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B93A64" w14:textId="77777777" w:rsidR="000903FD" w:rsidRDefault="00000000">
            <w:pPr>
              <w:spacing w:line="280" w:lineRule="auto"/>
            </w:pPr>
            <w:r>
              <w:t>Manages the role set itself; never used for routine operations</w:t>
            </w:r>
          </w:p>
        </w:tc>
        <w:tc>
          <w:tcPr>
            <w:tcW w:w="22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01DEE0" w14:textId="77777777" w:rsidR="000903FD" w:rsidRDefault="00000000">
            <w:pPr>
              <w:spacing w:line="280" w:lineRule="auto"/>
            </w:pPr>
            <w:r>
              <w:t>Governance multi-sig (3-of-5)</w:t>
            </w:r>
          </w:p>
        </w:tc>
      </w:tr>
      <w:tr w:rsidR="000903FD" w14:paraId="5151106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B54B31" w14:textId="77777777" w:rsidR="000903FD" w:rsidRDefault="00000000">
            <w:pPr>
              <w:spacing w:line="280" w:lineRule="auto"/>
            </w:pPr>
            <w:r>
              <w:t>ISSUER_ROLE</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12834C" w14:textId="77777777" w:rsidR="000903FD" w:rsidRDefault="00000000">
            <w:pPr>
              <w:spacing w:line="280" w:lineRule="auto"/>
            </w:pPr>
            <w:r>
              <w:t>Mint and activate credentials in response to project-lister instructions</w:t>
            </w:r>
          </w:p>
        </w:tc>
        <w:tc>
          <w:tcPr>
            <w:tcW w:w="22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43D50B" w14:textId="77777777" w:rsidR="000903FD" w:rsidRDefault="00000000">
            <w:pPr>
              <w:spacing w:line="280" w:lineRule="auto"/>
            </w:pPr>
            <w:r>
              <w:t>TCM onboarding service signer</w:t>
            </w:r>
          </w:p>
        </w:tc>
      </w:tr>
      <w:tr w:rsidR="000903FD" w14:paraId="1B20CF2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EF9172" w14:textId="77777777" w:rsidR="000903FD" w:rsidRDefault="00000000">
            <w:pPr>
              <w:spacing w:line="280" w:lineRule="auto"/>
            </w:pPr>
            <w:r>
              <w:t>COMPLIANCE_ROLE</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AB7B35" w14:textId="77777777" w:rsidR="000903FD" w:rsidRDefault="00000000">
            <w:pPr>
              <w:spacing w:line="280" w:lineRule="auto"/>
            </w:pPr>
            <w:r>
              <w:t>Update compliance status, jurisdiction code, claims version</w:t>
            </w:r>
          </w:p>
        </w:tc>
        <w:tc>
          <w:tcPr>
            <w:tcW w:w="22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A29450" w14:textId="77777777" w:rsidR="000903FD" w:rsidRDefault="00000000">
            <w:pPr>
              <w:spacing w:line="280" w:lineRule="auto"/>
            </w:pPr>
            <w:r>
              <w:t>TCM compliance service signer</w:t>
            </w:r>
          </w:p>
        </w:tc>
      </w:tr>
      <w:tr w:rsidR="000903FD" w14:paraId="6890167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B6E773" w14:textId="77777777" w:rsidR="000903FD" w:rsidRDefault="00000000">
            <w:pPr>
              <w:spacing w:line="280" w:lineRule="auto"/>
            </w:pPr>
            <w:r>
              <w:t>REVOCATION_ROLE_TCM</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DA050A" w14:textId="77777777" w:rsidR="000903FD" w:rsidRDefault="00000000">
            <w:pPr>
              <w:spacing w:line="280" w:lineRule="auto"/>
            </w:pPr>
            <w:r>
              <w:t>Suspend, revoke, or expire credentials on legal/regulatory grounds (sanctions, KYC change, jurisdictional restriction)</w:t>
            </w:r>
          </w:p>
        </w:tc>
        <w:tc>
          <w:tcPr>
            <w:tcW w:w="22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001770" w14:textId="77777777" w:rsidR="000903FD" w:rsidRDefault="00000000">
            <w:pPr>
              <w:spacing w:line="280" w:lineRule="auto"/>
            </w:pPr>
            <w:r>
              <w:t>TCM compliance/legal multi-sig</w:t>
            </w:r>
          </w:p>
        </w:tc>
      </w:tr>
      <w:tr w:rsidR="000903FD" w14:paraId="2881809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BB2AA5" w14:textId="77777777" w:rsidR="000903FD" w:rsidRDefault="00000000">
            <w:pPr>
              <w:spacing w:line="280" w:lineRule="auto"/>
            </w:pPr>
            <w:r>
              <w:t>REVOCATION_ROLE_TCN</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600475" w14:textId="77777777" w:rsidR="000903FD" w:rsidRDefault="00000000">
            <w:pPr>
              <w:spacing w:line="280" w:lineRule="auto"/>
            </w:pPr>
            <w:r>
              <w:t>Suspend or revoke on contract-breach grounds within a specific TCN workflow</w:t>
            </w:r>
          </w:p>
        </w:tc>
        <w:tc>
          <w:tcPr>
            <w:tcW w:w="22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97FAE8" w14:textId="77777777" w:rsidR="000903FD" w:rsidRDefault="00000000">
            <w:pPr>
              <w:spacing w:line="280" w:lineRule="auto"/>
            </w:pPr>
            <w:r>
              <w:t>TCN operations multi-sig</w:t>
            </w:r>
          </w:p>
        </w:tc>
      </w:tr>
      <w:tr w:rsidR="000903FD" w14:paraId="7702B66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2F8A8F" w14:textId="77777777" w:rsidR="000903FD" w:rsidRDefault="00000000">
            <w:pPr>
              <w:spacing w:line="280" w:lineRule="auto"/>
            </w:pPr>
            <w:r>
              <w:t>SYNC_ROLE</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E35808" w14:textId="77777777" w:rsidR="000903FD" w:rsidRDefault="00000000">
            <w:pPr>
              <w:spacing w:line="280" w:lineRule="auto"/>
            </w:pPr>
            <w:r>
              <w:t>Write outcome references to the registry (revenue-bearing service)</w:t>
            </w:r>
          </w:p>
        </w:tc>
        <w:tc>
          <w:tcPr>
            <w:tcW w:w="22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B4FAB4" w14:textId="77777777" w:rsidR="000903FD" w:rsidRDefault="00000000">
            <w:pPr>
              <w:spacing w:line="280" w:lineRule="auto"/>
            </w:pPr>
            <w:r>
              <w:t>Synchronization service hot signer</w:t>
            </w:r>
          </w:p>
        </w:tc>
      </w:tr>
      <w:tr w:rsidR="000903FD" w14:paraId="02FF024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1BDC7E" w14:textId="77777777" w:rsidR="000903FD" w:rsidRDefault="00000000">
            <w:pPr>
              <w:spacing w:line="280" w:lineRule="auto"/>
            </w:pPr>
            <w:r>
              <w:t>PAUSER_ROLE</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E6903C" w14:textId="77777777" w:rsidR="000903FD" w:rsidRDefault="00000000">
            <w:pPr>
              <w:spacing w:line="280" w:lineRule="auto"/>
            </w:pPr>
            <w:r>
              <w:t>Emergency pause of mint and sync paths</w:t>
            </w:r>
          </w:p>
        </w:tc>
        <w:tc>
          <w:tcPr>
            <w:tcW w:w="22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382C0F" w14:textId="77777777" w:rsidR="000903FD" w:rsidRDefault="00000000">
            <w:pPr>
              <w:spacing w:line="280" w:lineRule="auto"/>
            </w:pPr>
            <w:r>
              <w:t>Operations on-call multi-sig</w:t>
            </w:r>
          </w:p>
        </w:tc>
      </w:tr>
      <w:tr w:rsidR="000903FD" w14:paraId="6241E2B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066A68" w14:textId="77777777" w:rsidR="000903FD" w:rsidRDefault="00000000">
            <w:pPr>
              <w:spacing w:line="280" w:lineRule="auto"/>
            </w:pPr>
            <w:r>
              <w:t>URI_ROLE</w:t>
            </w:r>
          </w:p>
        </w:tc>
        <w:tc>
          <w:tcPr>
            <w:tcW w:w="4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2CD5BF" w14:textId="77777777" w:rsidR="000903FD" w:rsidRDefault="00000000">
            <w:pPr>
              <w:spacing w:line="280" w:lineRule="auto"/>
            </w:pPr>
            <w:r>
              <w:t>Update non-sensitive metadata URI</w:t>
            </w:r>
          </w:p>
        </w:tc>
        <w:tc>
          <w:tcPr>
            <w:tcW w:w="22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10F989" w14:textId="77777777" w:rsidR="000903FD" w:rsidRDefault="00000000">
            <w:pPr>
              <w:spacing w:line="280" w:lineRule="auto"/>
            </w:pPr>
            <w:r>
              <w:t>Engineering</w:t>
            </w:r>
          </w:p>
        </w:tc>
      </w:tr>
    </w:tbl>
    <w:p w14:paraId="14A49B79" w14:textId="77777777" w:rsidR="000903FD" w:rsidRDefault="00000000">
      <w:pPr>
        <w:spacing w:after="120" w:line="300" w:lineRule="auto"/>
      </w:pPr>
      <w:r>
        <w:lastRenderedPageBreak/>
        <w:t>Two operational rules accompany the role design. First, no single human controls more than one role's signer; key custody is segregated by function. Second, all role grants and revocations emit on-chain events and are mirrored into the off-chain audit log; a divergence between the two is a Sev-1 incident.</w:t>
      </w:r>
    </w:p>
    <w:p w14:paraId="09ED1B85" w14:textId="77777777" w:rsidR="000903FD" w:rsidRDefault="00000000">
      <w:pPr>
        <w:spacing w:after="120" w:line="300" w:lineRule="auto"/>
      </w:pPr>
      <w:r>
        <w:t>TCA is not in this table by design. TCA may consume the analytics feed from the registry, and TCA-derived risk signals may inform off-chain compliance decisions that then flow through COMPLIANCE_ROLE or REVOCATION_ROLE_TCM, but TCA does not itself hold authority over the credential. If a separate ratings/analytics entity is later spun out (per the May review), it would consume from the same feed without additional on-chain privilege.</w:t>
      </w:r>
    </w:p>
    <w:p w14:paraId="68457762" w14:textId="77777777" w:rsidR="000903FD" w:rsidRDefault="000903FD">
      <w:pPr>
        <w:spacing w:after="60"/>
      </w:pPr>
    </w:p>
    <w:p w14:paraId="4C01E209" w14:textId="77777777" w:rsidR="000903FD" w:rsidRDefault="00000000">
      <w:pPr>
        <w:pStyle w:val="Heading1"/>
      </w:pPr>
      <w:r>
        <w:t>7. Token lifecycle and issuance flow</w:t>
      </w:r>
    </w:p>
    <w:p w14:paraId="7F4961A3" w14:textId="77777777" w:rsidR="000903FD" w:rsidRDefault="00000000">
      <w:pPr>
        <w:pStyle w:val="Heading2"/>
      </w:pPr>
      <w:r>
        <w:t>7.1 State machine</w:t>
      </w:r>
    </w:p>
    <w:p w14:paraId="3D339969" w14:textId="77777777" w:rsidR="000903FD" w:rsidRDefault="00000000">
      <w:pPr>
        <w:spacing w:after="120" w:line="300" w:lineRule="auto"/>
      </w:pPr>
      <w:r>
        <w:t>The lifecycle states are None, Pending, Active, Suspended, Revoked (terminal), and Expired, with optional renewal back to Active from Expired and optional reactivation from Suspended. The Revoked state is permanent — nothing goes away. This is the state machine shown in FIG. 6 of the patent figures.</w:t>
      </w:r>
    </w:p>
    <w:p w14:paraId="7F9119E5" w14:textId="77777777" w:rsidR="000903FD" w:rsidRDefault="00000000">
      <w:pPr>
        <w:pStyle w:val="ListParagraph"/>
        <w:numPr>
          <w:ilvl w:val="0"/>
          <w:numId w:val="2"/>
        </w:numPr>
        <w:spacing w:after="80" w:line="290" w:lineRule="auto"/>
      </w:pPr>
      <w:r>
        <w:rPr>
          <w:b/>
          <w:bCs/>
        </w:rPr>
        <w:t xml:space="preserve">None → Pending: </w:t>
      </w:r>
      <w:r>
        <w:t>ISSUER_ROLE mints in response to a project-lister instruction; identity hash is bound; compliance is still Pending.</w:t>
      </w:r>
    </w:p>
    <w:p w14:paraId="7C9B74B4" w14:textId="77777777" w:rsidR="000903FD" w:rsidRDefault="00000000">
      <w:pPr>
        <w:pStyle w:val="ListParagraph"/>
        <w:numPr>
          <w:ilvl w:val="0"/>
          <w:numId w:val="2"/>
        </w:numPr>
        <w:spacing w:after="80" w:line="290" w:lineRule="auto"/>
      </w:pPr>
      <w:r>
        <w:rPr>
          <w:b/>
          <w:bCs/>
        </w:rPr>
        <w:t xml:space="preserve">Pending → Active: </w:t>
      </w:r>
      <w:r>
        <w:t>Compliance check passes (Verified); ISSUER_ROLE activates; isAuthorized becomes true.</w:t>
      </w:r>
    </w:p>
    <w:p w14:paraId="72D909CF" w14:textId="77777777" w:rsidR="000903FD" w:rsidRDefault="00000000">
      <w:pPr>
        <w:pStyle w:val="ListParagraph"/>
        <w:numPr>
          <w:ilvl w:val="0"/>
          <w:numId w:val="2"/>
        </w:numPr>
        <w:spacing w:after="80" w:line="290" w:lineRule="auto"/>
      </w:pPr>
      <w:r>
        <w:rPr>
          <w:b/>
          <w:bCs/>
        </w:rPr>
        <w:t xml:space="preserve">Active → Suspended: </w:t>
      </w:r>
      <w:r>
        <w:t>REVOCATION_ROLE_TCM suspends on legal/regulatory grounds (e.g., sanctions match, compliance downgrade), or REVOCATION_ROLE_TCN suspends on contract-breach grounds. The Suspended state is reversible.</w:t>
      </w:r>
    </w:p>
    <w:p w14:paraId="0B5A441C" w14:textId="77777777" w:rsidR="000903FD" w:rsidRDefault="00000000">
      <w:pPr>
        <w:pStyle w:val="ListParagraph"/>
        <w:numPr>
          <w:ilvl w:val="0"/>
          <w:numId w:val="2"/>
        </w:numPr>
        <w:spacing w:after="80" w:line="290" w:lineRule="auto"/>
      </w:pPr>
      <w:r>
        <w:rPr>
          <w:b/>
          <w:bCs/>
        </w:rPr>
        <w:t xml:space="preserve">Suspended → Active: </w:t>
      </w:r>
      <w:r>
        <w:t>Reactivation when the underlying condition clears.</w:t>
      </w:r>
    </w:p>
    <w:p w14:paraId="20F3AE08" w14:textId="77777777" w:rsidR="000903FD" w:rsidRDefault="00000000">
      <w:pPr>
        <w:pStyle w:val="ListParagraph"/>
        <w:numPr>
          <w:ilvl w:val="0"/>
          <w:numId w:val="2"/>
        </w:numPr>
        <w:spacing w:after="80" w:line="290" w:lineRule="auto"/>
      </w:pPr>
      <w:r>
        <w:rPr>
          <w:b/>
          <w:bCs/>
        </w:rPr>
        <w:t xml:space="preserve">Any state → Revoked: </w:t>
      </w:r>
      <w:r>
        <w:t>Terminal; the underlying token is not burned (audit continuity), but isAuthorized is false forever. Used for definitive sanctions hits, fraud, or program exit.</w:t>
      </w:r>
    </w:p>
    <w:p w14:paraId="3F6823CD" w14:textId="77777777" w:rsidR="000903FD" w:rsidRDefault="00000000">
      <w:pPr>
        <w:pStyle w:val="ListParagraph"/>
        <w:numPr>
          <w:ilvl w:val="0"/>
          <w:numId w:val="2"/>
        </w:numPr>
        <w:spacing w:after="80" w:line="290" w:lineRule="auto"/>
      </w:pPr>
      <w:r>
        <w:rPr>
          <w:b/>
          <w:bCs/>
        </w:rPr>
        <w:t xml:space="preserve">Active → Expired: </w:t>
      </w:r>
      <w:r>
        <w:t>Triggered by time-based policy; expired_at is recorded; renewable by ISSUER_ROLE.</w:t>
      </w:r>
    </w:p>
    <w:p w14:paraId="19324079" w14:textId="77777777" w:rsidR="000903FD" w:rsidRDefault="00000000">
      <w:pPr>
        <w:pStyle w:val="Heading2"/>
      </w:pPr>
      <w:r>
        <w:t>7.2 Issuance flow end-to-end</w:t>
      </w:r>
    </w:p>
    <w:p w14:paraId="37E022FF" w14:textId="77777777" w:rsidR="000903FD" w:rsidRDefault="00000000">
      <w:pPr>
        <w:pStyle w:val="ListParagraph"/>
        <w:numPr>
          <w:ilvl w:val="0"/>
          <w:numId w:val="3"/>
        </w:numPr>
        <w:spacing w:after="80" w:line="290" w:lineRule="auto"/>
      </w:pPr>
      <w:r>
        <w:t>Project lister instructs TCM, off-chain, to mint a cohort of N credentials for a specific TCN project, with pricing and terms agreed separately.</w:t>
      </w:r>
    </w:p>
    <w:p w14:paraId="2CAB5D97" w14:textId="77777777" w:rsidR="000903FD" w:rsidRDefault="00000000">
      <w:pPr>
        <w:pStyle w:val="ListParagraph"/>
        <w:numPr>
          <w:ilvl w:val="0"/>
          <w:numId w:val="3"/>
        </w:numPr>
        <w:spacing w:after="80" w:line="290" w:lineRule="auto"/>
      </w:pPr>
      <w:r>
        <w:t>Each prospective participant submits identity through the TCM onboarding portal.</w:t>
      </w:r>
    </w:p>
    <w:p w14:paraId="4532323C" w14:textId="77777777" w:rsidR="000903FD" w:rsidRDefault="00000000">
      <w:pPr>
        <w:pStyle w:val="ListParagraph"/>
        <w:numPr>
          <w:ilvl w:val="0"/>
          <w:numId w:val="3"/>
        </w:numPr>
        <w:spacing w:after="80" w:line="290" w:lineRule="auto"/>
      </w:pPr>
      <w:r>
        <w:t>TCM runs KYC/AML and sanctions screening; produces a Verified or Failed/Restricted result and a jurisdiction code. Compliance status and jurisdiction are derived from this step.</w:t>
      </w:r>
    </w:p>
    <w:p w14:paraId="31BE1378" w14:textId="77777777" w:rsidR="000903FD" w:rsidRDefault="00000000">
      <w:pPr>
        <w:pStyle w:val="ListParagraph"/>
        <w:numPr>
          <w:ilvl w:val="0"/>
          <w:numId w:val="3"/>
        </w:numPr>
        <w:spacing w:after="80" w:line="290" w:lineRule="auto"/>
      </w:pPr>
      <w:r>
        <w:lastRenderedPageBreak/>
        <w:t>On Verified, TCM computes identity_binding = hash(canonical_identity_record + salt) and resolves the participant's wallet address (see §8 on the binding model — standard wallets such as MetaMask satisfy v1).</w:t>
      </w:r>
    </w:p>
    <w:p w14:paraId="63FDBD1B" w14:textId="77777777" w:rsidR="000903FD" w:rsidRDefault="00000000">
      <w:pPr>
        <w:pStyle w:val="ListParagraph"/>
        <w:numPr>
          <w:ilvl w:val="0"/>
          <w:numId w:val="3"/>
        </w:numPr>
        <w:spacing w:after="80" w:line="290" w:lineRule="auto"/>
      </w:pPr>
      <w:r>
        <w:t>Participant accepts the participation agreement, which makes the non-economic-determiner nature of the TCT explicit and locates determination of value in named off-chain entities and TCN contracts.</w:t>
      </w:r>
    </w:p>
    <w:p w14:paraId="184C9ED6" w14:textId="77777777" w:rsidR="000903FD" w:rsidRDefault="00000000">
      <w:pPr>
        <w:pStyle w:val="ListParagraph"/>
        <w:numPr>
          <w:ilvl w:val="0"/>
          <w:numId w:val="3"/>
        </w:numPr>
        <w:spacing w:after="80" w:line="290" w:lineRule="auto"/>
      </w:pPr>
      <w:r>
        <w:t xml:space="preserve">ISSUER_ROLE submits a mint transaction (or batched mint for the cohort) to TCTCredential with (wallet, identity_binding, jurisdiction, network_id, metadata_uri). The contract enforces that the wallet </w:t>
      </w:r>
      <w:r w:rsidRPr="00263834">
        <w:rPr>
          <w:highlight w:val="yellow"/>
        </w:rPr>
        <w:t>does not already hold a credential and</w:t>
      </w:r>
      <w:r>
        <w:t xml:space="preserve"> that the identity_binding is not already bound — both as defense against silent rebinding.</w:t>
      </w:r>
    </w:p>
    <w:p w14:paraId="4E762C0B" w14:textId="77777777" w:rsidR="000903FD" w:rsidRDefault="00000000">
      <w:pPr>
        <w:pStyle w:val="ListParagraph"/>
        <w:numPr>
          <w:ilvl w:val="0"/>
          <w:numId w:val="3"/>
        </w:numPr>
        <w:spacing w:after="80" w:line="290" w:lineRule="auto"/>
      </w:pPr>
      <w:r>
        <w:t>Mint emits CredentialMinted; status is Pending.</w:t>
      </w:r>
    </w:p>
    <w:p w14:paraId="26847398" w14:textId="77777777" w:rsidR="000903FD" w:rsidRDefault="00000000">
      <w:pPr>
        <w:pStyle w:val="ListParagraph"/>
        <w:numPr>
          <w:ilvl w:val="0"/>
          <w:numId w:val="3"/>
        </w:numPr>
        <w:spacing w:after="80" w:line="290" w:lineRule="auto"/>
      </w:pPr>
      <w:r>
        <w:t>ISSUER_ROLE submits an activate transaction. Contract checks compliance_status == Verified, sets status to Active, emits CredentialActivated.</w:t>
      </w:r>
    </w:p>
    <w:p w14:paraId="425360A4" w14:textId="77777777" w:rsidR="000903FD" w:rsidRDefault="00000000">
      <w:pPr>
        <w:pStyle w:val="ListParagraph"/>
        <w:numPr>
          <w:ilvl w:val="0"/>
          <w:numId w:val="3"/>
        </w:numPr>
        <w:spacing w:after="80" w:line="290" w:lineRule="auto"/>
      </w:pPr>
      <w:r>
        <w:t>TCM reflects the on-chain state in its credential record, refreshes audit_root_hash, and notifies the participant that their TCT is active.</w:t>
      </w:r>
    </w:p>
    <w:p w14:paraId="13AF45ED" w14:textId="77777777" w:rsidR="000903FD" w:rsidRDefault="00000000">
      <w:pPr>
        <w:spacing w:after="120" w:line="300" w:lineRule="auto"/>
      </w:pPr>
      <w:r>
        <w:t>Suspension, revocation, and expiry follow the same write-to-chain-then-mirror-off-chain pattern, with the appropriate role on each call.</w:t>
      </w:r>
    </w:p>
    <w:p w14:paraId="461A607A" w14:textId="77777777" w:rsidR="000903FD" w:rsidRDefault="000903FD">
      <w:pPr>
        <w:spacing w:after="60"/>
      </w:pPr>
    </w:p>
    <w:p w14:paraId="7CF3F7D1" w14:textId="77777777" w:rsidR="000903FD" w:rsidRDefault="00000000">
      <w:pPr>
        <w:pStyle w:val="Heading1"/>
      </w:pPr>
      <w:r>
        <w:t>8. Identity-to-wallet binding model</w:t>
      </w:r>
    </w:p>
    <w:p w14:paraId="3677026A" w14:textId="77777777" w:rsidR="000903FD" w:rsidRDefault="00000000">
      <w:pPr>
        <w:spacing w:after="120" w:line="300" w:lineRule="auto"/>
      </w:pPr>
      <w:r>
        <w:t>This is the single highest-leverage decision in the implementation, and it is mostly an off-chain decision. The on-chain contract treats the wallet as a given; how the wallet becomes the participant's wallet determines the entire user experience and the entire compliance posture.</w:t>
      </w:r>
    </w:p>
    <w:p w14:paraId="0EA46F28" w14:textId="77777777" w:rsidR="000903FD" w:rsidRDefault="00000000">
      <w:pPr>
        <w:pStyle w:val="Heading2"/>
      </w:pPr>
      <w:r>
        <w:t>8.1 Three viable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000"/>
        <w:gridCol w:w="2600"/>
        <w:gridCol w:w="2060"/>
      </w:tblGrid>
      <w:tr w:rsidR="000903FD" w14:paraId="15ABCA6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5549126B" w14:textId="77777777" w:rsidR="000903FD" w:rsidRDefault="00000000">
            <w:pPr>
              <w:spacing w:line="280" w:lineRule="auto"/>
            </w:pPr>
            <w:r>
              <w:rPr>
                <w:b/>
                <w:bCs/>
              </w:rPr>
              <w:t>Model</w:t>
            </w:r>
          </w:p>
        </w:tc>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6F54783F" w14:textId="77777777" w:rsidR="000903FD" w:rsidRDefault="00000000">
            <w:pPr>
              <w:spacing w:line="280" w:lineRule="auto"/>
            </w:pPr>
            <w:r>
              <w:rPr>
                <w:b/>
                <w:bCs/>
              </w:rPr>
              <w:t>How the wallet is established</w:t>
            </w:r>
          </w:p>
        </w:tc>
        <w:tc>
          <w:tcPr>
            <w:tcW w:w="26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1695FFE0" w14:textId="77777777" w:rsidR="000903FD" w:rsidRDefault="00000000">
            <w:pPr>
              <w:spacing w:line="280" w:lineRule="auto"/>
            </w:pPr>
            <w:r>
              <w:rPr>
                <w:b/>
                <w:bCs/>
              </w:rPr>
              <w:t>Tradeoff</w:t>
            </w:r>
          </w:p>
        </w:tc>
        <w:tc>
          <w:tcPr>
            <w:tcW w:w="206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1385F8F0" w14:textId="77777777" w:rsidR="000903FD" w:rsidRDefault="00000000">
            <w:pPr>
              <w:spacing w:line="280" w:lineRule="auto"/>
            </w:pPr>
            <w:r>
              <w:rPr>
                <w:b/>
                <w:bCs/>
              </w:rPr>
              <w:t>Revenue posture</w:t>
            </w:r>
          </w:p>
        </w:tc>
      </w:tr>
      <w:tr w:rsidR="000903FD" w14:paraId="2B04EFC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7FD81B" w14:textId="77777777" w:rsidR="000903FD" w:rsidRDefault="00000000">
            <w:pPr>
              <w:spacing w:line="280" w:lineRule="auto"/>
            </w:pPr>
            <w:r>
              <w:t>User-controlled EOA</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928117" w14:textId="77777777" w:rsidR="000903FD" w:rsidRDefault="00000000">
            <w:pPr>
              <w:spacing w:line="280" w:lineRule="auto"/>
            </w:pPr>
            <w:r>
              <w:t>Participant brings or creates a standard wallet (MetaMask, Coinbase Wallet, hardware wallet); signs an ownership challenge during onboarding to bind it. No TCT-exclusive wallet required.</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6F1DCF" w14:textId="77777777" w:rsidR="000903FD" w:rsidRDefault="00000000">
            <w:pPr>
              <w:spacing w:line="280" w:lineRule="auto"/>
            </w:pPr>
            <w:r>
              <w:t>Cleanest self-custody and patent-claim posture; highest friction for non-crypto-native users; key loss equals credential loss until reissue.</w:t>
            </w:r>
          </w:p>
        </w:tc>
        <w:tc>
          <w:tcPr>
            <w:tcW w:w="2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D7487F" w14:textId="77777777" w:rsidR="000903FD" w:rsidRDefault="00000000">
            <w:pPr>
              <w:spacing w:line="280" w:lineRule="auto"/>
            </w:pPr>
            <w:r>
              <w:t>Lowest direct revenue but lowest cost to deliver.</w:t>
            </w:r>
          </w:p>
        </w:tc>
      </w:tr>
      <w:tr w:rsidR="000903FD" w14:paraId="18BCBA1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6E7AC1" w14:textId="77777777" w:rsidR="000903FD" w:rsidRDefault="00000000">
            <w:pPr>
              <w:spacing w:line="280" w:lineRule="auto"/>
            </w:pPr>
            <w:r>
              <w:t xml:space="preserve">Custodial wallet </w:t>
            </w:r>
            <w:r>
              <w:lastRenderedPageBreak/>
              <w:t>provisioned by TCM</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682E6E" w14:textId="77777777" w:rsidR="000903FD" w:rsidRDefault="00000000">
            <w:pPr>
              <w:spacing w:line="280" w:lineRule="auto"/>
            </w:pPr>
            <w:r>
              <w:lastRenderedPageBreak/>
              <w:t xml:space="preserve">TCM creates and holds the participant's wallet under an </w:t>
            </w:r>
            <w:r>
              <w:lastRenderedPageBreak/>
              <w:t>MPC or HSM scheme; participant authenticates through TCM and TCM signs.</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CA1698" w14:textId="77777777" w:rsidR="000903FD" w:rsidRDefault="00000000">
            <w:pPr>
              <w:spacing w:line="280" w:lineRule="auto"/>
            </w:pPr>
            <w:r>
              <w:lastRenderedPageBreak/>
              <w:t xml:space="preserve">Lowest friction; requires TCM to operate a </w:t>
            </w:r>
            <w:r>
              <w:lastRenderedPageBreak/>
              <w:t>regulated custody function and creates a meaningful operational risk surface; closer to a hosted-credential model and edges toward the value-custody line we explicitly avoid.</w:t>
            </w:r>
          </w:p>
        </w:tc>
        <w:tc>
          <w:tcPr>
            <w:tcW w:w="2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D17685" w14:textId="77777777" w:rsidR="000903FD" w:rsidRDefault="00000000">
            <w:pPr>
              <w:spacing w:line="280" w:lineRule="auto"/>
            </w:pPr>
            <w:r>
              <w:lastRenderedPageBreak/>
              <w:t xml:space="preserve">Not recommended as a revenue </w:t>
            </w:r>
            <w:r>
              <w:lastRenderedPageBreak/>
              <w:t>stream — the regulatory exposure is disproportionate.</w:t>
            </w:r>
          </w:p>
        </w:tc>
      </w:tr>
      <w:tr w:rsidR="000903FD" w14:paraId="1F78AD3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3BBBCE" w14:textId="77777777" w:rsidR="000903FD" w:rsidRDefault="00000000">
            <w:pPr>
              <w:spacing w:line="280" w:lineRule="auto"/>
            </w:pPr>
            <w:r>
              <w:lastRenderedPageBreak/>
              <w:t>Smart-contract wallet via ERC-4337 with TCM as a co-signer</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A09132" w14:textId="77777777" w:rsidR="000903FD" w:rsidRDefault="00000000">
            <w:pPr>
              <w:spacing w:line="280" w:lineRule="auto"/>
            </w:pPr>
            <w:r>
              <w:t>Participant gets a smart wallet whose owner key they control, with TCM holding a co-signer for recovery and revocation. Supports session keys for agent-mediated participation per Family F of the patent.</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EF1050" w14:textId="77777777" w:rsidR="000903FD" w:rsidRDefault="00000000">
            <w:pPr>
              <w:spacing w:line="280" w:lineRule="auto"/>
            </w:pPr>
            <w:r>
              <w:t>Best long-term posture: self-custodial in normal operation, recoverable on key loss, agent-delegation ready. Highest engineering cost for v1.</w:t>
            </w:r>
          </w:p>
        </w:tc>
        <w:tc>
          <w:tcPr>
            <w:tcW w:w="2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51D582" w14:textId="77777777" w:rsidR="000903FD" w:rsidRDefault="00000000">
            <w:pPr>
              <w:spacing w:line="280" w:lineRule="auto"/>
            </w:pPr>
            <w:r>
              <w:t>Active revenue opportunity. Co-signer service and recovery service are billable. Sets up the agent-delegation use case.</w:t>
            </w:r>
          </w:p>
        </w:tc>
      </w:tr>
    </w:tbl>
    <w:p w14:paraId="739A4B1B" w14:textId="77777777" w:rsidR="000903FD" w:rsidRDefault="00000000">
      <w:pPr>
        <w:pStyle w:val="Heading2"/>
      </w:pPr>
      <w:r>
        <w:t>8.2 Recommendation</w:t>
      </w:r>
    </w:p>
    <w:p w14:paraId="01403E21" w14:textId="77777777" w:rsidR="000903FD" w:rsidRDefault="00000000">
      <w:pPr>
        <w:spacing w:after="120" w:line="300" w:lineRule="auto"/>
      </w:pPr>
      <w:r>
        <w:t>Ship v1 on the user-controlled EOA model — standard wallets such as MetaMask are sufficient and no TCT-exclusive wallet is required — with a clean upgrade path to ERC-4337 smart accounts in v2. The v2 upgrade is treated as a revenue opportunity, not merely a UX improvement: the co-signer, recovery, and session-key services are billable, and they unlock the agent-delegation patent claims (Family F). Avoid the custodial model unless and until the regulatory analysis specifically calls for it; the operational cost and the partial collapse of the identity/execution boundary are not worth the friction reduction at this stage.</w:t>
      </w:r>
    </w:p>
    <w:p w14:paraId="189C1A15" w14:textId="77777777" w:rsidR="000903FD" w:rsidRDefault="00000000">
      <w:pPr>
        <w:pStyle w:val="Heading2"/>
      </w:pPr>
      <w:r>
        <w:t>8.3 Re-binding and key recovery</w:t>
      </w:r>
    </w:p>
    <w:p w14:paraId="37A163E8" w14:textId="77777777" w:rsidR="000903FD" w:rsidRDefault="00000000">
      <w:pPr>
        <w:spacing w:after="120" w:line="300" w:lineRule="auto"/>
      </w:pPr>
      <w:r>
        <w:t>Even with EOAs, the system needs a documented re-binding flow for key loss. The flow is: (i) revoke the existing credential through REVOCATION_ROLE_TCM; (ii) require a fresh identity attestation step in TCM (not just a password reset, because the wallet is the credential anchor); (iii) issue a new credential to the new wallet, carrying the same identity_binding via a re-binding event recorded in the audit log. The on-chain history shows both credentials and the linkage; nothing is silently rewritten.</w:t>
      </w:r>
    </w:p>
    <w:p w14:paraId="45829D2D" w14:textId="77777777" w:rsidR="000903FD" w:rsidRDefault="00000000">
      <w:pPr>
        <w:pStyle w:val="Heading2"/>
      </w:pPr>
      <w:r>
        <w:t>8.4 Off-chain entity formation and ownership custody (new in Rev 2)</w:t>
      </w:r>
    </w:p>
    <w:p w14:paraId="3ED49A12" w14:textId="77777777" w:rsidR="000903FD" w:rsidRDefault="00000000">
      <w:pPr>
        <w:spacing w:after="120" w:line="300" w:lineRule="auto"/>
      </w:pPr>
      <w:r>
        <w:t xml:space="preserve">The provisional patent and the TCT architecture both place determination of value, formation of legal entities, and ownership of off-chain instruments outside the on-chain system. Rev 2 makes explicit that TCM is the custodian for these off-chain formation and ownership records. This is a significant operational responsibility — it sits adjacent to but distinct from the identity vault — and it must be </w:t>
      </w:r>
      <w:r>
        <w:lastRenderedPageBreak/>
        <w:t>addressed by counsel. TCM does not become an issuer or transfer agent by virtue of this custodianship; it operates as a record-keeper for documents that the relevant off-chain entities have signed and authorized. See §11 for the corresponding risk treatment.</w:t>
      </w:r>
    </w:p>
    <w:p w14:paraId="7D276C64" w14:textId="77777777" w:rsidR="000903FD" w:rsidRDefault="000903FD">
      <w:pPr>
        <w:spacing w:after="60"/>
      </w:pPr>
    </w:p>
    <w:p w14:paraId="6C763FF2" w14:textId="77777777" w:rsidR="000903FD" w:rsidRDefault="00000000">
      <w:pPr>
        <w:pStyle w:val="Heading1"/>
      </w:pPr>
      <w:r>
        <w:t>9. Synchronization pipeline (TCN → TCT)</w:t>
      </w:r>
    </w:p>
    <w:p w14:paraId="0F801E6E" w14:textId="77777777" w:rsidR="000903FD" w:rsidRDefault="00000000">
      <w:pPr>
        <w:spacing w:after="120" w:line="300" w:lineRule="auto"/>
      </w:pPr>
      <w:r>
        <w:t>The synchronization layer is where most of the correctness work lives. The contracts are small; the pipeline is not. The pipeline is what proves that an outcome reference written against a TCT is the same outcome the TCN contract emitted, and that it survives reorgs, retries, and chain migration. It is also, per the commercial framing, a billable service: synchronization access is charged to the project operator separately from the listing fee.</w:t>
      </w:r>
    </w:p>
    <w:p w14:paraId="411C0AA6" w14:textId="77777777" w:rsidR="000903FD" w:rsidRDefault="00000000">
      <w:pPr>
        <w:pStyle w:val="Heading2"/>
      </w:pPr>
      <w:r>
        <w:t>9.1 Pipeline stages</w:t>
      </w:r>
    </w:p>
    <w:p w14:paraId="6BD14DFB" w14:textId="77777777" w:rsidR="000903FD" w:rsidRDefault="00000000">
      <w:pPr>
        <w:pStyle w:val="ListParagraph"/>
        <w:numPr>
          <w:ilvl w:val="0"/>
          <w:numId w:val="3"/>
        </w:numPr>
        <w:spacing w:after="80" w:line="290" w:lineRule="auto"/>
      </w:pPr>
      <w:r>
        <w:t>TCN contract emits a normalized outcome event with the full canonical payload.</w:t>
      </w:r>
    </w:p>
    <w:p w14:paraId="57A9818E" w14:textId="77777777" w:rsidR="000903FD" w:rsidRDefault="00000000">
      <w:pPr>
        <w:pStyle w:val="ListParagraph"/>
        <w:numPr>
          <w:ilvl w:val="0"/>
          <w:numId w:val="3"/>
        </w:numPr>
        <w:spacing w:after="80" w:line="290" w:lineRule="auto"/>
      </w:pPr>
      <w:r>
        <w:t>Network adapter reads the event from the active chain through the abstraction layer; raw chain semantics are translated into a canonical event record, including the source network_id.</w:t>
      </w:r>
    </w:p>
    <w:p w14:paraId="1CDC09AB" w14:textId="77777777" w:rsidR="000903FD" w:rsidRDefault="00000000">
      <w:pPr>
        <w:pStyle w:val="ListParagraph"/>
        <w:numPr>
          <w:ilvl w:val="0"/>
          <w:numId w:val="3"/>
        </w:numPr>
        <w:spacing w:after="80" w:line="290" w:lineRule="auto"/>
      </w:pPr>
      <w:r>
        <w:t>Finality translation service holds the event in Observed or Soft Final state, refusing to promote it until the chain-specific Audit Final threshold is met (defined per network in the chain registry).</w:t>
      </w:r>
    </w:p>
    <w:p w14:paraId="406B99DF" w14:textId="77777777" w:rsidR="000903FD" w:rsidRDefault="00000000">
      <w:pPr>
        <w:pStyle w:val="ListParagraph"/>
        <w:numPr>
          <w:ilvl w:val="0"/>
          <w:numId w:val="3"/>
        </w:numPr>
        <w:spacing w:after="80" w:line="290" w:lineRule="auto"/>
      </w:pPr>
      <w:r>
        <w:t>Canonical event normalizer applies a deterministic serialization, computes event_hash, validates result_type and result_subtype against the controlled vocabulary, and rejects malformed records before they reach the registry.</w:t>
      </w:r>
    </w:p>
    <w:p w14:paraId="7AFAD50D" w14:textId="77777777" w:rsidR="000903FD" w:rsidRDefault="00000000">
      <w:pPr>
        <w:pStyle w:val="ListParagraph"/>
        <w:numPr>
          <w:ilvl w:val="0"/>
          <w:numId w:val="3"/>
        </w:numPr>
        <w:spacing w:after="80" w:line="290" w:lineRule="auto"/>
      </w:pPr>
      <w:r>
        <w:t>Outcome sync gateway performs the idempotency check on (event_id, event_hash), maps execution-layer pseudonyms to credential-layer participant IDs, and calls TCTOutcomeRegistry under SYNC_ROLE.</w:t>
      </w:r>
    </w:p>
    <w:p w14:paraId="03CC5A26" w14:textId="77777777" w:rsidR="000903FD" w:rsidRDefault="00000000">
      <w:pPr>
        <w:pStyle w:val="ListParagraph"/>
        <w:numPr>
          <w:ilvl w:val="0"/>
          <w:numId w:val="3"/>
        </w:numPr>
        <w:spacing w:after="80" w:line="290" w:lineRule="auto"/>
      </w:pPr>
      <w:r>
        <w:t>TCM updates its mirror of the credential record, refreshes audit_root_hash and last_sync_at, and triggers the participant view refresh.</w:t>
      </w:r>
    </w:p>
    <w:p w14:paraId="51AB122F" w14:textId="77777777" w:rsidR="000903FD" w:rsidRDefault="00000000">
      <w:pPr>
        <w:pStyle w:val="ListParagraph"/>
        <w:numPr>
          <w:ilvl w:val="0"/>
          <w:numId w:val="3"/>
        </w:numPr>
        <w:spacing w:after="80" w:line="290" w:lineRule="auto"/>
      </w:pPr>
      <w:r>
        <w:t>Approved, pseudonymized analytics feeds are made available to authorized consumers (which may include TCA or a separate analytics entity per §6).</w:t>
      </w:r>
    </w:p>
    <w:p w14:paraId="2AE57FA0" w14:textId="77777777" w:rsidR="000903FD" w:rsidRDefault="00000000">
      <w:pPr>
        <w:pStyle w:val="Heading2"/>
      </w:pPr>
      <w:r>
        <w:t>9.2 Finality state machine</w:t>
      </w:r>
    </w:p>
    <w:p w14:paraId="415DDBD7" w14:textId="77777777" w:rsidR="000903FD" w:rsidRDefault="00000000">
      <w:pPr>
        <w:spacing w:after="120" w:line="300" w:lineRule="auto"/>
      </w:pPr>
      <w:r>
        <w:t>The five-state model from the abstraction layer is enforced literally: Observed → Soft Final → Operational Final → Audit Final, with Superseded/Reversed as a side branch. Only Audit Final events become permanent outcome references with finalized = true. Soft and Operational Final events may surface in participant views as marked provisional, but never with the finalized flag set.</w:t>
      </w:r>
    </w:p>
    <w:p w14:paraId="48C7A238" w14:textId="77777777" w:rsidR="000903FD" w:rsidRDefault="00000000">
      <w:pPr>
        <w:pStyle w:val="Heading2"/>
      </w:pPr>
      <w:r>
        <w:t>9.3 Failure modes and required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903FD" w14:paraId="6F57C3C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2DA71364" w14:textId="77777777" w:rsidR="000903FD" w:rsidRDefault="00000000">
            <w:pPr>
              <w:spacing w:line="280" w:lineRule="auto"/>
            </w:pPr>
            <w:r>
              <w:rPr>
                <w:b/>
                <w:bCs/>
              </w:rPr>
              <w:lastRenderedPageBreak/>
              <w:t>Failure</w:t>
            </w:r>
          </w:p>
        </w:tc>
        <w:tc>
          <w:tcPr>
            <w:tcW w:w="636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7D9F9D05" w14:textId="77777777" w:rsidR="000903FD" w:rsidRDefault="00000000">
            <w:pPr>
              <w:spacing w:line="280" w:lineRule="auto"/>
            </w:pPr>
            <w:r>
              <w:rPr>
                <w:b/>
                <w:bCs/>
              </w:rPr>
              <w:t>Required handling</w:t>
            </w:r>
          </w:p>
        </w:tc>
      </w:tr>
      <w:tr w:rsidR="000903FD" w14:paraId="0A7A6C4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FE5F9E" w14:textId="77777777" w:rsidR="000903FD" w:rsidRDefault="00000000">
            <w:pPr>
              <w:spacing w:line="280" w:lineRule="auto"/>
            </w:pPr>
            <w:r>
              <w:t>Reorg before Audit Final</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A6FE65" w14:textId="77777777" w:rsidR="000903FD" w:rsidRDefault="00000000">
            <w:pPr>
              <w:spacing w:line="280" w:lineRule="auto"/>
            </w:pPr>
            <w:r>
              <w:t>Hold the event provisional; do not write to the registry; if the event is replaced post-reorg, the original is recorded as Reversed and the replacement enters as a fresh canonical event.</w:t>
            </w:r>
          </w:p>
        </w:tc>
      </w:tr>
      <w:tr w:rsidR="000903FD" w14:paraId="71AD493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98450C" w14:textId="77777777" w:rsidR="000903FD" w:rsidRDefault="00000000">
            <w:pPr>
              <w:spacing w:line="280" w:lineRule="auto"/>
            </w:pPr>
            <w:r>
              <w:t>Duplicate delivery of same event</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9D96C2" w14:textId="77777777" w:rsidR="000903FD" w:rsidRDefault="00000000">
            <w:pPr>
              <w:spacing w:line="280" w:lineRule="auto"/>
            </w:pPr>
            <w:r>
              <w:t>Idempotency key (event_id + event_hash) prevents double-write; a duplicate is logged but is not an exception.</w:t>
            </w:r>
          </w:p>
        </w:tc>
      </w:tr>
      <w:tr w:rsidR="000903FD" w14:paraId="44A01D8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DDF043" w14:textId="77777777" w:rsidR="000903FD" w:rsidRDefault="00000000">
            <w:pPr>
              <w:spacing w:line="280" w:lineRule="auto"/>
            </w:pPr>
            <w:r>
              <w:t>Signature or source authenticity failure</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56FFCD" w14:textId="77777777" w:rsidR="000903FD" w:rsidRDefault="00000000">
            <w:pPr>
              <w:spacing w:line="280" w:lineRule="auto"/>
            </w:pPr>
            <w:r>
              <w:t>Reject; raise an audit exception; never writes to registry.</w:t>
            </w:r>
          </w:p>
        </w:tc>
      </w:tr>
      <w:tr w:rsidR="000903FD" w14:paraId="726575E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9AD8BB" w14:textId="77777777" w:rsidR="000903FD" w:rsidRDefault="00000000">
            <w:pPr>
              <w:spacing w:line="280" w:lineRule="auto"/>
            </w:pPr>
            <w:r>
              <w:t>Participant mapping miss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795959" w14:textId="77777777" w:rsidR="000903FD" w:rsidRDefault="00000000">
            <w:pPr>
              <w:spacing w:line="280" w:lineRule="auto"/>
            </w:pPr>
            <w:r>
              <w:t>Queue for manual resolution; the event is recorded but not surfaced in any participant view until mapping resolves.</w:t>
            </w:r>
          </w:p>
        </w:tc>
      </w:tr>
      <w:tr w:rsidR="000903FD" w14:paraId="14AD0BD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68550A" w14:textId="77777777" w:rsidR="000903FD" w:rsidRDefault="00000000">
            <w:pPr>
              <w:spacing w:line="280" w:lineRule="auto"/>
            </w:pPr>
            <w:r>
              <w:t>Compliance status changes mid-sync</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9336DF" w14:textId="77777777" w:rsidR="000903FD" w:rsidRDefault="00000000">
            <w:pPr>
              <w:spacing w:line="280" w:lineRule="auto"/>
            </w:pPr>
            <w:r>
              <w:t>Re-evaluate policy before publishing the participant view; the registry write may proceed, but visibility is gated.</w:t>
            </w:r>
          </w:p>
        </w:tc>
      </w:tr>
      <w:tr w:rsidR="000903FD" w14:paraId="69122C8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ABF046" w14:textId="77777777" w:rsidR="000903FD" w:rsidRDefault="00000000">
            <w:pPr>
              <w:spacing w:line="280" w:lineRule="auto"/>
            </w:pPr>
            <w:r>
              <w:t>Adapter / RPC outage</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2D9DF9" w14:textId="77777777" w:rsidR="000903FD" w:rsidRDefault="00000000">
            <w:pPr>
              <w:spacing w:line="280" w:lineRule="auto"/>
            </w:pPr>
            <w:r>
              <w:t>Pipeline backs off and resumes from the last cursor; replay is idempotent by design.</w:t>
            </w:r>
          </w:p>
        </w:tc>
      </w:tr>
      <w:tr w:rsidR="000903FD" w14:paraId="4A6B69E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4407EB" w14:textId="77777777" w:rsidR="000903FD" w:rsidRDefault="00000000">
            <w:pPr>
              <w:spacing w:line="280" w:lineRule="auto"/>
            </w:pPr>
            <w:r>
              <w:t>Network migration in progress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F0B563" w14:textId="77777777" w:rsidR="000903FD" w:rsidRDefault="00000000">
            <w:pPr>
              <w:spacing w:line="280" w:lineRule="auto"/>
            </w:pPr>
            <w:r>
              <w:t>Both source and destination network adapters run in parallel; outcome references carry the originating network_id; dual-run validation per §4.4.</w:t>
            </w:r>
          </w:p>
        </w:tc>
      </w:tr>
    </w:tbl>
    <w:p w14:paraId="15CAEC69" w14:textId="77777777" w:rsidR="000903FD" w:rsidRDefault="000903FD">
      <w:pPr>
        <w:spacing w:after="60"/>
      </w:pPr>
    </w:p>
    <w:p w14:paraId="24DC26AD" w14:textId="77777777" w:rsidR="000903FD" w:rsidRDefault="00000000">
      <w:pPr>
        <w:pStyle w:val="Heading1"/>
      </w:pPr>
      <w:r>
        <w:t>10. Commercial issuance and distribution</w:t>
      </w:r>
    </w:p>
    <w:p w14:paraId="2CC48CF8" w14:textId="77777777" w:rsidR="000903FD" w:rsidRDefault="00000000">
      <w:pPr>
        <w:spacing w:after="120" w:line="300" w:lineRule="auto"/>
      </w:pPr>
      <w:r>
        <w:t>The term "distribution" is used in Rev 2 in its commercial-merchandising sense, not in a securities or airdrop sense. TCTs are sold — purchased by project listers who instruct TCM to mint cohorts for verified participants in their specific projects. Pricing is set per project. The on-chain mechanics are described in §7; this section describes the commercial workflow that wraps them.</w:t>
      </w:r>
    </w:p>
    <w:p w14:paraId="0B60E2EF" w14:textId="77777777" w:rsidR="000903FD" w:rsidRDefault="00000000">
      <w:pPr>
        <w:pStyle w:val="Heading2"/>
      </w:pPr>
      <w:r>
        <w:t>10.1 The commercial model</w:t>
      </w:r>
    </w:p>
    <w:p w14:paraId="1EEEA053" w14:textId="77777777" w:rsidR="000903FD" w:rsidRDefault="00000000">
      <w:pPr>
        <w:pStyle w:val="ListParagraph"/>
        <w:numPr>
          <w:ilvl w:val="0"/>
          <w:numId w:val="2"/>
        </w:numPr>
        <w:spacing w:after="80" w:line="290" w:lineRule="auto"/>
      </w:pPr>
      <w:r>
        <w:rPr>
          <w:b/>
          <w:bCs/>
        </w:rPr>
        <w:t xml:space="preserve">Project listers </w:t>
      </w:r>
      <w:r>
        <w:t>are the buying counterparty. A project lister is an off-chain entity that wishes to run a TCN workflow and needs verified participants to populate it.</w:t>
      </w:r>
    </w:p>
    <w:p w14:paraId="43895E27" w14:textId="77777777" w:rsidR="000903FD" w:rsidRDefault="00000000">
      <w:pPr>
        <w:pStyle w:val="ListParagraph"/>
        <w:numPr>
          <w:ilvl w:val="0"/>
          <w:numId w:val="2"/>
        </w:numPr>
        <w:spacing w:after="80" w:line="290" w:lineRule="auto"/>
      </w:pPr>
      <w:r>
        <w:rPr>
          <w:b/>
          <w:bCs/>
        </w:rPr>
        <w:t xml:space="preserve">TCM is the issuer </w:t>
      </w:r>
      <w:r>
        <w:t>and verifier. TCM is named in the participation agreement as the KYC verifier, the credential issuer, and the custodian for off-chain formation/ownership records related to the project.</w:t>
      </w:r>
    </w:p>
    <w:p w14:paraId="07EDDB62" w14:textId="77777777" w:rsidR="000903FD" w:rsidRDefault="00000000">
      <w:pPr>
        <w:pStyle w:val="ListParagraph"/>
        <w:numPr>
          <w:ilvl w:val="0"/>
          <w:numId w:val="2"/>
        </w:numPr>
        <w:spacing w:after="80" w:line="290" w:lineRule="auto"/>
      </w:pPr>
      <w:r>
        <w:rPr>
          <w:b/>
          <w:bCs/>
        </w:rPr>
        <w:t xml:space="preserve">TCN is the executor </w:t>
      </w:r>
      <w:r>
        <w:t>and the synchronization-service provider. TCN runs the workflow contracts and bills the project operator for synchronization access, with gas costs passed through with the appropriate markup.</w:t>
      </w:r>
    </w:p>
    <w:p w14:paraId="4B05F094" w14:textId="77777777" w:rsidR="000903FD" w:rsidRDefault="00000000">
      <w:pPr>
        <w:pStyle w:val="ListParagraph"/>
        <w:numPr>
          <w:ilvl w:val="0"/>
          <w:numId w:val="2"/>
        </w:numPr>
        <w:spacing w:after="80" w:line="290" w:lineRule="auto"/>
      </w:pPr>
      <w:r>
        <w:rPr>
          <w:b/>
          <w:bCs/>
        </w:rPr>
        <w:lastRenderedPageBreak/>
        <w:t xml:space="preserve">Participants are the credential holders. </w:t>
      </w:r>
      <w:r>
        <w:t xml:space="preserve">They do not pay for the TCT directly in the </w:t>
      </w:r>
      <w:commentRangeStart w:id="1"/>
      <w:r>
        <w:t>typical</w:t>
      </w:r>
      <w:commentRangeEnd w:id="1"/>
      <w:r w:rsidR="00C979E1">
        <w:rPr>
          <w:rStyle w:val="CommentReference"/>
          <w:sz w:val="22"/>
          <w:szCs w:val="22"/>
        </w:rPr>
        <w:commentReference w:id="1"/>
      </w:r>
      <w:r>
        <w:t xml:space="preserve"> model; the project lister has paid for the cohort. They may be required to accept the participation agreement and complete KYC.</w:t>
      </w:r>
    </w:p>
    <w:p w14:paraId="3DEB3D86" w14:textId="77777777" w:rsidR="000903FD" w:rsidRDefault="00000000">
      <w:pPr>
        <w:pStyle w:val="Heading2"/>
      </w:pPr>
      <w:r>
        <w:t>10.2 The six gates</w:t>
      </w:r>
    </w:p>
    <w:p w14:paraId="04A41CC5" w14:textId="77777777" w:rsidR="000903FD" w:rsidRDefault="00000000">
      <w:pPr>
        <w:pStyle w:val="ListParagraph"/>
        <w:numPr>
          <w:ilvl w:val="0"/>
          <w:numId w:val="3"/>
        </w:numPr>
        <w:spacing w:after="80" w:line="290" w:lineRule="auto"/>
      </w:pPr>
      <w:r>
        <w:rPr>
          <w:b/>
          <w:bCs/>
        </w:rPr>
        <w:t xml:space="preserve">Eligibility gate. </w:t>
      </w:r>
      <w:r>
        <w:t>Applicant fits the policy definition for the credential class set by the project lister and the TCM compliance policy.</w:t>
      </w:r>
    </w:p>
    <w:p w14:paraId="26F051F0" w14:textId="77777777" w:rsidR="000903FD" w:rsidRDefault="00000000">
      <w:pPr>
        <w:pStyle w:val="ListParagraph"/>
        <w:numPr>
          <w:ilvl w:val="0"/>
          <w:numId w:val="3"/>
        </w:numPr>
        <w:spacing w:after="80" w:line="290" w:lineRule="auto"/>
      </w:pPr>
      <w:r>
        <w:rPr>
          <w:b/>
          <w:bCs/>
        </w:rPr>
        <w:t xml:space="preserve">Identity gate. </w:t>
      </w:r>
      <w:r>
        <w:t>KYC/AML, sanctions screening, and entity verification complete with a Verified result. TCM is the verifier (a revenue stream).</w:t>
      </w:r>
    </w:p>
    <w:p w14:paraId="6C8429A5" w14:textId="77777777" w:rsidR="000903FD" w:rsidRDefault="00000000">
      <w:pPr>
        <w:pStyle w:val="ListParagraph"/>
        <w:numPr>
          <w:ilvl w:val="0"/>
          <w:numId w:val="3"/>
        </w:numPr>
        <w:spacing w:after="80" w:line="290" w:lineRule="auto"/>
      </w:pPr>
      <w:r>
        <w:rPr>
          <w:b/>
          <w:bCs/>
        </w:rPr>
        <w:t xml:space="preserve">Wallet gate. </w:t>
      </w:r>
      <w:r>
        <w:t>The wallet to be bound is established (standard wallets such as MetaMask are sufficient for v1) and proven to be controlled by the applicant via signed challenge.</w:t>
      </w:r>
    </w:p>
    <w:p w14:paraId="253E8765" w14:textId="77777777" w:rsidR="000903FD" w:rsidRDefault="00000000">
      <w:pPr>
        <w:pStyle w:val="ListParagraph"/>
        <w:numPr>
          <w:ilvl w:val="0"/>
          <w:numId w:val="3"/>
        </w:numPr>
        <w:spacing w:after="80" w:line="290" w:lineRule="auto"/>
      </w:pPr>
      <w:r>
        <w:rPr>
          <w:b/>
          <w:bCs/>
        </w:rPr>
        <w:t xml:space="preserve">Legal gate. </w:t>
      </w:r>
      <w:r>
        <w:t>Applicant accepts the participation agreement, which makes the reporter-not-determiner nature of the TCT explicit and locates economic determination and custody in named off-chain entities and TCN contracts.</w:t>
      </w:r>
    </w:p>
    <w:p w14:paraId="6ADCE942" w14:textId="77777777" w:rsidR="000903FD" w:rsidRDefault="00000000">
      <w:pPr>
        <w:pStyle w:val="ListParagraph"/>
        <w:numPr>
          <w:ilvl w:val="0"/>
          <w:numId w:val="3"/>
        </w:numPr>
        <w:spacing w:after="80" w:line="290" w:lineRule="auto"/>
      </w:pPr>
      <w:r>
        <w:rPr>
          <w:b/>
          <w:bCs/>
        </w:rPr>
        <w:t xml:space="preserve">Mint gate. </w:t>
      </w:r>
      <w:r>
        <w:t>ISSUER_ROLE mints the credential into the bound wallet in Pending state, per the project lister's pre-cleared instruction.</w:t>
      </w:r>
    </w:p>
    <w:p w14:paraId="37ED7254" w14:textId="77777777" w:rsidR="000903FD" w:rsidRDefault="00000000">
      <w:pPr>
        <w:pStyle w:val="ListParagraph"/>
        <w:numPr>
          <w:ilvl w:val="0"/>
          <w:numId w:val="3"/>
        </w:numPr>
        <w:spacing w:after="80" w:line="290" w:lineRule="auto"/>
      </w:pPr>
      <w:r>
        <w:rPr>
          <w:b/>
          <w:bCs/>
        </w:rPr>
        <w:t xml:space="preserve">Activation gate. </w:t>
      </w:r>
      <w:r>
        <w:t>Compliance verifies and ISSUER_ROLE activates; the participant can now authenticate into TCN workflows.</w:t>
      </w:r>
    </w:p>
    <w:p w14:paraId="2B47C2FB" w14:textId="77777777" w:rsidR="000903FD" w:rsidRDefault="00000000">
      <w:pPr>
        <w:pStyle w:val="Heading2"/>
      </w:pPr>
      <w:r>
        <w:t>10.3 Distribution mechanics that are out of scope</w:t>
      </w:r>
    </w:p>
    <w:p w14:paraId="7B0FCF14" w14:textId="77777777" w:rsidR="000903FD" w:rsidRDefault="00000000">
      <w:pPr>
        <w:pStyle w:val="ListParagraph"/>
        <w:numPr>
          <w:ilvl w:val="0"/>
          <w:numId w:val="2"/>
        </w:numPr>
        <w:spacing w:after="80" w:line="290" w:lineRule="auto"/>
      </w:pPr>
      <w:r>
        <w:t>No public sale, ICO, IDO, or token-generation event.</w:t>
      </w:r>
    </w:p>
    <w:p w14:paraId="28881F70" w14:textId="77777777" w:rsidR="000903FD" w:rsidRDefault="00000000">
      <w:pPr>
        <w:pStyle w:val="ListParagraph"/>
        <w:numPr>
          <w:ilvl w:val="0"/>
          <w:numId w:val="2"/>
        </w:numPr>
        <w:spacing w:after="80" w:line="290" w:lineRule="auto"/>
      </w:pPr>
      <w:r>
        <w:t>No transfer-based distribution; the contract structurally rejects transfers.</w:t>
      </w:r>
    </w:p>
    <w:p w14:paraId="092AD831" w14:textId="77777777" w:rsidR="000903FD" w:rsidRDefault="00000000">
      <w:pPr>
        <w:pStyle w:val="ListParagraph"/>
        <w:numPr>
          <w:ilvl w:val="0"/>
          <w:numId w:val="2"/>
        </w:numPr>
        <w:spacing w:after="80" w:line="290" w:lineRule="auto"/>
      </w:pPr>
      <w:r>
        <w:t>No airdrops to unverified wallets. Mints to wallets that have not passed identity and wallet gates fail at the contract level because identity_binding is required.</w:t>
      </w:r>
    </w:p>
    <w:p w14:paraId="4BB494BC" w14:textId="77777777" w:rsidR="000903FD" w:rsidRDefault="00000000">
      <w:pPr>
        <w:pStyle w:val="ListParagraph"/>
        <w:numPr>
          <w:ilvl w:val="0"/>
          <w:numId w:val="2"/>
        </w:numPr>
        <w:spacing w:after="80" w:line="290" w:lineRule="auto"/>
      </w:pPr>
      <w:r>
        <w:t>No secondary market. The lack of transferability means there is nothing to list; this is communicated explicitly to project listers and participants to avoid confusion with conventional token launches.</w:t>
      </w:r>
    </w:p>
    <w:p w14:paraId="69BACE54" w14:textId="77777777" w:rsidR="000903FD" w:rsidRDefault="00000000">
      <w:pPr>
        <w:pStyle w:val="Heading2"/>
      </w:pPr>
      <w:r>
        <w:t>10.4 Cohort issuance and operational throughput</w:t>
      </w:r>
    </w:p>
    <w:p w14:paraId="3E8A6B25" w14:textId="77777777" w:rsidR="000903FD" w:rsidRDefault="00000000">
      <w:pPr>
        <w:spacing w:after="120" w:line="300" w:lineRule="auto"/>
      </w:pPr>
      <w:r>
        <w:t>Cohort issuance is the default mode, not an exception. When a project lister onboards a wave of participants, the ERC-1155 batch mint path is used. The COMPLIANCE_ROLE pre-clears the cohort, the ISSUER_ROLE submits a single batched transaction, and activation is also batched once compliance signs off. Throughput planning should assume the limiting factor is identity verification, not chain capacity; the contract will not be the bottleneck. Volumes are bounded by program size — the system is not designed for, and does not need to support, mass-market scale.</w:t>
      </w:r>
    </w:p>
    <w:p w14:paraId="5F3D433B" w14:textId="77777777" w:rsidR="000903FD" w:rsidRDefault="00000000">
      <w:pPr>
        <w:pStyle w:val="Heading2"/>
      </w:pPr>
      <w:r>
        <w:t>10.5 Revenue streams (consolidated)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160"/>
      </w:tblGrid>
      <w:tr w:rsidR="000903FD" w14:paraId="18063E5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70AD47"/>
            <w:tcMar>
              <w:top w:w="100" w:type="dxa"/>
              <w:left w:w="140" w:type="dxa"/>
              <w:bottom w:w="100" w:type="dxa"/>
              <w:right w:w="140" w:type="dxa"/>
            </w:tcMar>
          </w:tcPr>
          <w:p w14:paraId="4C4911A3" w14:textId="77777777" w:rsidR="000903FD" w:rsidRDefault="00000000">
            <w:pPr>
              <w:spacing w:line="280" w:lineRule="auto"/>
            </w:pPr>
            <w:r>
              <w:rPr>
                <w:b/>
                <w:bCs/>
                <w:color w:val="FFFFFF"/>
              </w:rPr>
              <w:lastRenderedPageBreak/>
              <w:t>Stream</w:t>
            </w:r>
          </w:p>
        </w:tc>
        <w:tc>
          <w:tcPr>
            <w:tcW w:w="2200" w:type="dxa"/>
            <w:tcBorders>
              <w:top w:val="single" w:sz="4" w:space="0" w:color="BFBFBF"/>
              <w:left w:val="single" w:sz="4" w:space="0" w:color="BFBFBF"/>
              <w:bottom w:val="single" w:sz="4" w:space="0" w:color="BFBFBF"/>
              <w:right w:val="single" w:sz="4" w:space="0" w:color="BFBFBF"/>
            </w:tcBorders>
            <w:shd w:val="clear" w:color="auto" w:fill="70AD47"/>
            <w:tcMar>
              <w:top w:w="100" w:type="dxa"/>
              <w:left w:w="140" w:type="dxa"/>
              <w:bottom w:w="100" w:type="dxa"/>
              <w:right w:w="140" w:type="dxa"/>
            </w:tcMar>
          </w:tcPr>
          <w:p w14:paraId="2A3686F0" w14:textId="77777777" w:rsidR="000903FD" w:rsidRDefault="00000000">
            <w:pPr>
              <w:spacing w:line="280" w:lineRule="auto"/>
            </w:pPr>
            <w:r>
              <w:rPr>
                <w:b/>
                <w:bCs/>
                <w:color w:val="FFFFFF"/>
              </w:rPr>
              <w:t>Owner</w:t>
            </w:r>
          </w:p>
        </w:tc>
        <w:tc>
          <w:tcPr>
            <w:tcW w:w="4160" w:type="dxa"/>
            <w:tcBorders>
              <w:top w:val="single" w:sz="4" w:space="0" w:color="BFBFBF"/>
              <w:left w:val="single" w:sz="4" w:space="0" w:color="BFBFBF"/>
              <w:bottom w:val="single" w:sz="4" w:space="0" w:color="BFBFBF"/>
              <w:right w:val="single" w:sz="4" w:space="0" w:color="BFBFBF"/>
            </w:tcBorders>
            <w:shd w:val="clear" w:color="auto" w:fill="70AD47"/>
            <w:tcMar>
              <w:top w:w="100" w:type="dxa"/>
              <w:left w:w="140" w:type="dxa"/>
              <w:bottom w:w="100" w:type="dxa"/>
              <w:right w:w="140" w:type="dxa"/>
            </w:tcMar>
          </w:tcPr>
          <w:p w14:paraId="08E36E2C" w14:textId="77777777" w:rsidR="000903FD" w:rsidRDefault="00000000">
            <w:pPr>
              <w:spacing w:line="280" w:lineRule="auto"/>
            </w:pPr>
            <w:r>
              <w:rPr>
                <w:b/>
                <w:bCs/>
                <w:color w:val="FFFFFF"/>
              </w:rPr>
              <w:t>Basis</w:t>
            </w:r>
          </w:p>
        </w:tc>
      </w:tr>
      <w:tr w:rsidR="000903FD" w14:paraId="2522E48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9162F9" w14:textId="77777777" w:rsidR="000903FD" w:rsidRDefault="00000000">
            <w:pPr>
              <w:spacing w:line="280" w:lineRule="auto"/>
            </w:pPr>
            <w:r>
              <w:t>Per-credential issuance fee</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8EB11D" w14:textId="77777777" w:rsidR="000903FD" w:rsidRDefault="00000000">
            <w:pPr>
              <w:spacing w:line="280" w:lineRule="auto"/>
            </w:pPr>
            <w:r>
              <w:t>TCM</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2D8A64" w14:textId="77777777" w:rsidR="000903FD" w:rsidRDefault="00000000">
            <w:pPr>
              <w:spacing w:line="280" w:lineRule="auto"/>
            </w:pPr>
            <w:r>
              <w:t>Project lister pays per credential in the cohort</w:t>
            </w:r>
          </w:p>
        </w:tc>
      </w:tr>
      <w:tr w:rsidR="000903FD" w14:paraId="5DFDCC4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A63D2D" w14:textId="77777777" w:rsidR="000903FD" w:rsidRDefault="00000000">
            <w:pPr>
              <w:spacing w:line="280" w:lineRule="auto"/>
            </w:pPr>
            <w:r>
              <w:t>KYC verification fee</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85C647" w14:textId="77777777" w:rsidR="000903FD" w:rsidRDefault="00000000">
            <w:pPr>
              <w:spacing w:line="280" w:lineRule="auto"/>
            </w:pPr>
            <w:r>
              <w:t>TCM</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149752" w14:textId="77777777" w:rsidR="000903FD" w:rsidRDefault="00000000">
            <w:pPr>
              <w:spacing w:line="280" w:lineRule="auto"/>
            </w:pPr>
            <w:r>
              <w:t>Per-participant identity vetting</w:t>
            </w:r>
          </w:p>
        </w:tc>
      </w:tr>
      <w:tr w:rsidR="000903FD" w14:paraId="64917F0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928F11" w14:textId="77777777" w:rsidR="000903FD" w:rsidRDefault="00000000">
            <w:pPr>
              <w:spacing w:line="280" w:lineRule="auto"/>
            </w:pPr>
            <w:r>
              <w:t>Synchronization service</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875FC2" w14:textId="77777777" w:rsidR="000903FD" w:rsidRDefault="00000000">
            <w:pPr>
              <w:spacing w:line="280" w:lineRule="auto"/>
            </w:pPr>
            <w:r>
              <w:t>TCN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71748F" w14:textId="77777777" w:rsidR="000903FD" w:rsidRDefault="00000000">
            <w:pPr>
              <w:spacing w:line="280" w:lineRule="auto"/>
            </w:pPr>
            <w:r>
              <w:t>Per-event or subscription pricing to project operator</w:t>
            </w:r>
          </w:p>
        </w:tc>
      </w:tr>
      <w:tr w:rsidR="000903FD" w14:paraId="3323CA7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C3B4D2" w14:textId="77777777" w:rsidR="000903FD" w:rsidRDefault="00000000">
            <w:pPr>
              <w:spacing w:line="280" w:lineRule="auto"/>
            </w:pPr>
            <w:r>
              <w:t>Gas pass-through with markup</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FC9E60" w14:textId="77777777" w:rsidR="000903FD" w:rsidRDefault="00000000">
            <w:pPr>
              <w:spacing w:line="280" w:lineRule="auto"/>
            </w:pPr>
            <w:r>
              <w:t>TCN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54AAA9" w14:textId="77777777" w:rsidR="000903FD" w:rsidRDefault="00000000">
            <w:pPr>
              <w:spacing w:line="280" w:lineRule="auto"/>
            </w:pPr>
            <w:r>
              <w:t>Gas costs for TCN workflow execution, charged to project operator</w:t>
            </w:r>
          </w:p>
        </w:tc>
      </w:tr>
      <w:tr w:rsidR="000903FD" w14:paraId="44F4703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1A41F7" w14:textId="77777777" w:rsidR="000903FD" w:rsidRDefault="00000000">
            <w:pPr>
              <w:spacing w:line="280" w:lineRule="auto"/>
            </w:pPr>
            <w:r>
              <w:t>ERC-4337 wallet services (v2)</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6196AB" w14:textId="77777777" w:rsidR="000903FD" w:rsidRDefault="00000000">
            <w:pPr>
              <w:spacing w:line="280" w:lineRule="auto"/>
            </w:pPr>
            <w:r>
              <w:t>TCM or new entity</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DDF45E" w14:textId="77777777" w:rsidR="000903FD" w:rsidRDefault="00000000">
            <w:pPr>
              <w:spacing w:line="280" w:lineRule="auto"/>
            </w:pPr>
            <w:r>
              <w:t>Co-signer, recovery, session-key services to participants</w:t>
            </w:r>
          </w:p>
        </w:tc>
      </w:tr>
      <w:tr w:rsidR="000903FD" w14:paraId="2FFAA05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830045" w14:textId="77777777" w:rsidR="000903FD" w:rsidRDefault="00000000">
            <w:pPr>
              <w:spacing w:line="280" w:lineRule="auto"/>
            </w:pPr>
            <w:r>
              <w:t>Off-chain formation/ownership custody</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AE39AB" w14:textId="77777777" w:rsidR="000903FD" w:rsidRDefault="00000000">
            <w:pPr>
              <w:spacing w:line="280" w:lineRule="auto"/>
            </w:pPr>
            <w:r>
              <w:t>TCM</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E756D2" w14:textId="77777777" w:rsidR="000903FD" w:rsidRDefault="00000000">
            <w:pPr>
              <w:spacing w:line="280" w:lineRule="auto"/>
            </w:pPr>
            <w:r>
              <w:t>Document custody fees for project entities</w:t>
            </w:r>
          </w:p>
        </w:tc>
      </w:tr>
      <w:tr w:rsidR="000903FD" w14:paraId="6383488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E4F7CD" w14:textId="77777777" w:rsidR="000903FD" w:rsidRDefault="00000000">
            <w:pPr>
              <w:spacing w:line="280" w:lineRule="auto"/>
            </w:pPr>
            <w:r>
              <w:t>Analytics feed (optional)</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034C0A" w14:textId="77777777" w:rsidR="000903FD" w:rsidRDefault="00000000">
            <w:pPr>
              <w:spacing w:line="280" w:lineRule="auto"/>
            </w:pPr>
            <w:r>
              <w:t>TCA or successor entity</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88E9F0" w14:textId="77777777" w:rsidR="000903FD" w:rsidRDefault="00000000">
            <w:pPr>
              <w:spacing w:line="280" w:lineRule="auto"/>
            </w:pPr>
            <w:r>
              <w:t>Subscription access to pseudonymized outcome feed</w:t>
            </w:r>
          </w:p>
        </w:tc>
      </w:tr>
    </w:tbl>
    <w:p w14:paraId="3E82EAB7" w14:textId="77777777" w:rsidR="000903FD" w:rsidRDefault="00000000">
      <w:pPr>
        <w:pStyle w:val="Heading2"/>
      </w:pPr>
      <w:r>
        <w:t>10.6 Communications posture</w:t>
      </w:r>
    </w:p>
    <w:p w14:paraId="3F734FBD" w14:textId="77777777" w:rsidR="000903FD" w:rsidRDefault="00000000">
      <w:pPr>
        <w:spacing w:after="120" w:line="300" w:lineRule="auto"/>
      </w:pPr>
      <w:r>
        <w:t xml:space="preserve">Public-facing materials describe TCT consistently as a credential, an authorization primitive, or a participation token — never as an asset, a security, or an investment, and never as something one buys for appreciation or trades on a market. </w:t>
      </w:r>
      <w:r w:rsidRPr="00C979E1">
        <w:rPr>
          <w:highlight w:val="yellow"/>
        </w:rPr>
        <w:t>The credential is purchased as access; it is not held for return.</w:t>
      </w:r>
      <w:r>
        <w:t xml:space="preserve"> The messaging discipline matters because it is the first line of defense for the regulatory characterization on which the entire architecture depends, and it is the externally visible expression of the reporter-not-determiner distinction codified in §2.</w:t>
      </w:r>
    </w:p>
    <w:p w14:paraId="45C6D6A8" w14:textId="77777777" w:rsidR="000903FD" w:rsidRDefault="000903FD">
      <w:pPr>
        <w:spacing w:after="60"/>
      </w:pPr>
    </w:p>
    <w:p w14:paraId="7825D26E" w14:textId="77777777" w:rsidR="000903FD" w:rsidRDefault="00000000">
      <w:pPr>
        <w:pStyle w:val="Heading1"/>
      </w:pPr>
      <w:r>
        <w:t>11. Execution risks</w:t>
      </w:r>
    </w:p>
    <w:p w14:paraId="5E06B946" w14:textId="77777777" w:rsidR="000903FD" w:rsidRDefault="00000000">
      <w:pPr>
        <w:spacing w:after="120" w:line="300" w:lineRule="auto"/>
      </w:pPr>
      <w:r>
        <w:t>Risks are grouped by where they sit in the architecture. Severity is rated against the project's ability to ship a credible v1. Probability scoring will be added through the 2678 risk engine in a subsequent pass. Mitigations are concrete actions, not principles.</w:t>
      </w:r>
    </w:p>
    <w:p w14:paraId="42FEA140" w14:textId="77777777" w:rsidR="000903FD" w:rsidRDefault="00000000">
      <w:pPr>
        <w:pStyle w:val="Heading2"/>
      </w:pPr>
      <w:r>
        <w:t>11.1 Legal and regulatory characterization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00"/>
        <w:gridCol w:w="4360"/>
      </w:tblGrid>
      <w:tr w:rsidR="000903FD" w14:paraId="1FA0255A"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C00000"/>
            <w:tcMar>
              <w:top w:w="100" w:type="dxa"/>
              <w:left w:w="140" w:type="dxa"/>
              <w:bottom w:w="100" w:type="dxa"/>
              <w:right w:w="140" w:type="dxa"/>
            </w:tcMar>
          </w:tcPr>
          <w:p w14:paraId="3D7CE087" w14:textId="77777777" w:rsidR="000903FD" w:rsidRDefault="00000000">
            <w:pPr>
              <w:spacing w:line="280" w:lineRule="auto"/>
            </w:pPr>
            <w:r>
              <w:rPr>
                <w:b/>
                <w:bCs/>
                <w:color w:val="FFFFFF"/>
              </w:rPr>
              <w:t>Risk</w:t>
            </w:r>
          </w:p>
        </w:tc>
        <w:tc>
          <w:tcPr>
            <w:tcW w:w="1400" w:type="dxa"/>
            <w:tcBorders>
              <w:top w:val="single" w:sz="4" w:space="0" w:color="BFBFBF"/>
              <w:left w:val="single" w:sz="4" w:space="0" w:color="BFBFBF"/>
              <w:bottom w:val="single" w:sz="4" w:space="0" w:color="BFBFBF"/>
              <w:right w:val="single" w:sz="4" w:space="0" w:color="BFBFBF"/>
            </w:tcBorders>
            <w:shd w:val="clear" w:color="auto" w:fill="C00000"/>
            <w:tcMar>
              <w:top w:w="100" w:type="dxa"/>
              <w:left w:w="140" w:type="dxa"/>
              <w:bottom w:w="100" w:type="dxa"/>
              <w:right w:w="140" w:type="dxa"/>
            </w:tcMar>
          </w:tcPr>
          <w:p w14:paraId="7ABE716F" w14:textId="77777777" w:rsidR="000903FD" w:rsidRDefault="00000000">
            <w:pPr>
              <w:spacing w:line="280" w:lineRule="auto"/>
            </w:pPr>
            <w:r>
              <w:rPr>
                <w:b/>
                <w:bCs/>
                <w:color w:val="FFFFFF"/>
              </w:rPr>
              <w:t>Severity</w:t>
            </w:r>
          </w:p>
        </w:tc>
        <w:tc>
          <w:tcPr>
            <w:tcW w:w="4360" w:type="dxa"/>
            <w:tcBorders>
              <w:top w:val="single" w:sz="4" w:space="0" w:color="BFBFBF"/>
              <w:left w:val="single" w:sz="4" w:space="0" w:color="BFBFBF"/>
              <w:bottom w:val="single" w:sz="4" w:space="0" w:color="BFBFBF"/>
              <w:right w:val="single" w:sz="4" w:space="0" w:color="BFBFBF"/>
            </w:tcBorders>
            <w:shd w:val="clear" w:color="auto" w:fill="C00000"/>
            <w:tcMar>
              <w:top w:w="100" w:type="dxa"/>
              <w:left w:w="140" w:type="dxa"/>
              <w:bottom w:w="100" w:type="dxa"/>
              <w:right w:w="140" w:type="dxa"/>
            </w:tcMar>
          </w:tcPr>
          <w:p w14:paraId="771299B8" w14:textId="77777777" w:rsidR="000903FD" w:rsidRDefault="00000000">
            <w:pPr>
              <w:spacing w:line="280" w:lineRule="auto"/>
            </w:pPr>
            <w:r>
              <w:rPr>
                <w:b/>
                <w:bCs/>
                <w:color w:val="FFFFFF"/>
              </w:rPr>
              <w:t>Mitigation</w:t>
            </w:r>
          </w:p>
        </w:tc>
      </w:tr>
      <w:tr w:rsidR="000903FD" w14:paraId="1E5FDB6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C5AAC3" w14:textId="77777777" w:rsidR="000903FD" w:rsidRDefault="00000000">
            <w:pPr>
              <w:spacing w:line="280" w:lineRule="auto"/>
            </w:pPr>
            <w:r>
              <w:lastRenderedPageBreak/>
              <w:t>TCT is recharacterized as a security, money-transmitter instrument, or regulated asset because feature creep introduces determining/custodial semantics rather than reporting semantics.</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34D61B" w14:textId="77777777" w:rsidR="000903FD" w:rsidRDefault="00000000">
            <w:pPr>
              <w:spacing w:line="280" w:lineRule="auto"/>
            </w:pPr>
            <w:r>
              <w:t>Critical</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06866E" w14:textId="77777777" w:rsidR="000903FD" w:rsidRDefault="00000000">
            <w:pPr>
              <w:spacing w:line="280" w:lineRule="auto"/>
            </w:pPr>
            <w:r>
              <w:t>Lock the §5.3 reporter/determiner distinction into a code-level invariant checked by tests; require legal sign-off on any field added to either contract; enforce §2 definitions in all communications.</w:t>
            </w:r>
          </w:p>
        </w:tc>
      </w:tr>
      <w:tr w:rsidR="000903FD" w14:paraId="263D9E6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715DDA" w14:textId="77777777" w:rsidR="000903FD" w:rsidRDefault="00000000">
            <w:pPr>
              <w:spacing w:line="280" w:lineRule="auto"/>
            </w:pPr>
            <w:r>
              <w:t>Off-chain entity formation and ownership custody (new in Rev 2) is mischaracterized as transfer-agency or issuer activity by TCM.</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2A6710" w14:textId="77777777" w:rsidR="000903FD" w:rsidRDefault="00000000">
            <w:pPr>
              <w:spacing w:line="280" w:lineRule="auto"/>
            </w:pPr>
            <w:r>
              <w:t>Critical</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C095BE" w14:textId="77777777" w:rsidR="000903FD" w:rsidRDefault="00000000">
            <w:pPr>
              <w:spacing w:line="280" w:lineRule="auto"/>
            </w:pPr>
            <w:r>
              <w:t>Counsel review of TCM's custody role before launch; clear contractual delineation that TCM holds documents on behalf of named off-chain entities and is not itself an issuer; SOC controls on the document custody process.</w:t>
            </w:r>
          </w:p>
        </w:tc>
      </w:tr>
      <w:tr w:rsidR="000903FD" w14:paraId="6C67FAEA"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F36D94" w14:textId="77777777" w:rsidR="000903FD" w:rsidRDefault="00000000">
            <w:pPr>
              <w:spacing w:line="280" w:lineRule="auto"/>
            </w:pPr>
            <w:r>
              <w:t>Jurisdictional treatment of non-transferable credentials varies; some regimes may treat the credential record itself as personal data subject to deletion rights.</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BF802A" w14:textId="77777777" w:rsidR="000903FD" w:rsidRDefault="00000000">
            <w:pPr>
              <w:spacing w:line="280" w:lineRule="auto"/>
            </w:pPr>
            <w:r>
              <w:t>High</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A483FB" w14:textId="77777777" w:rsidR="000903FD" w:rsidRDefault="00000000">
            <w:pPr>
              <w:spacing w:line="280" w:lineRule="auto"/>
            </w:pPr>
            <w:r>
              <w:t>Keep on-chain footprint to the hash-only model; design revocation + identity-vault deletion as the operational equivalent of right-to-be-forgotten (the information is forgotten; the on-chain pseudonymous record persists for audit but becomes uninvertible).</w:t>
            </w:r>
          </w:p>
        </w:tc>
      </w:tr>
      <w:tr w:rsidR="000903FD" w14:paraId="26BEEE4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11CED4" w14:textId="77777777" w:rsidR="000903FD" w:rsidRDefault="00000000">
            <w:pPr>
              <w:spacing w:line="280" w:lineRule="auto"/>
            </w:pPr>
            <w:r>
              <w:t>Patent claim drift if the implementation diverges from the disclosed embodiments before the non-provisional is filed.</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38838B" w14:textId="77777777" w:rsidR="000903FD" w:rsidRDefault="00000000">
            <w:pPr>
              <w:spacing w:line="280" w:lineRule="auto"/>
            </w:pPr>
            <w:r>
              <w:t>High</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1B2DF5" w14:textId="77777777" w:rsidR="000903FD" w:rsidRDefault="00000000">
            <w:pPr>
              <w:spacing w:line="280" w:lineRule="auto"/>
            </w:pPr>
            <w:r>
              <w:t>Freeze the architectural vocabulary used in the implementation and the patent; designate one engineering owner to flag any divergence to counsel during the 12-month priority window. Note TCN workflow tokens may warrant their own patent family — track separately.</w:t>
            </w:r>
          </w:p>
        </w:tc>
      </w:tr>
    </w:tbl>
    <w:p w14:paraId="05C78484" w14:textId="77777777" w:rsidR="000903FD" w:rsidRDefault="00000000">
      <w:pPr>
        <w:pStyle w:val="Heading2"/>
      </w:pPr>
      <w:r>
        <w:t>11.2 Identity and key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00"/>
        <w:gridCol w:w="4360"/>
      </w:tblGrid>
      <w:tr w:rsidR="000903FD" w14:paraId="5B18C3B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C00000"/>
            <w:tcMar>
              <w:top w:w="100" w:type="dxa"/>
              <w:left w:w="140" w:type="dxa"/>
              <w:bottom w:w="100" w:type="dxa"/>
              <w:right w:w="140" w:type="dxa"/>
            </w:tcMar>
          </w:tcPr>
          <w:p w14:paraId="52337F50" w14:textId="77777777" w:rsidR="000903FD" w:rsidRDefault="00000000">
            <w:pPr>
              <w:spacing w:line="280" w:lineRule="auto"/>
            </w:pPr>
            <w:r>
              <w:rPr>
                <w:b/>
                <w:bCs/>
                <w:color w:val="FFFFFF"/>
              </w:rPr>
              <w:t>Risk</w:t>
            </w:r>
          </w:p>
        </w:tc>
        <w:tc>
          <w:tcPr>
            <w:tcW w:w="1400" w:type="dxa"/>
            <w:tcBorders>
              <w:top w:val="single" w:sz="4" w:space="0" w:color="BFBFBF"/>
              <w:left w:val="single" w:sz="4" w:space="0" w:color="BFBFBF"/>
              <w:bottom w:val="single" w:sz="4" w:space="0" w:color="BFBFBF"/>
              <w:right w:val="single" w:sz="4" w:space="0" w:color="BFBFBF"/>
            </w:tcBorders>
            <w:shd w:val="clear" w:color="auto" w:fill="C00000"/>
            <w:tcMar>
              <w:top w:w="100" w:type="dxa"/>
              <w:left w:w="140" w:type="dxa"/>
              <w:bottom w:w="100" w:type="dxa"/>
              <w:right w:w="140" w:type="dxa"/>
            </w:tcMar>
          </w:tcPr>
          <w:p w14:paraId="1CA80538" w14:textId="77777777" w:rsidR="000903FD" w:rsidRDefault="00000000">
            <w:pPr>
              <w:spacing w:line="280" w:lineRule="auto"/>
            </w:pPr>
            <w:r>
              <w:rPr>
                <w:b/>
                <w:bCs/>
                <w:color w:val="FFFFFF"/>
              </w:rPr>
              <w:t>Severity</w:t>
            </w:r>
          </w:p>
        </w:tc>
        <w:tc>
          <w:tcPr>
            <w:tcW w:w="4360" w:type="dxa"/>
            <w:tcBorders>
              <w:top w:val="single" w:sz="4" w:space="0" w:color="BFBFBF"/>
              <w:left w:val="single" w:sz="4" w:space="0" w:color="BFBFBF"/>
              <w:bottom w:val="single" w:sz="4" w:space="0" w:color="BFBFBF"/>
              <w:right w:val="single" w:sz="4" w:space="0" w:color="BFBFBF"/>
            </w:tcBorders>
            <w:shd w:val="clear" w:color="auto" w:fill="C00000"/>
            <w:tcMar>
              <w:top w:w="100" w:type="dxa"/>
              <w:left w:w="140" w:type="dxa"/>
              <w:bottom w:w="100" w:type="dxa"/>
              <w:right w:w="140" w:type="dxa"/>
            </w:tcMar>
          </w:tcPr>
          <w:p w14:paraId="74DCF10F" w14:textId="77777777" w:rsidR="000903FD" w:rsidRDefault="00000000">
            <w:pPr>
              <w:spacing w:line="280" w:lineRule="auto"/>
            </w:pPr>
            <w:r>
              <w:rPr>
                <w:b/>
                <w:bCs/>
                <w:color w:val="FFFFFF"/>
              </w:rPr>
              <w:t>Mitigation</w:t>
            </w:r>
          </w:p>
        </w:tc>
      </w:tr>
      <w:tr w:rsidR="000903FD" w14:paraId="7586772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19E3BA" w14:textId="77777777" w:rsidR="000903FD" w:rsidRDefault="00000000">
            <w:pPr>
              <w:spacing w:line="280" w:lineRule="auto"/>
            </w:pPr>
            <w:r>
              <w:t>Participant key loss with no recovery path leaves an identity stuck against a dead wallet.</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424E01" w14:textId="77777777" w:rsidR="000903FD" w:rsidRDefault="00000000">
            <w:pPr>
              <w:spacing w:line="280" w:lineRule="auto"/>
            </w:pPr>
            <w:r>
              <w:t>High</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B76ABB" w14:textId="77777777" w:rsidR="000903FD" w:rsidRDefault="00000000">
            <w:pPr>
              <w:spacing w:line="280" w:lineRule="auto"/>
            </w:pPr>
            <w:r>
              <w:t>Document the re-binding flow in §8.3 before launch; plan v2 ERC-4337 upgrade with social or TCM-co-signed recovery (a revenue stream).</w:t>
            </w:r>
          </w:p>
        </w:tc>
      </w:tr>
      <w:tr w:rsidR="000903FD" w14:paraId="1F76F967"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94F5BE" w14:textId="77777777" w:rsidR="000903FD" w:rsidRDefault="00000000">
            <w:pPr>
              <w:spacing w:line="280" w:lineRule="auto"/>
            </w:pPr>
            <w:r>
              <w:t>Compromise of ISSUER_ROLE key allows mass mint to attacker-controlled wallets.</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A4623F" w14:textId="77777777" w:rsidR="000903FD" w:rsidRDefault="00000000">
            <w:pPr>
              <w:spacing w:line="280" w:lineRule="auto"/>
            </w:pPr>
            <w:r>
              <w:t>Critical</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59FE21" w14:textId="77777777" w:rsidR="000903FD" w:rsidRDefault="00000000">
            <w:pPr>
              <w:spacing w:line="280" w:lineRule="auto"/>
            </w:pPr>
            <w:r>
              <w:t xml:space="preserve">Multi-sig with hardware-backed signers; PAUSER_ROLE held separately can halt mint </w:t>
            </w:r>
            <w:r>
              <w:lastRenderedPageBreak/>
              <w:t>and sync within minutes; on-chain monitoring on every mint.</w:t>
            </w:r>
          </w:p>
        </w:tc>
      </w:tr>
      <w:tr w:rsidR="000903FD" w14:paraId="4C63E6A2"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4AADD9" w14:textId="77777777" w:rsidR="000903FD" w:rsidRDefault="00000000">
            <w:pPr>
              <w:spacing w:line="280" w:lineRule="auto"/>
            </w:pPr>
            <w:r>
              <w:lastRenderedPageBreak/>
              <w:t>Identity vault compromise re-identifies pseudonymous on-chain references.</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FC37F8" w14:textId="77777777" w:rsidR="000903FD" w:rsidRDefault="00000000">
            <w:pPr>
              <w:spacing w:line="280" w:lineRule="auto"/>
            </w:pPr>
            <w:r>
              <w:t>Critical</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FC12A3" w14:textId="77777777" w:rsidR="000903FD" w:rsidRDefault="00000000">
            <w:pPr>
              <w:spacing w:line="280" w:lineRule="auto"/>
            </w:pPr>
            <w:r>
              <w:t>Vault is segregated, encrypted at rest with rotated keys, accessed only by named services with per-call audit logging; pseudonyms use salted hashes so a vault leak does not directly invert chain data.</w:t>
            </w:r>
          </w:p>
        </w:tc>
      </w:tr>
      <w:tr w:rsidR="000903FD" w14:paraId="14A0E767"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93B283" w14:textId="77777777" w:rsidR="000903FD" w:rsidRDefault="00000000">
            <w:pPr>
              <w:spacing w:line="280" w:lineRule="auto"/>
            </w:pPr>
            <w:r>
              <w:t>Wallet-to-identity binding is silently swapped (e.g., adversary completes the wallet challenge for a stolen identity).</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342760" w14:textId="77777777" w:rsidR="000903FD" w:rsidRDefault="00000000">
            <w:pPr>
              <w:spacing w:line="280" w:lineRule="auto"/>
            </w:pPr>
            <w:r>
              <w:t>High</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D77B44" w14:textId="77777777" w:rsidR="000903FD" w:rsidRDefault="00000000">
            <w:pPr>
              <w:spacing w:line="280" w:lineRule="auto"/>
            </w:pPr>
            <w:r>
              <w:t>Bind only after multi-factor identity reverification; require a cooling-off window before activation for high-value cohorts; alerting on rebinds.</w:t>
            </w:r>
          </w:p>
        </w:tc>
      </w:tr>
    </w:tbl>
    <w:p w14:paraId="7BDA0C18" w14:textId="77777777" w:rsidR="000903FD" w:rsidRDefault="00000000">
      <w:pPr>
        <w:pStyle w:val="Heading2"/>
      </w:pPr>
      <w:r>
        <w:t>11.3 Smart contract and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00"/>
        <w:gridCol w:w="4360"/>
      </w:tblGrid>
      <w:tr w:rsidR="000903FD" w14:paraId="5D8C4C73"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C00000"/>
            <w:tcMar>
              <w:top w:w="100" w:type="dxa"/>
              <w:left w:w="140" w:type="dxa"/>
              <w:bottom w:w="100" w:type="dxa"/>
              <w:right w:w="140" w:type="dxa"/>
            </w:tcMar>
          </w:tcPr>
          <w:p w14:paraId="770EDEF7" w14:textId="77777777" w:rsidR="000903FD" w:rsidRDefault="00000000">
            <w:pPr>
              <w:spacing w:line="280" w:lineRule="auto"/>
            </w:pPr>
            <w:r>
              <w:rPr>
                <w:b/>
                <w:bCs/>
                <w:color w:val="FFFFFF"/>
              </w:rPr>
              <w:t>Risk</w:t>
            </w:r>
          </w:p>
        </w:tc>
        <w:tc>
          <w:tcPr>
            <w:tcW w:w="1400" w:type="dxa"/>
            <w:tcBorders>
              <w:top w:val="single" w:sz="4" w:space="0" w:color="BFBFBF"/>
              <w:left w:val="single" w:sz="4" w:space="0" w:color="BFBFBF"/>
              <w:bottom w:val="single" w:sz="4" w:space="0" w:color="BFBFBF"/>
              <w:right w:val="single" w:sz="4" w:space="0" w:color="BFBFBF"/>
            </w:tcBorders>
            <w:shd w:val="clear" w:color="auto" w:fill="C00000"/>
            <w:tcMar>
              <w:top w:w="100" w:type="dxa"/>
              <w:left w:w="140" w:type="dxa"/>
              <w:bottom w:w="100" w:type="dxa"/>
              <w:right w:w="140" w:type="dxa"/>
            </w:tcMar>
          </w:tcPr>
          <w:p w14:paraId="108C9974" w14:textId="77777777" w:rsidR="000903FD" w:rsidRDefault="00000000">
            <w:pPr>
              <w:spacing w:line="280" w:lineRule="auto"/>
            </w:pPr>
            <w:r>
              <w:rPr>
                <w:b/>
                <w:bCs/>
                <w:color w:val="FFFFFF"/>
              </w:rPr>
              <w:t>Severity</w:t>
            </w:r>
          </w:p>
        </w:tc>
        <w:tc>
          <w:tcPr>
            <w:tcW w:w="4360" w:type="dxa"/>
            <w:tcBorders>
              <w:top w:val="single" w:sz="4" w:space="0" w:color="BFBFBF"/>
              <w:left w:val="single" w:sz="4" w:space="0" w:color="BFBFBF"/>
              <w:bottom w:val="single" w:sz="4" w:space="0" w:color="BFBFBF"/>
              <w:right w:val="single" w:sz="4" w:space="0" w:color="BFBFBF"/>
            </w:tcBorders>
            <w:shd w:val="clear" w:color="auto" w:fill="C00000"/>
            <w:tcMar>
              <w:top w:w="100" w:type="dxa"/>
              <w:left w:w="140" w:type="dxa"/>
              <w:bottom w:w="100" w:type="dxa"/>
              <w:right w:w="140" w:type="dxa"/>
            </w:tcMar>
          </w:tcPr>
          <w:p w14:paraId="7CE7A405" w14:textId="77777777" w:rsidR="000903FD" w:rsidRDefault="00000000">
            <w:pPr>
              <w:spacing w:line="280" w:lineRule="auto"/>
            </w:pPr>
            <w:r>
              <w:rPr>
                <w:b/>
                <w:bCs/>
                <w:color w:val="FFFFFF"/>
              </w:rPr>
              <w:t>Mitigation</w:t>
            </w:r>
          </w:p>
        </w:tc>
      </w:tr>
      <w:tr w:rsidR="000903FD" w14:paraId="59F691EA"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5DC2B3" w14:textId="77777777" w:rsidR="000903FD" w:rsidRDefault="00000000">
            <w:pPr>
              <w:spacing w:line="280" w:lineRule="auto"/>
            </w:pPr>
            <w:r>
              <w:t>Transfer-disable override is incomplete and a path leaks (e.g., via approvals, operator approvals, or future ERC extensions).</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032E96" w14:textId="77777777" w:rsidR="000903FD" w:rsidRDefault="00000000">
            <w:pPr>
              <w:spacing w:line="280" w:lineRule="auto"/>
            </w:pPr>
            <w:r>
              <w:t>High</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1EF700" w14:textId="77777777" w:rsidR="000903FD" w:rsidRDefault="00000000">
            <w:pPr>
              <w:spacing w:line="280" w:lineRule="auto"/>
            </w:pPr>
            <w:r>
              <w:t>Override every transfer hook in the standard (safeTransferFrom, safeBatchTransferFrom, setApprovalForAll behavior); fuzz-test transfer paths; third-party audit must specifically test transfer-disable.</w:t>
            </w:r>
          </w:p>
        </w:tc>
      </w:tr>
      <w:tr w:rsidR="000903FD" w14:paraId="746583E8"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48B2D2" w14:textId="77777777" w:rsidR="000903FD" w:rsidRDefault="00000000">
            <w:pPr>
              <w:spacing w:line="280" w:lineRule="auto"/>
            </w:pPr>
            <w:r>
              <w:t>Upgrade pattern (proxy) is misconfigured and admin can rewrite credential state.</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0102F2" w14:textId="77777777" w:rsidR="000903FD" w:rsidRDefault="00000000">
            <w:pPr>
              <w:spacing w:line="280" w:lineRule="auto"/>
            </w:pPr>
            <w:r>
              <w:t>High</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DAE3E3" w14:textId="77777777" w:rsidR="000903FD" w:rsidRDefault="00000000">
            <w:pPr>
              <w:spacing w:line="280" w:lineRule="auto"/>
            </w:pPr>
            <w:r>
              <w:t>Use minimal upgradeability: registry is upgradeable, credential is not, or both behind timelocked proxies; admin keys are multi-sig only.</w:t>
            </w:r>
          </w:p>
        </w:tc>
      </w:tr>
      <w:tr w:rsidR="000903FD" w14:paraId="198236D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8252A4" w14:textId="77777777" w:rsidR="000903FD" w:rsidRDefault="00000000">
            <w:pPr>
              <w:spacing w:line="280" w:lineRule="auto"/>
            </w:pPr>
            <w:r>
              <w:t>Chain-specific finality assumptions leak into TCT logic, locking the system to one network.</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A9450E" w14:textId="77777777" w:rsidR="000903FD" w:rsidRDefault="00000000">
            <w:pPr>
              <w:spacing w:line="280" w:lineRule="auto"/>
            </w:pPr>
            <w:r>
              <w:t>Medium</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CAFE15" w14:textId="77777777" w:rsidR="000903FD" w:rsidRDefault="00000000">
            <w:pPr>
              <w:spacing w:line="280" w:lineRule="auto"/>
            </w:pPr>
            <w:r>
              <w:t>All finality logic lives in the abstraction layer; contracts only consume canonical events; second-adapter dual-run is a hard gate before v1 ships.</w:t>
            </w:r>
          </w:p>
        </w:tc>
      </w:tr>
      <w:tr w:rsidR="000903FD" w14:paraId="7C1E40B6"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7F577C" w14:textId="77777777" w:rsidR="000903FD" w:rsidRDefault="00000000">
            <w:pPr>
              <w:spacing w:line="280" w:lineRule="auto"/>
            </w:pPr>
            <w:r>
              <w:t>Gas-cost spikes on the active chain make routine operations prohibitively expensive ("would be lethal" per May review).</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4C076A" w14:textId="77777777" w:rsidR="000903FD" w:rsidRDefault="00000000">
            <w:pPr>
              <w:spacing w:line="280" w:lineRule="auto"/>
            </w:pPr>
            <w:r>
              <w:t>Critical</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C53F67" w14:textId="77777777" w:rsidR="000903FD" w:rsidRDefault="00000000">
            <w:pPr>
              <w:spacing w:line="280" w:lineRule="auto"/>
            </w:pPr>
            <w:r>
              <w:t>L2 deployment from day one (Polygon PoS or equivalent); batch operations are the default not the exception (cohort issuance, batched activation); design for migration via the chain registry rather than reactive emergency moves; alerting on per-operation cost thresholds.</w:t>
            </w:r>
          </w:p>
        </w:tc>
      </w:tr>
    </w:tbl>
    <w:p w14:paraId="2FA56E58" w14:textId="77777777" w:rsidR="000903FD" w:rsidRDefault="00000000">
      <w:pPr>
        <w:pStyle w:val="Heading2"/>
      </w:pPr>
      <w:r>
        <w:lastRenderedPageBreak/>
        <w:t>11.4 Synchronization and reporting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00"/>
        <w:gridCol w:w="4360"/>
      </w:tblGrid>
      <w:tr w:rsidR="000903FD" w14:paraId="7D06CF9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C00000"/>
            <w:tcMar>
              <w:top w:w="100" w:type="dxa"/>
              <w:left w:w="140" w:type="dxa"/>
              <w:bottom w:w="100" w:type="dxa"/>
              <w:right w:w="140" w:type="dxa"/>
            </w:tcMar>
          </w:tcPr>
          <w:p w14:paraId="7886F2EB" w14:textId="77777777" w:rsidR="000903FD" w:rsidRDefault="00000000">
            <w:pPr>
              <w:spacing w:line="280" w:lineRule="auto"/>
            </w:pPr>
            <w:r>
              <w:rPr>
                <w:b/>
                <w:bCs/>
                <w:color w:val="FFFFFF"/>
              </w:rPr>
              <w:t>Risk</w:t>
            </w:r>
          </w:p>
        </w:tc>
        <w:tc>
          <w:tcPr>
            <w:tcW w:w="1400" w:type="dxa"/>
            <w:tcBorders>
              <w:top w:val="single" w:sz="4" w:space="0" w:color="BFBFBF"/>
              <w:left w:val="single" w:sz="4" w:space="0" w:color="BFBFBF"/>
              <w:bottom w:val="single" w:sz="4" w:space="0" w:color="BFBFBF"/>
              <w:right w:val="single" w:sz="4" w:space="0" w:color="BFBFBF"/>
            </w:tcBorders>
            <w:shd w:val="clear" w:color="auto" w:fill="C00000"/>
            <w:tcMar>
              <w:top w:w="100" w:type="dxa"/>
              <w:left w:w="140" w:type="dxa"/>
              <w:bottom w:w="100" w:type="dxa"/>
              <w:right w:w="140" w:type="dxa"/>
            </w:tcMar>
          </w:tcPr>
          <w:p w14:paraId="6C22101D" w14:textId="77777777" w:rsidR="000903FD" w:rsidRDefault="00000000">
            <w:pPr>
              <w:spacing w:line="280" w:lineRule="auto"/>
            </w:pPr>
            <w:r>
              <w:rPr>
                <w:b/>
                <w:bCs/>
                <w:color w:val="FFFFFF"/>
              </w:rPr>
              <w:t>Severity</w:t>
            </w:r>
          </w:p>
        </w:tc>
        <w:tc>
          <w:tcPr>
            <w:tcW w:w="4360" w:type="dxa"/>
            <w:tcBorders>
              <w:top w:val="single" w:sz="4" w:space="0" w:color="BFBFBF"/>
              <w:left w:val="single" w:sz="4" w:space="0" w:color="BFBFBF"/>
              <w:bottom w:val="single" w:sz="4" w:space="0" w:color="BFBFBF"/>
              <w:right w:val="single" w:sz="4" w:space="0" w:color="BFBFBF"/>
            </w:tcBorders>
            <w:shd w:val="clear" w:color="auto" w:fill="C00000"/>
            <w:tcMar>
              <w:top w:w="100" w:type="dxa"/>
              <w:left w:w="140" w:type="dxa"/>
              <w:bottom w:w="100" w:type="dxa"/>
              <w:right w:w="140" w:type="dxa"/>
            </w:tcMar>
          </w:tcPr>
          <w:p w14:paraId="71D1145B" w14:textId="77777777" w:rsidR="000903FD" w:rsidRDefault="00000000">
            <w:pPr>
              <w:spacing w:line="280" w:lineRule="auto"/>
            </w:pPr>
            <w:r>
              <w:rPr>
                <w:b/>
                <w:bCs/>
                <w:color w:val="FFFFFF"/>
              </w:rPr>
              <w:t>Mitigation</w:t>
            </w:r>
          </w:p>
        </w:tc>
      </w:tr>
      <w:tr w:rsidR="000903FD" w14:paraId="0EEBF2E4"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566FF5" w14:textId="77777777" w:rsidR="000903FD" w:rsidRDefault="00000000">
            <w:pPr>
              <w:spacing w:line="280" w:lineRule="auto"/>
            </w:pPr>
            <w:r>
              <w:t>Synchronization service is not finality-aware and writes a registry entry that is later reorged out.</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11C1F9" w14:textId="77777777" w:rsidR="000903FD" w:rsidRDefault="00000000">
            <w:pPr>
              <w:spacing w:line="280" w:lineRule="auto"/>
            </w:pPr>
            <w:r>
              <w:t>Critical</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4B6198" w14:textId="77777777" w:rsidR="000903FD" w:rsidRDefault="00000000">
            <w:pPr>
              <w:spacing w:line="280" w:lineRule="auto"/>
            </w:pPr>
            <w:r>
              <w:t>Audit Final threshold per network is enforced in code; Sev-1 alert on any registry write whose underlying chain event is later reversed; reconciliation job runs daily.</w:t>
            </w:r>
          </w:p>
        </w:tc>
      </w:tr>
      <w:tr w:rsidR="000903FD" w14:paraId="19468287"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D1D32C" w14:textId="77777777" w:rsidR="000903FD" w:rsidRDefault="00000000">
            <w:pPr>
              <w:spacing w:line="280" w:lineRule="auto"/>
            </w:pPr>
            <w:r>
              <w:t>Idempotency key collision causes a duplicate-suppressed write that should have been a separate record.</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9EF741" w14:textId="77777777" w:rsidR="000903FD" w:rsidRDefault="00000000">
            <w:pPr>
              <w:spacing w:line="280" w:lineRule="auto"/>
            </w:pPr>
            <w:r>
              <w:t>High</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806243" w14:textId="77777777" w:rsidR="000903FD" w:rsidRDefault="00000000">
            <w:pPr>
              <w:spacing w:line="280" w:lineRule="auto"/>
            </w:pPr>
            <w:r>
              <w:t>Key is (event_id + event_hash), where event_id includes contract address, log index, and network_id; canonical normalization is deterministic and version-tagged.</w:t>
            </w:r>
          </w:p>
        </w:tc>
      </w:tr>
      <w:tr w:rsidR="000903FD" w14:paraId="4CD69FA7"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0A34E2" w14:textId="77777777" w:rsidR="000903FD" w:rsidRDefault="00000000">
            <w:pPr>
              <w:spacing w:line="280" w:lineRule="auto"/>
            </w:pPr>
            <w:r>
              <w:t>Participant mapping logic exposes pseudonymous correlations across workflows that re-identify users.</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9B92A6" w14:textId="77777777" w:rsidR="000903FD" w:rsidRDefault="00000000">
            <w:pPr>
              <w:spacing w:line="280" w:lineRule="auto"/>
            </w:pPr>
            <w:r>
              <w:t>High</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55CE42" w14:textId="77777777" w:rsidR="000903FD" w:rsidRDefault="00000000">
            <w:pPr>
              <w:spacing w:line="280" w:lineRule="auto"/>
            </w:pPr>
            <w:r>
              <w:t>Mapping is per-workflow; cross-workflow correlation requires a separate, audited service with stricter access controls.</w:t>
            </w:r>
          </w:p>
        </w:tc>
      </w:tr>
      <w:tr w:rsidR="000903FD" w14:paraId="42E0FFA1"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B7B62A" w14:textId="77777777" w:rsidR="000903FD" w:rsidRDefault="00000000">
            <w:pPr>
              <w:spacing w:line="280" w:lineRule="auto"/>
            </w:pPr>
            <w:r>
              <w:t>result_type vocabulary drift across workflows breaks reporting integrity.</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D443B3" w14:textId="77777777" w:rsidR="000903FD" w:rsidRDefault="00000000">
            <w:pPr>
              <w:spacing w:line="280" w:lineRule="auto"/>
            </w:pPr>
            <w:r>
              <w:t>Medium</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35E6B9" w14:textId="77777777" w:rsidR="000903FD" w:rsidRDefault="00000000">
            <w:pPr>
              <w:spacing w:line="280" w:lineRule="auto"/>
            </w:pPr>
            <w:r>
              <w:t>Controlled vocabulary with sub-types (e.g., contract_breach, sanctions_flag, compliance_downgrade) is versioned and validated at the normalizer; new sub-types require explicit registration.</w:t>
            </w:r>
          </w:p>
        </w:tc>
      </w:tr>
    </w:tbl>
    <w:p w14:paraId="4CBBABB7" w14:textId="77777777" w:rsidR="000903FD" w:rsidRDefault="00000000">
      <w:pPr>
        <w:pStyle w:val="Heading2"/>
      </w:pPr>
      <w:r>
        <w:t>11.5 Privacy and data protection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00"/>
        <w:gridCol w:w="4360"/>
      </w:tblGrid>
      <w:tr w:rsidR="000903FD" w14:paraId="6EEE131F"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C00000"/>
            <w:tcMar>
              <w:top w:w="100" w:type="dxa"/>
              <w:left w:w="140" w:type="dxa"/>
              <w:bottom w:w="100" w:type="dxa"/>
              <w:right w:w="140" w:type="dxa"/>
            </w:tcMar>
          </w:tcPr>
          <w:p w14:paraId="56B7585B" w14:textId="77777777" w:rsidR="000903FD" w:rsidRDefault="00000000">
            <w:pPr>
              <w:spacing w:line="280" w:lineRule="auto"/>
            </w:pPr>
            <w:r>
              <w:rPr>
                <w:b/>
                <w:bCs/>
                <w:color w:val="FFFFFF"/>
              </w:rPr>
              <w:t>Risk</w:t>
            </w:r>
          </w:p>
        </w:tc>
        <w:tc>
          <w:tcPr>
            <w:tcW w:w="1400" w:type="dxa"/>
            <w:tcBorders>
              <w:top w:val="single" w:sz="4" w:space="0" w:color="BFBFBF"/>
              <w:left w:val="single" w:sz="4" w:space="0" w:color="BFBFBF"/>
              <w:bottom w:val="single" w:sz="4" w:space="0" w:color="BFBFBF"/>
              <w:right w:val="single" w:sz="4" w:space="0" w:color="BFBFBF"/>
            </w:tcBorders>
            <w:shd w:val="clear" w:color="auto" w:fill="C00000"/>
            <w:tcMar>
              <w:top w:w="100" w:type="dxa"/>
              <w:left w:w="140" w:type="dxa"/>
              <w:bottom w:w="100" w:type="dxa"/>
              <w:right w:w="140" w:type="dxa"/>
            </w:tcMar>
          </w:tcPr>
          <w:p w14:paraId="52C582D5" w14:textId="77777777" w:rsidR="000903FD" w:rsidRDefault="00000000">
            <w:pPr>
              <w:spacing w:line="280" w:lineRule="auto"/>
            </w:pPr>
            <w:r>
              <w:rPr>
                <w:b/>
                <w:bCs/>
                <w:color w:val="FFFFFF"/>
              </w:rPr>
              <w:t>Severity</w:t>
            </w:r>
          </w:p>
        </w:tc>
        <w:tc>
          <w:tcPr>
            <w:tcW w:w="4360" w:type="dxa"/>
            <w:tcBorders>
              <w:top w:val="single" w:sz="4" w:space="0" w:color="BFBFBF"/>
              <w:left w:val="single" w:sz="4" w:space="0" w:color="BFBFBF"/>
              <w:bottom w:val="single" w:sz="4" w:space="0" w:color="BFBFBF"/>
              <w:right w:val="single" w:sz="4" w:space="0" w:color="BFBFBF"/>
            </w:tcBorders>
            <w:shd w:val="clear" w:color="auto" w:fill="C00000"/>
            <w:tcMar>
              <w:top w:w="100" w:type="dxa"/>
              <w:left w:w="140" w:type="dxa"/>
              <w:bottom w:w="100" w:type="dxa"/>
              <w:right w:w="140" w:type="dxa"/>
            </w:tcMar>
          </w:tcPr>
          <w:p w14:paraId="7E39152B" w14:textId="77777777" w:rsidR="000903FD" w:rsidRDefault="00000000">
            <w:pPr>
              <w:spacing w:line="280" w:lineRule="auto"/>
            </w:pPr>
            <w:r>
              <w:rPr>
                <w:b/>
                <w:bCs/>
                <w:color w:val="FFFFFF"/>
              </w:rPr>
              <w:t>Mitigation</w:t>
            </w:r>
          </w:p>
        </w:tc>
      </w:tr>
      <w:tr w:rsidR="000903FD" w14:paraId="123AA988"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6079E2" w14:textId="77777777" w:rsidR="000903FD" w:rsidRDefault="00000000">
            <w:pPr>
              <w:spacing w:line="280" w:lineRule="auto"/>
            </w:pPr>
            <w:r>
              <w:t>PII leakage into chain via metadata URI, event payload, or off-chain authority reference.</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30A30E" w14:textId="77777777" w:rsidR="000903FD" w:rsidRDefault="00000000">
            <w:pPr>
              <w:spacing w:line="280" w:lineRule="auto"/>
            </w:pPr>
            <w:r>
              <w:t>Critical</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EBFC4B" w14:textId="77777777" w:rsidR="000903FD" w:rsidRDefault="00000000">
            <w:pPr>
              <w:spacing w:line="280" w:lineRule="auto"/>
            </w:pPr>
            <w:r>
              <w:t>Static analysis on every contract change for PII patterns; metadata URIs point to non-sensitive descriptive content only; off-chain authority refs are opaque IDs not human-readable strings.</w:t>
            </w:r>
          </w:p>
        </w:tc>
      </w:tr>
      <w:tr w:rsidR="000903FD" w14:paraId="519C8743"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86898A" w14:textId="77777777" w:rsidR="000903FD" w:rsidRDefault="00000000">
            <w:pPr>
              <w:spacing w:line="280" w:lineRule="auto"/>
            </w:pPr>
            <w:r>
              <w:t>Right-to-be-forgotten request: the underlying information must be forgotten, while the pseudonymous on-chain reference persists for audit.</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5769BF" w14:textId="77777777" w:rsidR="000903FD" w:rsidRDefault="00000000">
            <w:pPr>
              <w:spacing w:line="280" w:lineRule="auto"/>
            </w:pPr>
            <w:r>
              <w:t>High</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808C8C" w14:textId="77777777" w:rsidR="000903FD" w:rsidRDefault="00000000">
            <w:pPr>
              <w:spacing w:line="280" w:lineRule="auto"/>
            </w:pPr>
            <w:r>
              <w:t>Documented policy: revocation + identity vault deletion is the operational equivalent. The on-chain hash binding becomes uninvertible once the vault entry is destroyed; the information is forgotten even though the identifier remains.</w:t>
            </w:r>
          </w:p>
        </w:tc>
      </w:tr>
    </w:tbl>
    <w:p w14:paraId="7CFDFC37" w14:textId="77777777" w:rsidR="000903FD" w:rsidRDefault="00000000">
      <w:pPr>
        <w:pStyle w:val="Heading2"/>
      </w:pPr>
      <w:r>
        <w:t>11.6 Operational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00"/>
        <w:gridCol w:w="4360"/>
      </w:tblGrid>
      <w:tr w:rsidR="000903FD" w14:paraId="24F27776"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C00000"/>
            <w:tcMar>
              <w:top w:w="100" w:type="dxa"/>
              <w:left w:w="140" w:type="dxa"/>
              <w:bottom w:w="100" w:type="dxa"/>
              <w:right w:w="140" w:type="dxa"/>
            </w:tcMar>
          </w:tcPr>
          <w:p w14:paraId="36C1B2E2" w14:textId="77777777" w:rsidR="000903FD" w:rsidRDefault="00000000">
            <w:pPr>
              <w:spacing w:line="280" w:lineRule="auto"/>
            </w:pPr>
            <w:r>
              <w:rPr>
                <w:b/>
                <w:bCs/>
                <w:color w:val="FFFFFF"/>
              </w:rPr>
              <w:lastRenderedPageBreak/>
              <w:t>Risk</w:t>
            </w:r>
          </w:p>
        </w:tc>
        <w:tc>
          <w:tcPr>
            <w:tcW w:w="1400" w:type="dxa"/>
            <w:tcBorders>
              <w:top w:val="single" w:sz="4" w:space="0" w:color="BFBFBF"/>
              <w:left w:val="single" w:sz="4" w:space="0" w:color="BFBFBF"/>
              <w:bottom w:val="single" w:sz="4" w:space="0" w:color="BFBFBF"/>
              <w:right w:val="single" w:sz="4" w:space="0" w:color="BFBFBF"/>
            </w:tcBorders>
            <w:shd w:val="clear" w:color="auto" w:fill="C00000"/>
            <w:tcMar>
              <w:top w:w="100" w:type="dxa"/>
              <w:left w:w="140" w:type="dxa"/>
              <w:bottom w:w="100" w:type="dxa"/>
              <w:right w:w="140" w:type="dxa"/>
            </w:tcMar>
          </w:tcPr>
          <w:p w14:paraId="3FF846F7" w14:textId="77777777" w:rsidR="000903FD" w:rsidRDefault="00000000">
            <w:pPr>
              <w:spacing w:line="280" w:lineRule="auto"/>
            </w:pPr>
            <w:r>
              <w:rPr>
                <w:b/>
                <w:bCs/>
                <w:color w:val="FFFFFF"/>
              </w:rPr>
              <w:t>Severity</w:t>
            </w:r>
          </w:p>
        </w:tc>
        <w:tc>
          <w:tcPr>
            <w:tcW w:w="4360" w:type="dxa"/>
            <w:tcBorders>
              <w:top w:val="single" w:sz="4" w:space="0" w:color="BFBFBF"/>
              <w:left w:val="single" w:sz="4" w:space="0" w:color="BFBFBF"/>
              <w:bottom w:val="single" w:sz="4" w:space="0" w:color="BFBFBF"/>
              <w:right w:val="single" w:sz="4" w:space="0" w:color="BFBFBF"/>
            </w:tcBorders>
            <w:shd w:val="clear" w:color="auto" w:fill="C00000"/>
            <w:tcMar>
              <w:top w:w="100" w:type="dxa"/>
              <w:left w:w="140" w:type="dxa"/>
              <w:bottom w:w="100" w:type="dxa"/>
              <w:right w:w="140" w:type="dxa"/>
            </w:tcMar>
          </w:tcPr>
          <w:p w14:paraId="32C75AC8" w14:textId="77777777" w:rsidR="000903FD" w:rsidRDefault="00000000">
            <w:pPr>
              <w:spacing w:line="280" w:lineRule="auto"/>
            </w:pPr>
            <w:r>
              <w:rPr>
                <w:b/>
                <w:bCs/>
                <w:color w:val="FFFFFF"/>
              </w:rPr>
              <w:t>Mitigation</w:t>
            </w:r>
          </w:p>
        </w:tc>
      </w:tr>
      <w:tr w:rsidR="000903FD" w14:paraId="13AF312E"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DDA451" w14:textId="77777777" w:rsidR="000903FD" w:rsidRDefault="00000000">
            <w:pPr>
              <w:spacing w:line="280" w:lineRule="auto"/>
            </w:pPr>
            <w:r>
              <w:t>No replay capability means a sync service crash during a backlog burns events.</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F55E9D" w14:textId="77777777" w:rsidR="000903FD" w:rsidRDefault="00000000">
            <w:pPr>
              <w:spacing w:line="280" w:lineRule="auto"/>
            </w:pPr>
            <w:r>
              <w:t>High</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3B86CC" w14:textId="77777777" w:rsidR="000903FD" w:rsidRDefault="00000000">
            <w:pPr>
              <w:spacing w:line="280" w:lineRule="auto"/>
            </w:pPr>
            <w:r>
              <w:t>Replay is a first-class capability built from raw chain history; cursor-based ingest; idempotency makes replays safe by construction.</w:t>
            </w:r>
          </w:p>
        </w:tc>
      </w:tr>
      <w:tr w:rsidR="000903FD" w14:paraId="2FAA5FA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FE68EF" w14:textId="77777777" w:rsidR="000903FD" w:rsidRDefault="00000000">
            <w:pPr>
              <w:spacing w:line="280" w:lineRule="auto"/>
            </w:pPr>
            <w:r>
              <w:t>Runbooks for reorg, RPC outage, key rotation, network migration are not written before go-live.</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0C6DA5" w14:textId="77777777" w:rsidR="000903FD" w:rsidRDefault="00000000">
            <w:pPr>
              <w:spacing w:line="280" w:lineRule="auto"/>
            </w:pPr>
            <w:r>
              <w:t>Medium</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71E18" w14:textId="77777777" w:rsidR="000903FD" w:rsidRDefault="00000000">
            <w:pPr>
              <w:spacing w:line="280" w:lineRule="auto"/>
            </w:pPr>
            <w:r>
              <w:t>Each runbook is a launch gate; tabletop exercises before production cutover.</w:t>
            </w:r>
          </w:p>
        </w:tc>
      </w:tr>
      <w:tr w:rsidR="000903FD" w14:paraId="4B18108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254B56" w14:textId="77777777" w:rsidR="000903FD" w:rsidRDefault="00000000">
            <w:pPr>
              <w:spacing w:line="280" w:lineRule="auto"/>
            </w:pPr>
            <w:r>
              <w:t>Vendor concentration on a single RPC provider creates a single point of failure.</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C7F3C3" w14:textId="77777777" w:rsidR="000903FD" w:rsidRDefault="00000000">
            <w:pPr>
              <w:spacing w:line="280" w:lineRule="auto"/>
            </w:pPr>
            <w:r>
              <w:t>Medium</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DF71A8" w14:textId="77777777" w:rsidR="000903FD" w:rsidRDefault="00000000">
            <w:pPr>
              <w:spacing w:line="280" w:lineRule="auto"/>
            </w:pPr>
            <w:r>
              <w:t>Two RPC providers per network behind the adapter; automatic failover; chain registry tracks provider health.</w:t>
            </w:r>
          </w:p>
        </w:tc>
      </w:tr>
    </w:tbl>
    <w:p w14:paraId="753DC980" w14:textId="77777777" w:rsidR="000903FD" w:rsidRDefault="000903FD">
      <w:pPr>
        <w:spacing w:after="60"/>
      </w:pPr>
    </w:p>
    <w:p w14:paraId="5E682CE2" w14:textId="77777777" w:rsidR="000903FD" w:rsidRDefault="00000000">
      <w:pPr>
        <w:pStyle w:val="Heading1"/>
      </w:pPr>
      <w:r>
        <w:t>12. Critical-path dependencies</w:t>
      </w:r>
    </w:p>
    <w:p w14:paraId="5D8EBDD4" w14:textId="77777777" w:rsidR="000903FD" w:rsidRDefault="00000000">
      <w:pPr>
        <w:spacing w:after="120" w:line="300" w:lineRule="auto"/>
      </w:pPr>
      <w:r>
        <w:t>The May review validated this section as the basis for resource allocation and timeline. Rev 2 retains the structure with minor refinements reflecting the commercial framing and TCN/TCT separation.</w:t>
      </w:r>
    </w:p>
    <w:p w14:paraId="48156527" w14:textId="77777777" w:rsidR="000903FD" w:rsidRDefault="00000000">
      <w:pPr>
        <w:pStyle w:val="Heading2"/>
      </w:pPr>
      <w:r>
        <w:t>12.1 The critical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0903FD" w14:paraId="1A2606D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77D65BA9" w14:textId="77777777" w:rsidR="000903FD" w:rsidRDefault="00000000">
            <w:pPr>
              <w:spacing w:line="280" w:lineRule="auto"/>
            </w:pPr>
            <w:r>
              <w:rPr>
                <w:b/>
                <w:bCs/>
              </w:rPr>
              <w:t>Step</w:t>
            </w:r>
          </w:p>
        </w:tc>
        <w:tc>
          <w:tcPr>
            <w:tcW w:w="336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75876212" w14:textId="77777777" w:rsidR="000903FD" w:rsidRDefault="00000000">
            <w:pPr>
              <w:spacing w:line="280" w:lineRule="auto"/>
            </w:pPr>
            <w:r>
              <w:rPr>
                <w:b/>
                <w:bCs/>
              </w:rPr>
              <w:t>Output</w:t>
            </w:r>
          </w:p>
        </w:tc>
        <w:tc>
          <w:tcPr>
            <w:tcW w:w="36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65CA3A28" w14:textId="77777777" w:rsidR="000903FD" w:rsidRDefault="00000000">
            <w:pPr>
              <w:spacing w:line="280" w:lineRule="auto"/>
            </w:pPr>
            <w:r>
              <w:rPr>
                <w:b/>
                <w:bCs/>
              </w:rPr>
              <w:t>Gates what</w:t>
            </w:r>
          </w:p>
        </w:tc>
      </w:tr>
      <w:tr w:rsidR="000903FD" w14:paraId="74B48F7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E15F0A" w14:textId="77777777" w:rsidR="000903FD" w:rsidRDefault="00000000">
            <w:pPr>
              <w:spacing w:line="280" w:lineRule="auto"/>
            </w:pPr>
            <w:r>
              <w:t>1. §2 definitions and §5.3 reporter/determiner distinction signed off by counsel</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07E2EA" w14:textId="77777777" w:rsidR="000903FD" w:rsidRDefault="00000000">
            <w:pPr>
              <w:spacing w:line="280" w:lineRule="auto"/>
            </w:pPr>
            <w:r>
              <w:t>Codified definitional baseline</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991481" w14:textId="77777777" w:rsidR="000903FD" w:rsidRDefault="00000000">
            <w:pPr>
              <w:spacing w:line="280" w:lineRule="auto"/>
            </w:pPr>
            <w:r>
              <w:t>All downstream design and communications work</w:t>
            </w:r>
          </w:p>
        </w:tc>
      </w:tr>
      <w:tr w:rsidR="000903FD" w14:paraId="7522277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F1037A" w14:textId="77777777" w:rsidR="000903FD" w:rsidRDefault="00000000">
            <w:pPr>
              <w:spacing w:line="280" w:lineRule="auto"/>
            </w:pPr>
            <w:r>
              <w:t>2. Canonical event schema, ledger pointer schema, and result_type vocabulary (with sub-types) frozen</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1F362A" w14:textId="77777777" w:rsidR="000903FD" w:rsidRDefault="00000000">
            <w:pPr>
              <w:spacing w:line="280" w:lineRule="auto"/>
            </w:pPr>
            <w:r>
              <w:t>Versioned schema docs</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6DB0BD" w14:textId="77777777" w:rsidR="000903FD" w:rsidRDefault="00000000">
            <w:pPr>
              <w:spacing w:line="280" w:lineRule="auto"/>
            </w:pPr>
            <w:r>
              <w:t>Every contract event, every adapter, every sync write</w:t>
            </w:r>
          </w:p>
        </w:tc>
      </w:tr>
      <w:tr w:rsidR="000903FD" w14:paraId="03F2A12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4FD95E" w14:textId="77777777" w:rsidR="000903FD" w:rsidRDefault="00000000">
            <w:pPr>
              <w:spacing w:line="280" w:lineRule="auto"/>
            </w:pPr>
            <w:r>
              <w:t>3. Network adapter interface frozen and first adapter implemented (Polygon PoS)</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52B15C" w14:textId="77777777" w:rsidR="000903FD" w:rsidRDefault="00000000">
            <w:pPr>
              <w:spacing w:line="280" w:lineRule="auto"/>
            </w:pPr>
            <w:r>
              <w:t>Adapter v1 against initial network</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6AD178" w14:textId="77777777" w:rsidR="000903FD" w:rsidRDefault="00000000">
            <w:pPr>
              <w:spacing w:line="280" w:lineRule="auto"/>
            </w:pPr>
            <w:r>
              <w:t>Sync pipeline; second adapter; portability tests</w:t>
            </w:r>
          </w:p>
        </w:tc>
      </w:tr>
      <w:tr w:rsidR="000903FD" w14:paraId="742A2C7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1DA76C" w14:textId="77777777" w:rsidR="000903FD" w:rsidRDefault="00000000">
            <w:pPr>
              <w:spacing w:line="280" w:lineRule="auto"/>
            </w:pPr>
            <w:r>
              <w:lastRenderedPageBreak/>
              <w:t>4. TCTCredential and TCTOutcomeRegistry contracts implemented, with reserved ID ranges for future credential classes and TCN workflow tokens</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AC8193" w14:textId="77777777" w:rsidR="000903FD" w:rsidRDefault="00000000">
            <w:pPr>
              <w:spacing w:line="280" w:lineRule="auto"/>
            </w:pPr>
            <w:r>
              <w:t>Audited contract package</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F3A5BD" w14:textId="77777777" w:rsidR="000903FD" w:rsidRDefault="00000000">
            <w:pPr>
              <w:spacing w:line="280" w:lineRule="auto"/>
            </w:pPr>
            <w:r>
              <w:t>All on-chain operations; identity binding tests</w:t>
            </w:r>
          </w:p>
        </w:tc>
      </w:tr>
      <w:tr w:rsidR="000903FD" w14:paraId="62C9F9C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F96F4F" w14:textId="77777777" w:rsidR="000903FD" w:rsidRDefault="00000000">
            <w:pPr>
              <w:spacing w:line="280" w:lineRule="auto"/>
            </w:pPr>
            <w:r>
              <w:t>5. Identity binding model decided (EOA recommended for v1, ERC-4337 planned for v2) and onboarding flow built</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2FF0A8" w14:textId="77777777" w:rsidR="000903FD" w:rsidRDefault="00000000">
            <w:pPr>
              <w:spacing w:line="280" w:lineRule="auto"/>
            </w:pPr>
            <w:r>
              <w:t>TCM onboarding service</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303765" w14:textId="77777777" w:rsidR="000903FD" w:rsidRDefault="00000000">
            <w:pPr>
              <w:spacing w:line="280" w:lineRule="auto"/>
            </w:pPr>
            <w:r>
              <w:t>Issuance; without this no real TCTs can be minted</w:t>
            </w:r>
          </w:p>
        </w:tc>
      </w:tr>
      <w:tr w:rsidR="000903FD" w14:paraId="45AB39A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802A32" w14:textId="77777777" w:rsidR="000903FD" w:rsidRDefault="00000000">
            <w:pPr>
              <w:spacing w:line="280" w:lineRule="auto"/>
            </w:pPr>
            <w:r>
              <w:t>6. Finality translation and sync service implemented and dual-run validated against second adapter (Base)</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DFB760" w14:textId="77777777" w:rsidR="000903FD" w:rsidRDefault="00000000">
            <w:pPr>
              <w:spacing w:line="280" w:lineRule="auto"/>
            </w:pPr>
            <w:r>
              <w:t>Sync v1 with portability proof</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8AB76A" w14:textId="77777777" w:rsidR="000903FD" w:rsidRDefault="00000000">
            <w:pPr>
              <w:spacing w:line="280" w:lineRule="auto"/>
            </w:pPr>
            <w:r>
              <w:t>Production launch — this is the longest pole</w:t>
            </w:r>
          </w:p>
        </w:tc>
      </w:tr>
      <w:tr w:rsidR="000903FD" w14:paraId="217B61C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D03EFE" w14:textId="77777777" w:rsidR="000903FD" w:rsidRDefault="00000000">
            <w:pPr>
              <w:spacing w:line="280" w:lineRule="auto"/>
            </w:pPr>
            <w:r>
              <w:t>7. Legal review of participation agreement, characterization opinion, and TCM off-chain custody role</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0D895D" w14:textId="77777777" w:rsidR="000903FD" w:rsidRDefault="00000000">
            <w:pPr>
              <w:spacing w:line="280" w:lineRule="auto"/>
            </w:pPr>
            <w:r>
              <w:t>Signed legal sign-off</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5B8EA0" w14:textId="77777777" w:rsidR="000903FD" w:rsidRDefault="00000000">
            <w:pPr>
              <w:spacing w:line="280" w:lineRule="auto"/>
            </w:pPr>
            <w:r>
              <w:t>Public launch and first cohort issuance</w:t>
            </w:r>
          </w:p>
        </w:tc>
      </w:tr>
      <w:tr w:rsidR="000903FD" w14:paraId="2D9C7F2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63A880" w14:textId="77777777" w:rsidR="000903FD" w:rsidRDefault="00000000">
            <w:pPr>
              <w:spacing w:line="280" w:lineRule="auto"/>
            </w:pPr>
            <w:r>
              <w:t>8. Project lister commercial agreement, pricing model, and revenue stream operationalization</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4404BA" w14:textId="77777777" w:rsidR="000903FD" w:rsidRDefault="00000000">
            <w:pPr>
              <w:spacing w:line="280" w:lineRule="auto"/>
            </w:pPr>
            <w:r>
              <w:t>Signed commercial template</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761F52" w14:textId="77777777" w:rsidR="000903FD" w:rsidRDefault="00000000">
            <w:pPr>
              <w:spacing w:line="280" w:lineRule="auto"/>
            </w:pPr>
            <w:r>
              <w:t>First paid cohort</w:t>
            </w:r>
          </w:p>
        </w:tc>
      </w:tr>
      <w:tr w:rsidR="000903FD" w14:paraId="04FA993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C5F605" w14:textId="77777777" w:rsidR="000903FD" w:rsidRDefault="00000000">
            <w:pPr>
              <w:spacing w:line="280" w:lineRule="auto"/>
            </w:pPr>
            <w:r>
              <w:t>9. Independent smart-contract audit and architecture review (booked at schema-freeze, not code-freeze)</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7C0046" w14:textId="77777777" w:rsidR="000903FD" w:rsidRDefault="00000000">
            <w:pPr>
              <w:spacing w:line="280" w:lineRule="auto"/>
            </w:pPr>
            <w:r>
              <w:t>Audit report and remediation</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234AD5" w14:textId="77777777" w:rsidR="000903FD" w:rsidRDefault="00000000">
            <w:pPr>
              <w:spacing w:line="280" w:lineRule="auto"/>
            </w:pPr>
            <w:r>
              <w:t>Production deployment of contracts</w:t>
            </w:r>
          </w:p>
        </w:tc>
      </w:tr>
      <w:tr w:rsidR="000903FD" w14:paraId="75C1096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D45934" w14:textId="77777777" w:rsidR="000903FD" w:rsidRDefault="00000000">
            <w:pPr>
              <w:spacing w:line="280" w:lineRule="auto"/>
            </w:pPr>
            <w:r>
              <w:lastRenderedPageBreak/>
              <w:t>10. Runbooks, monitoring, key custody, and risk-engine probability scoring operationalized</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6ED64B" w14:textId="77777777" w:rsidR="000903FD" w:rsidRDefault="00000000">
            <w:pPr>
              <w:spacing w:line="280" w:lineRule="auto"/>
            </w:pPr>
            <w:r>
              <w:t>Ops readiness checklist signed off</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1FA9C7" w14:textId="77777777" w:rsidR="000903FD" w:rsidRDefault="00000000">
            <w:pPr>
              <w:spacing w:line="280" w:lineRule="auto"/>
            </w:pPr>
            <w:r>
              <w:t>Go-live</w:t>
            </w:r>
          </w:p>
        </w:tc>
      </w:tr>
    </w:tbl>
    <w:p w14:paraId="09930459" w14:textId="77777777" w:rsidR="000903FD" w:rsidRDefault="00000000">
      <w:pPr>
        <w:pStyle w:val="Heading2"/>
      </w:pPr>
      <w:r>
        <w:t>12.2 Key dependency chains</w:t>
      </w:r>
    </w:p>
    <w:p w14:paraId="681A7FE7" w14:textId="77777777" w:rsidR="000903FD" w:rsidRDefault="00000000">
      <w:pPr>
        <w:pStyle w:val="ListParagraph"/>
        <w:numPr>
          <w:ilvl w:val="0"/>
          <w:numId w:val="2"/>
        </w:numPr>
        <w:spacing w:after="80" w:line="290" w:lineRule="auto"/>
      </w:pPr>
      <w:r>
        <w:rPr>
          <w:b/>
          <w:bCs/>
        </w:rPr>
        <w:t xml:space="preserve">Definitions before design. </w:t>
      </w:r>
      <w:r>
        <w:t>The §2 definitions, particularly the reporter/determiner distinction, are now first in the critical path. They constrain every subsequent contract field, message, and feature decision.</w:t>
      </w:r>
    </w:p>
    <w:p w14:paraId="5BA9BC40" w14:textId="77777777" w:rsidR="000903FD" w:rsidRDefault="00000000">
      <w:pPr>
        <w:pStyle w:val="ListParagraph"/>
        <w:numPr>
          <w:ilvl w:val="0"/>
          <w:numId w:val="2"/>
        </w:numPr>
        <w:spacing w:after="80" w:line="290" w:lineRule="auto"/>
      </w:pPr>
      <w:r>
        <w:rPr>
          <w:b/>
          <w:bCs/>
        </w:rPr>
        <w:t xml:space="preserve">Schema before adapter before contract before sync. </w:t>
      </w:r>
      <w:r>
        <w:t>Implementing contracts before the canonical event schema is frozen guarantees rework. The schema is the API the rest of the system is built against.</w:t>
      </w:r>
    </w:p>
    <w:p w14:paraId="19A7BC58" w14:textId="77777777" w:rsidR="000903FD" w:rsidRDefault="00000000">
      <w:pPr>
        <w:pStyle w:val="ListParagraph"/>
        <w:numPr>
          <w:ilvl w:val="0"/>
          <w:numId w:val="2"/>
        </w:numPr>
        <w:spacing w:after="80" w:line="290" w:lineRule="auto"/>
      </w:pPr>
      <w:r>
        <w:rPr>
          <w:b/>
          <w:bCs/>
        </w:rPr>
        <w:t xml:space="preserve">Identity model before onboarding flow. </w:t>
      </w:r>
      <w:r>
        <w:t>The wallet binding decision shapes the TCM portal, the user experience, and the recovery story. Building the contract before the binding model is decided is fine; building the onboarding flow before it is decided is not.</w:t>
      </w:r>
    </w:p>
    <w:p w14:paraId="52F12E52" w14:textId="77777777" w:rsidR="000903FD" w:rsidRDefault="00000000">
      <w:pPr>
        <w:pStyle w:val="ListParagraph"/>
        <w:numPr>
          <w:ilvl w:val="0"/>
          <w:numId w:val="2"/>
        </w:numPr>
        <w:spacing w:after="80" w:line="290" w:lineRule="auto"/>
      </w:pPr>
      <w:r>
        <w:rPr>
          <w:b/>
          <w:bCs/>
        </w:rPr>
        <w:t xml:space="preserve">Second adapter before launch. </w:t>
      </w:r>
      <w:r>
        <w:t>If the abstraction layer is not validated against a second network before v1 ships, it is a label, not an architecture. Validation is most efficient on staging against Base while production runs Polygon.</w:t>
      </w:r>
    </w:p>
    <w:p w14:paraId="098ADC08" w14:textId="77777777" w:rsidR="000903FD" w:rsidRDefault="00000000">
      <w:pPr>
        <w:pStyle w:val="ListParagraph"/>
        <w:numPr>
          <w:ilvl w:val="0"/>
          <w:numId w:val="2"/>
        </w:numPr>
        <w:spacing w:after="80" w:line="290" w:lineRule="auto"/>
      </w:pPr>
      <w:r>
        <w:rPr>
          <w:b/>
          <w:bCs/>
        </w:rPr>
        <w:t xml:space="preserve">Legal review before public communication and commercial launch. </w:t>
      </w:r>
      <w:r>
        <w:t>The reporter-not-determiner characterization survives only if the messaging and the participation agreement match the architecture. Counsel sign-off, including on TCM's off-chain custody role, is a hard gate.</w:t>
      </w:r>
    </w:p>
    <w:p w14:paraId="2F27C306" w14:textId="77777777" w:rsidR="000903FD" w:rsidRDefault="00000000">
      <w:pPr>
        <w:pStyle w:val="ListParagraph"/>
        <w:numPr>
          <w:ilvl w:val="0"/>
          <w:numId w:val="2"/>
        </w:numPr>
        <w:spacing w:after="80" w:line="290" w:lineRule="auto"/>
      </w:pPr>
      <w:r>
        <w:rPr>
          <w:b/>
          <w:bCs/>
        </w:rPr>
        <w:t xml:space="preserve">Audit before mint of any non-test cohort. </w:t>
      </w:r>
      <w:r>
        <w:t>Independent audit of the contract package is a precondition for any minting that affects real participants.</w:t>
      </w:r>
    </w:p>
    <w:p w14:paraId="237185CA" w14:textId="77777777" w:rsidR="000903FD" w:rsidRDefault="000903FD">
      <w:pPr>
        <w:spacing w:after="60"/>
      </w:pPr>
    </w:p>
    <w:p w14:paraId="55264A3B" w14:textId="77777777" w:rsidR="000903FD" w:rsidRDefault="00000000">
      <w:pPr>
        <w:pStyle w:val="Heading1"/>
      </w:pPr>
      <w:r>
        <w:t>13. Open decisions for 2678 to make before build</w:t>
      </w:r>
    </w:p>
    <w:p w14:paraId="38FAADF3" w14:textId="77777777" w:rsidR="000903FD" w:rsidRDefault="00000000">
      <w:pPr>
        <w:spacing w:after="120" w:line="300" w:lineRule="auto"/>
      </w:pPr>
      <w:r>
        <w:t>Each of these is a decision the architecture documents leave open. They do not require new analysis to resolve; they require an owner to pick a position and commit to it.</w:t>
      </w:r>
    </w:p>
    <w:p w14:paraId="03F00811" w14:textId="77777777" w:rsidR="000903FD" w:rsidRDefault="00000000">
      <w:pPr>
        <w:pStyle w:val="ListParagraph"/>
        <w:numPr>
          <w:ilvl w:val="0"/>
          <w:numId w:val="3"/>
        </w:numPr>
        <w:spacing w:after="80" w:line="290" w:lineRule="auto"/>
      </w:pPr>
      <w:r>
        <w:rPr>
          <w:b/>
          <w:bCs/>
        </w:rPr>
        <w:t xml:space="preserve">Initial production network. </w:t>
      </w:r>
      <w:r>
        <w:t>Recommended: Polygon PoS (validated against the no-high-frequency assumption). Alternatives: Base, Arbitrum. Decision drives chain registry initialization and the first adapter.</w:t>
      </w:r>
    </w:p>
    <w:p w14:paraId="2A721DEA" w14:textId="77777777" w:rsidR="000903FD" w:rsidRDefault="00000000">
      <w:pPr>
        <w:pStyle w:val="ListParagraph"/>
        <w:numPr>
          <w:ilvl w:val="0"/>
          <w:numId w:val="3"/>
        </w:numPr>
        <w:spacing w:after="80" w:line="290" w:lineRule="auto"/>
      </w:pPr>
      <w:r>
        <w:rPr>
          <w:b/>
          <w:bCs/>
        </w:rPr>
        <w:t xml:space="preserve">Identity binding model for v1. </w:t>
      </w:r>
      <w:r>
        <w:t>Recommended: user-controlled EOA (MetaMask and other standard wallets sufficient) with a documented upgrade path to ERC-4337. Alternatives: custodial; ERC-4337 from day one.</w:t>
      </w:r>
    </w:p>
    <w:p w14:paraId="76F25426" w14:textId="77777777" w:rsidR="000903FD" w:rsidRDefault="00000000">
      <w:pPr>
        <w:pStyle w:val="ListParagraph"/>
        <w:numPr>
          <w:ilvl w:val="0"/>
          <w:numId w:val="3"/>
        </w:numPr>
        <w:spacing w:after="80" w:line="290" w:lineRule="auto"/>
      </w:pPr>
      <w:r>
        <w:rPr>
          <w:b/>
          <w:bCs/>
        </w:rPr>
        <w:lastRenderedPageBreak/>
        <w:t xml:space="preserve">Credential class structure. </w:t>
      </w:r>
      <w:r>
        <w:t>Recommended: single base credential ID for v1, reserved ID ranges per §4.2 for future operator, observer, jurisdiction-specific credentials and TCN workflow tokens.</w:t>
      </w:r>
    </w:p>
    <w:p w14:paraId="49933435" w14:textId="77777777" w:rsidR="000903FD" w:rsidRDefault="00000000">
      <w:pPr>
        <w:pStyle w:val="ListParagraph"/>
        <w:numPr>
          <w:ilvl w:val="0"/>
          <w:numId w:val="3"/>
        </w:numPr>
        <w:spacing w:after="80" w:line="290" w:lineRule="auto"/>
      </w:pPr>
      <w:r>
        <w:rPr>
          <w:b/>
          <w:bCs/>
        </w:rPr>
        <w:t xml:space="preserve">Renewal and expiry policy. </w:t>
      </w:r>
      <w:r>
        <w:t>Whether credentials carry a time-based expiry, and if so on what cadence. Affects state machine, monitoring, and re-onboarding load.</w:t>
      </w:r>
    </w:p>
    <w:p w14:paraId="2F46BF94" w14:textId="77777777" w:rsidR="000903FD" w:rsidRDefault="00000000">
      <w:pPr>
        <w:pStyle w:val="ListParagraph"/>
        <w:numPr>
          <w:ilvl w:val="0"/>
          <w:numId w:val="3"/>
        </w:numPr>
        <w:spacing w:after="80" w:line="290" w:lineRule="auto"/>
      </w:pPr>
      <w:r>
        <w:rPr>
          <w:b/>
          <w:bCs/>
        </w:rPr>
        <w:t xml:space="preserve">Anchoring strategy to Ethereum mainnet. </w:t>
      </w:r>
      <w:r>
        <w:t>Whether to commit periodic merkle roots of the outcome registry to mainnet, and on what cadence. Adds cost and a strong audit guarantee.</w:t>
      </w:r>
    </w:p>
    <w:p w14:paraId="483060F0" w14:textId="77777777" w:rsidR="000903FD" w:rsidRDefault="00000000">
      <w:pPr>
        <w:pStyle w:val="ListParagraph"/>
        <w:numPr>
          <w:ilvl w:val="0"/>
          <w:numId w:val="3"/>
        </w:numPr>
        <w:spacing w:after="80" w:line="290" w:lineRule="auto"/>
      </w:pPr>
      <w:r>
        <w:rPr>
          <w:b/>
          <w:bCs/>
        </w:rPr>
        <w:t xml:space="preserve">Upgrade and governance model for the contract package. </w:t>
      </w:r>
      <w:r>
        <w:t>Specifically the multi-sig threshold for DEFAULT_ADMIN_ROLE, timelock duration, and the relationship between on-chain admin and off-chain corporate governance.</w:t>
      </w:r>
    </w:p>
    <w:p w14:paraId="0303BEAB" w14:textId="77777777" w:rsidR="000903FD" w:rsidRDefault="00000000">
      <w:pPr>
        <w:pStyle w:val="ListParagraph"/>
        <w:numPr>
          <w:ilvl w:val="0"/>
          <w:numId w:val="3"/>
        </w:numPr>
        <w:spacing w:after="80" w:line="290" w:lineRule="auto"/>
      </w:pPr>
      <w:r>
        <w:rPr>
          <w:b/>
          <w:bCs/>
        </w:rPr>
        <w:t xml:space="preserve">TCA role and analytics-feed structure. </w:t>
      </w:r>
      <w:r>
        <w:t>Whether the analytics feed is consumed by TCA or by a separate ratings/analytics entity. Per the May review, TCA is treated as optional and a separate entity may be appropriate.</w:t>
      </w:r>
    </w:p>
    <w:p w14:paraId="41B653AD" w14:textId="77777777" w:rsidR="000903FD" w:rsidRDefault="00000000">
      <w:pPr>
        <w:pStyle w:val="ListParagraph"/>
        <w:numPr>
          <w:ilvl w:val="0"/>
          <w:numId w:val="3"/>
        </w:numPr>
        <w:spacing w:after="80" w:line="290" w:lineRule="auto"/>
      </w:pPr>
      <w:r>
        <w:rPr>
          <w:b/>
          <w:bCs/>
        </w:rPr>
        <w:t xml:space="preserve">TCM off-chain custody scope. </w:t>
      </w:r>
      <w:r>
        <w:t>Counsel-supported definition of TCM's role as custodian for off-chain formation and ownership documentation, including SOC controls and contractual delineation.</w:t>
      </w:r>
    </w:p>
    <w:p w14:paraId="0AB4FE7A" w14:textId="77777777" w:rsidR="000903FD" w:rsidRDefault="00000000">
      <w:pPr>
        <w:pStyle w:val="ListParagraph"/>
        <w:numPr>
          <w:ilvl w:val="0"/>
          <w:numId w:val="3"/>
        </w:numPr>
        <w:spacing w:after="80" w:line="290" w:lineRule="auto"/>
      </w:pPr>
      <w:r>
        <w:rPr>
          <w:b/>
          <w:bCs/>
        </w:rPr>
        <w:t xml:space="preserve">Pricing model and revenue-stream allocation. </w:t>
      </w:r>
      <w:r>
        <w:t>Per-credential fee, KYC fee, sync-service pricing, gas-markup percentage, ERC-4337 services pricing — to be set by commercial leadership.</w:t>
      </w:r>
    </w:p>
    <w:p w14:paraId="5C9344A4" w14:textId="77777777" w:rsidR="000903FD" w:rsidRDefault="00000000">
      <w:pPr>
        <w:pStyle w:val="ListParagraph"/>
        <w:numPr>
          <w:ilvl w:val="0"/>
          <w:numId w:val="3"/>
        </w:numPr>
        <w:spacing w:after="80" w:line="290" w:lineRule="auto"/>
      </w:pPr>
      <w:r>
        <w:rPr>
          <w:b/>
          <w:bCs/>
        </w:rPr>
        <w:t xml:space="preserve">Audit firm selection and timing. </w:t>
      </w:r>
      <w:r>
        <w:t>Booking should happen at schema-freeze, not at code-freeze; lead times for top-tier firms are months.</w:t>
      </w:r>
    </w:p>
    <w:p w14:paraId="18BD3BDF" w14:textId="77777777" w:rsidR="000903FD" w:rsidRDefault="000903FD">
      <w:pPr>
        <w:spacing w:after="60"/>
      </w:pPr>
    </w:p>
    <w:p w14:paraId="2EAE89E4" w14:textId="77777777" w:rsidR="000903FD" w:rsidRDefault="00000000">
      <w:pPr>
        <w:pStyle w:val="Heading1"/>
      </w:pPr>
      <w:r>
        <w:t>14. Closing</w:t>
      </w:r>
    </w:p>
    <w:p w14:paraId="78ECCC49" w14:textId="77777777" w:rsidR="000903FD" w:rsidRDefault="00000000">
      <w:pPr>
        <w:spacing w:after="120" w:line="300" w:lineRule="auto"/>
      </w:pPr>
      <w:r>
        <w:t>TCT is a small token. Most of the implementation work is not in the token itself but in the disciplines around it: identity, finality, synchronization, the regulatory characterization codified in §2, and the commercial workflow that wraps it. The contracts can be implemented and audited in weeks; the surrounding system that makes those contracts mean what the architecture says they mean takes longer, and that is where execution risk concentrates.</w:t>
      </w:r>
    </w:p>
    <w:p w14:paraId="2F661245" w14:textId="77777777" w:rsidR="000903FD" w:rsidRDefault="00000000">
      <w:pPr>
        <w:spacing w:after="120" w:line="300" w:lineRule="auto"/>
      </w:pPr>
      <w:r>
        <w:t>The recommendation, unchanged from Rev 1 and reinforced by the May review, is to treat the chain-agnostic abstraction layer, the synchronization pipeline, and the identity binding model as the three first-class engineering investments, and to treat everything else — including the on-chain contract code — as straightforward work that depends on those three. Rev 2 adds a fourth first-class investment: the §2 definitional and regulatory framing, which is the load-bearing argument under both the operational design and the patent strategy. If those four are right, the rest of the system has somewhere stable to stand.</w:t>
      </w:r>
    </w:p>
    <w:sectPr w:rsidR="000903FD">
      <w:headerReference w:type="default" r:id="rId11"/>
      <w:footerReference w:type="default" r:id="rId1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ael Berry" w:date="2026-05-18T20:02:00Z" w:initials="MB">
    <w:p w14:paraId="7EC2E803" w14:textId="77777777" w:rsidR="00083E8A" w:rsidRDefault="00083E8A" w:rsidP="00083E8A">
      <w:pPr>
        <w:pStyle w:val="CommentText"/>
      </w:pPr>
      <w:r>
        <w:rPr>
          <w:rStyle w:val="CommentReference"/>
        </w:rPr>
        <w:annotationRef/>
      </w:r>
      <w:r>
        <w:t>See the burn/mint conversation in the TCNWFT memo.</w:t>
      </w:r>
    </w:p>
  </w:comment>
  <w:comment w:id="1" w:author="Michael Berry" w:date="2026-05-18T20:17:00Z" w:initials="MB">
    <w:p w14:paraId="6CC384F4" w14:textId="77777777" w:rsidR="00C979E1" w:rsidRDefault="00C979E1" w:rsidP="00C979E1">
      <w:pPr>
        <w:pStyle w:val="CommentText"/>
      </w:pPr>
      <w:r>
        <w:rPr>
          <w:rStyle w:val="CommentReference"/>
        </w:rPr>
        <w:annotationRef/>
      </w:r>
      <w:r>
        <w:t>This is not correct. The project lister pays a minting fee but anyone who wants to buy the access credential will pay a separate sales price for the TCT.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C2E803" w15:done="0"/>
  <w15:commentEx w15:paraId="6CC384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FF30E2" w16cex:dateUtc="2026-05-19T01:02:00Z"/>
  <w16cex:commentExtensible w16cex:durableId="2CE767B0" w16cex:dateUtc="2026-05-19T01: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C2E803" w16cid:durableId="51FF30E2"/>
  <w16cid:commentId w16cid:paraId="6CC384F4" w16cid:durableId="2CE767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65EB1" w14:textId="77777777" w:rsidR="004E152D" w:rsidRDefault="004E152D">
      <w:r>
        <w:separator/>
      </w:r>
    </w:p>
  </w:endnote>
  <w:endnote w:type="continuationSeparator" w:id="0">
    <w:p w14:paraId="4D1193FE" w14:textId="77777777" w:rsidR="004E152D" w:rsidRDefault="004E1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12424" w14:textId="77777777" w:rsidR="000903FD"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B164B5">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B164B5">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B11BD" w14:textId="77777777" w:rsidR="004E152D" w:rsidRDefault="004E152D">
      <w:r>
        <w:separator/>
      </w:r>
    </w:p>
  </w:footnote>
  <w:footnote w:type="continuationSeparator" w:id="0">
    <w:p w14:paraId="58E4D17E" w14:textId="77777777" w:rsidR="004E152D" w:rsidRDefault="004E15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DA4A5" w14:textId="77777777" w:rsidR="000903FD" w:rsidRDefault="00000000">
    <w:pPr>
      <w:pBdr>
        <w:bottom w:val="single" w:sz="4" w:space="4" w:color="BFBFBF"/>
      </w:pBdr>
      <w:spacing w:after="60"/>
      <w:jc w:val="right"/>
    </w:pPr>
    <w:r>
      <w:rPr>
        <w:i/>
        <w:iCs/>
        <w:color w:val="595959"/>
        <w:sz w:val="18"/>
        <w:szCs w:val="18"/>
      </w:rPr>
      <w:t>TCT Implementation Memorandum (Rev 2)  |  2678 Holdings LLC  |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0D71"/>
    <w:multiLevelType w:val="hybridMultilevel"/>
    <w:tmpl w:val="CC08D4BC"/>
    <w:lvl w:ilvl="0" w:tplc="E2EACCDA">
      <w:start w:val="1"/>
      <w:numFmt w:val="decimal"/>
      <w:lvlText w:val="%1."/>
      <w:lvlJc w:val="left"/>
      <w:pPr>
        <w:ind w:left="720" w:hanging="360"/>
      </w:pPr>
    </w:lvl>
    <w:lvl w:ilvl="1" w:tplc="8584C006">
      <w:numFmt w:val="decimal"/>
      <w:lvlText w:val=""/>
      <w:lvlJc w:val="left"/>
    </w:lvl>
    <w:lvl w:ilvl="2" w:tplc="585888A0">
      <w:numFmt w:val="decimal"/>
      <w:lvlText w:val=""/>
      <w:lvlJc w:val="left"/>
    </w:lvl>
    <w:lvl w:ilvl="3" w:tplc="C63EDE54">
      <w:numFmt w:val="decimal"/>
      <w:lvlText w:val=""/>
      <w:lvlJc w:val="left"/>
    </w:lvl>
    <w:lvl w:ilvl="4" w:tplc="E4BA7AA6">
      <w:numFmt w:val="decimal"/>
      <w:lvlText w:val=""/>
      <w:lvlJc w:val="left"/>
    </w:lvl>
    <w:lvl w:ilvl="5" w:tplc="9F32B75C">
      <w:numFmt w:val="decimal"/>
      <w:lvlText w:val=""/>
      <w:lvlJc w:val="left"/>
    </w:lvl>
    <w:lvl w:ilvl="6" w:tplc="C8727394">
      <w:numFmt w:val="decimal"/>
      <w:lvlText w:val=""/>
      <w:lvlJc w:val="left"/>
    </w:lvl>
    <w:lvl w:ilvl="7" w:tplc="5D18C54A">
      <w:numFmt w:val="decimal"/>
      <w:lvlText w:val=""/>
      <w:lvlJc w:val="left"/>
    </w:lvl>
    <w:lvl w:ilvl="8" w:tplc="2442838E">
      <w:numFmt w:val="decimal"/>
      <w:lvlText w:val=""/>
      <w:lvlJc w:val="left"/>
    </w:lvl>
  </w:abstractNum>
  <w:abstractNum w:abstractNumId="1" w15:restartNumberingAfterBreak="0">
    <w:nsid w:val="1EFC57F7"/>
    <w:multiLevelType w:val="hybridMultilevel"/>
    <w:tmpl w:val="AB905262"/>
    <w:lvl w:ilvl="0" w:tplc="D19C0096">
      <w:start w:val="1"/>
      <w:numFmt w:val="bullet"/>
      <w:lvlText w:val="•"/>
      <w:lvlJc w:val="left"/>
      <w:pPr>
        <w:ind w:left="720" w:hanging="360"/>
      </w:pPr>
    </w:lvl>
    <w:lvl w:ilvl="1" w:tplc="F2986420">
      <w:start w:val="1"/>
      <w:numFmt w:val="bullet"/>
      <w:lvlText w:val="◦"/>
      <w:lvlJc w:val="left"/>
      <w:pPr>
        <w:ind w:left="1440" w:hanging="360"/>
      </w:pPr>
    </w:lvl>
    <w:lvl w:ilvl="2" w:tplc="B374150E">
      <w:numFmt w:val="decimal"/>
      <w:lvlText w:val=""/>
      <w:lvlJc w:val="left"/>
    </w:lvl>
    <w:lvl w:ilvl="3" w:tplc="1276A53C">
      <w:numFmt w:val="decimal"/>
      <w:lvlText w:val=""/>
      <w:lvlJc w:val="left"/>
    </w:lvl>
    <w:lvl w:ilvl="4" w:tplc="942E294E">
      <w:numFmt w:val="decimal"/>
      <w:lvlText w:val=""/>
      <w:lvlJc w:val="left"/>
    </w:lvl>
    <w:lvl w:ilvl="5" w:tplc="FA36982E">
      <w:numFmt w:val="decimal"/>
      <w:lvlText w:val=""/>
      <w:lvlJc w:val="left"/>
    </w:lvl>
    <w:lvl w:ilvl="6" w:tplc="957AF51A">
      <w:numFmt w:val="decimal"/>
      <w:lvlText w:val=""/>
      <w:lvlJc w:val="left"/>
    </w:lvl>
    <w:lvl w:ilvl="7" w:tplc="A420F192">
      <w:numFmt w:val="decimal"/>
      <w:lvlText w:val=""/>
      <w:lvlJc w:val="left"/>
    </w:lvl>
    <w:lvl w:ilvl="8" w:tplc="0D920516">
      <w:numFmt w:val="decimal"/>
      <w:lvlText w:val=""/>
      <w:lvlJc w:val="left"/>
    </w:lvl>
  </w:abstractNum>
  <w:abstractNum w:abstractNumId="2" w15:restartNumberingAfterBreak="0">
    <w:nsid w:val="7C437552"/>
    <w:multiLevelType w:val="hybridMultilevel"/>
    <w:tmpl w:val="5DAE5702"/>
    <w:lvl w:ilvl="0" w:tplc="77601AAE">
      <w:start w:val="1"/>
      <w:numFmt w:val="bullet"/>
      <w:lvlText w:val="●"/>
      <w:lvlJc w:val="left"/>
      <w:pPr>
        <w:ind w:left="720" w:hanging="360"/>
      </w:pPr>
    </w:lvl>
    <w:lvl w:ilvl="1" w:tplc="D17AE6AA">
      <w:start w:val="1"/>
      <w:numFmt w:val="bullet"/>
      <w:lvlText w:val="○"/>
      <w:lvlJc w:val="left"/>
      <w:pPr>
        <w:ind w:left="1440" w:hanging="360"/>
      </w:pPr>
    </w:lvl>
    <w:lvl w:ilvl="2" w:tplc="B60C605E">
      <w:start w:val="1"/>
      <w:numFmt w:val="bullet"/>
      <w:lvlText w:val="■"/>
      <w:lvlJc w:val="left"/>
      <w:pPr>
        <w:ind w:left="2160" w:hanging="360"/>
      </w:pPr>
    </w:lvl>
    <w:lvl w:ilvl="3" w:tplc="596C0398">
      <w:start w:val="1"/>
      <w:numFmt w:val="bullet"/>
      <w:lvlText w:val="●"/>
      <w:lvlJc w:val="left"/>
      <w:pPr>
        <w:ind w:left="2880" w:hanging="360"/>
      </w:pPr>
    </w:lvl>
    <w:lvl w:ilvl="4" w:tplc="58345356">
      <w:start w:val="1"/>
      <w:numFmt w:val="bullet"/>
      <w:lvlText w:val="○"/>
      <w:lvlJc w:val="left"/>
      <w:pPr>
        <w:ind w:left="3600" w:hanging="360"/>
      </w:pPr>
    </w:lvl>
    <w:lvl w:ilvl="5" w:tplc="7C58E0C6">
      <w:start w:val="1"/>
      <w:numFmt w:val="bullet"/>
      <w:lvlText w:val="■"/>
      <w:lvlJc w:val="left"/>
      <w:pPr>
        <w:ind w:left="4320" w:hanging="360"/>
      </w:pPr>
    </w:lvl>
    <w:lvl w:ilvl="6" w:tplc="A044FAF8">
      <w:start w:val="1"/>
      <w:numFmt w:val="bullet"/>
      <w:lvlText w:val="●"/>
      <w:lvlJc w:val="left"/>
      <w:pPr>
        <w:ind w:left="5040" w:hanging="360"/>
      </w:pPr>
    </w:lvl>
    <w:lvl w:ilvl="7" w:tplc="A8AC5AC2">
      <w:start w:val="1"/>
      <w:numFmt w:val="bullet"/>
      <w:lvlText w:val="●"/>
      <w:lvlJc w:val="left"/>
      <w:pPr>
        <w:ind w:left="5760" w:hanging="360"/>
      </w:pPr>
    </w:lvl>
    <w:lvl w:ilvl="8" w:tplc="27263034">
      <w:start w:val="1"/>
      <w:numFmt w:val="bullet"/>
      <w:lvlText w:val="●"/>
      <w:lvlJc w:val="left"/>
      <w:pPr>
        <w:ind w:left="6480" w:hanging="360"/>
      </w:pPr>
    </w:lvl>
  </w:abstractNum>
  <w:num w:numId="1" w16cid:durableId="1157302595">
    <w:abstractNumId w:val="2"/>
    <w:lvlOverride w:ilvl="0">
      <w:startOverride w:val="1"/>
    </w:lvlOverride>
  </w:num>
  <w:num w:numId="2" w16cid:durableId="719134011">
    <w:abstractNumId w:val="1"/>
    <w:lvlOverride w:ilvl="0">
      <w:startOverride w:val="1"/>
    </w:lvlOverride>
  </w:num>
  <w:num w:numId="3" w16cid:durableId="76777632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Berry">
    <w15:presenceInfo w15:providerId="AD" w15:userId="S::mrb@2678holdings.com::e5f3bdc2-6334-41e5-9300-f43940320b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3FD"/>
    <w:rsid w:val="00083E8A"/>
    <w:rsid w:val="000903FD"/>
    <w:rsid w:val="00263834"/>
    <w:rsid w:val="004E152D"/>
    <w:rsid w:val="009E7A03"/>
    <w:rsid w:val="00B164B5"/>
    <w:rsid w:val="00C97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F38A0"/>
  <w15:docId w15:val="{2E041CEC-424D-4F9A-A878-5146FFFA0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083E8A"/>
    <w:rPr>
      <w:sz w:val="16"/>
      <w:szCs w:val="16"/>
    </w:rPr>
  </w:style>
  <w:style w:type="paragraph" w:styleId="CommentText">
    <w:name w:val="annotation text"/>
    <w:basedOn w:val="Normal"/>
    <w:link w:val="CommentTextChar"/>
    <w:uiPriority w:val="99"/>
    <w:unhideWhenUsed/>
    <w:rsid w:val="00083E8A"/>
    <w:rPr>
      <w:sz w:val="20"/>
      <w:szCs w:val="20"/>
    </w:rPr>
  </w:style>
  <w:style w:type="character" w:customStyle="1" w:styleId="CommentTextChar">
    <w:name w:val="Comment Text Char"/>
    <w:basedOn w:val="DefaultParagraphFont"/>
    <w:link w:val="CommentText"/>
    <w:uiPriority w:val="99"/>
    <w:rsid w:val="00083E8A"/>
    <w:rPr>
      <w:sz w:val="20"/>
      <w:szCs w:val="20"/>
    </w:rPr>
  </w:style>
  <w:style w:type="paragraph" w:styleId="CommentSubject">
    <w:name w:val="annotation subject"/>
    <w:basedOn w:val="CommentText"/>
    <w:next w:val="CommentText"/>
    <w:link w:val="CommentSubjectChar"/>
    <w:uiPriority w:val="99"/>
    <w:semiHidden/>
    <w:unhideWhenUsed/>
    <w:rsid w:val="00083E8A"/>
    <w:rPr>
      <w:b/>
      <w:bCs/>
    </w:rPr>
  </w:style>
  <w:style w:type="character" w:customStyle="1" w:styleId="CommentSubjectChar">
    <w:name w:val="Comment Subject Char"/>
    <w:basedOn w:val="CommentTextChar"/>
    <w:link w:val="CommentSubject"/>
    <w:uiPriority w:val="99"/>
    <w:semiHidden/>
    <w:rsid w:val="00083E8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25</Pages>
  <Words>7284</Words>
  <Characters>46185</Characters>
  <Application>Microsoft Office Word</Application>
  <DocSecurity>0</DocSecurity>
  <Lines>1539</Lines>
  <Paragraphs>990</Paragraphs>
  <ScaleCrop>false</ScaleCrop>
  <Company/>
  <LinksUpToDate>false</LinksUpToDate>
  <CharactersWithSpaces>52479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TCT Implementation Memorandum — Rev 2</dc:title>
  <dc:creator>2678 Holdings LLC</dc:creator>
  <cp:lastModifiedBy>Michael Berry</cp:lastModifiedBy>
  <cp:revision>2</cp:revision>
  <dcterms:created xsi:type="dcterms:W3CDTF">2026-05-19T01:23:00Z</dcterms:created>
  <dcterms:modified xsi:type="dcterms:W3CDTF">2026-05-19T01:23:00Z</dcterms:modified>
</cp:coreProperties>
</file>